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D3C9CD1">
      <w:pPr>
        <w:rPr>
          <w:rFonts w:ascii="仿宋_GB2312" w:hAnsi="仿宋_GB2312" w:eastAsia="仿宋_GB2312" w:cs="仿宋_GB2312"/>
          <w:color w:val="auto"/>
          <w:sz w:val="36"/>
          <w:szCs w:val="36"/>
          <w:highlight w:val="none"/>
        </w:rPr>
      </w:pPr>
    </w:p>
    <w:p w14:paraId="5958BFA3">
      <w:pPr>
        <w:rPr>
          <w:rFonts w:ascii="仿宋_GB2312" w:hAnsi="仿宋_GB2312" w:eastAsia="仿宋_GB2312" w:cs="仿宋_GB2312"/>
          <w:color w:val="auto"/>
          <w:sz w:val="36"/>
          <w:szCs w:val="36"/>
          <w:highlight w:val="none"/>
        </w:rPr>
      </w:pPr>
    </w:p>
    <w:p w14:paraId="3CBCB585">
      <w:pPr>
        <w:rPr>
          <w:rFonts w:ascii="仿宋_GB2312" w:hAnsi="仿宋_GB2312" w:eastAsia="仿宋_GB2312" w:cs="仿宋_GB2312"/>
          <w:color w:val="auto"/>
          <w:sz w:val="36"/>
          <w:szCs w:val="36"/>
          <w:highlight w:val="none"/>
        </w:rPr>
      </w:pPr>
    </w:p>
    <w:p w14:paraId="2E8C78F9">
      <w:pPr>
        <w:rPr>
          <w:rFonts w:ascii="仿宋_GB2312" w:hAnsi="仿宋_GB2312" w:eastAsia="仿宋_GB2312" w:cs="仿宋_GB2312"/>
          <w:color w:val="auto"/>
          <w:sz w:val="36"/>
          <w:szCs w:val="36"/>
          <w:highlight w:val="none"/>
        </w:rPr>
      </w:pPr>
    </w:p>
    <w:p w14:paraId="5E09B123">
      <w:pPr>
        <w:rPr>
          <w:rFonts w:ascii="仿宋_GB2312" w:hAnsi="仿宋_GB2312" w:eastAsia="仿宋_GB2312" w:cs="仿宋_GB2312"/>
          <w:color w:val="auto"/>
          <w:sz w:val="36"/>
          <w:szCs w:val="36"/>
          <w:highlight w:val="none"/>
        </w:rPr>
      </w:pPr>
    </w:p>
    <w:p w14:paraId="34DD6CE6">
      <w:pPr>
        <w:adjustRightInd w:val="0"/>
        <w:snapToGrid w:val="0"/>
        <w:jc w:val="center"/>
        <w:outlineLvl w:val="0"/>
        <w:rPr>
          <w:rFonts w:ascii="方正小标宋_GBK" w:eastAsia="方正小标宋_GBK"/>
          <w:bCs/>
          <w:color w:val="auto"/>
          <w:sz w:val="72"/>
          <w:szCs w:val="72"/>
          <w:highlight w:val="none"/>
        </w:rPr>
      </w:pPr>
      <w:bookmarkStart w:id="0" w:name="_Toc13706"/>
      <w:r>
        <w:rPr>
          <w:rFonts w:hint="eastAsia" w:ascii="方正小标宋_GBK" w:eastAsia="方正小标宋_GBK"/>
          <w:bCs/>
          <w:color w:val="auto"/>
          <w:sz w:val="72"/>
          <w:szCs w:val="72"/>
          <w:highlight w:val="none"/>
        </w:rPr>
        <w:t>建设项目环境影响报告表</w:t>
      </w:r>
      <w:bookmarkEnd w:id="0"/>
    </w:p>
    <w:p w14:paraId="2DA77D96">
      <w:pPr>
        <w:adjustRightInd w:val="0"/>
        <w:snapToGrid w:val="0"/>
        <w:jc w:val="center"/>
        <w:rPr>
          <w:rFonts w:ascii="楷体_GB2312" w:eastAsia="楷体_GB2312"/>
          <w:bCs/>
          <w:color w:val="auto"/>
          <w:sz w:val="48"/>
          <w:szCs w:val="48"/>
          <w:highlight w:val="none"/>
        </w:rPr>
      </w:pPr>
      <w:r>
        <w:rPr>
          <w:rFonts w:hint="eastAsia" w:ascii="楷体_GB2312" w:eastAsia="楷体_GB2312"/>
          <w:bCs/>
          <w:color w:val="auto"/>
          <w:sz w:val="48"/>
          <w:szCs w:val="48"/>
          <w:highlight w:val="none"/>
        </w:rPr>
        <w:t>（污染影响类）</w:t>
      </w:r>
    </w:p>
    <w:p w14:paraId="0D89A8A8">
      <w:pPr>
        <w:adjustRightInd w:val="0"/>
        <w:snapToGrid w:val="0"/>
        <w:spacing w:line="288" w:lineRule="auto"/>
        <w:jc w:val="center"/>
        <w:rPr>
          <w:rFonts w:ascii="华文仿宋" w:hAnsi="华文仿宋" w:eastAsia="华文仿宋" w:cs="华文仿宋"/>
          <w:color w:val="auto"/>
          <w:kern w:val="44"/>
          <w:sz w:val="44"/>
          <w:szCs w:val="44"/>
          <w:highlight w:val="none"/>
        </w:rPr>
      </w:pPr>
    </w:p>
    <w:p w14:paraId="7517DB3E">
      <w:pPr>
        <w:jc w:val="center"/>
        <w:rPr>
          <w:rFonts w:eastAsia="仿宋"/>
          <w:color w:val="auto"/>
          <w:sz w:val="52"/>
          <w:szCs w:val="52"/>
          <w:highlight w:val="none"/>
        </w:rPr>
      </w:pPr>
    </w:p>
    <w:p w14:paraId="2F42CBCA">
      <w:pPr>
        <w:ind w:firstLine="1040"/>
        <w:rPr>
          <w:rFonts w:eastAsia="仿宋"/>
          <w:color w:val="auto"/>
          <w:sz w:val="44"/>
          <w:szCs w:val="44"/>
          <w:highlight w:val="none"/>
        </w:rPr>
      </w:pPr>
    </w:p>
    <w:p w14:paraId="3090DE5F">
      <w:pPr>
        <w:ind w:firstLine="1040"/>
        <w:rPr>
          <w:rFonts w:eastAsia="仿宋"/>
          <w:color w:val="auto"/>
          <w:sz w:val="44"/>
          <w:szCs w:val="44"/>
          <w:highlight w:val="none"/>
        </w:rPr>
      </w:pPr>
    </w:p>
    <w:p w14:paraId="40AFC21F">
      <w:pPr>
        <w:ind w:firstLine="1040"/>
        <w:rPr>
          <w:rFonts w:eastAsia="仿宋"/>
          <w:color w:val="auto"/>
          <w:sz w:val="44"/>
          <w:szCs w:val="44"/>
          <w:highlight w:val="none"/>
        </w:rPr>
      </w:pPr>
    </w:p>
    <w:p w14:paraId="31B6F069">
      <w:pPr>
        <w:ind w:firstLine="1040"/>
        <w:rPr>
          <w:rFonts w:eastAsia="仿宋"/>
          <w:color w:val="auto"/>
          <w:sz w:val="44"/>
          <w:szCs w:val="44"/>
          <w:highlight w:val="none"/>
        </w:rPr>
      </w:pPr>
    </w:p>
    <w:p w14:paraId="5231BB1E">
      <w:pPr>
        <w:adjustRightInd w:val="0"/>
        <w:snapToGrid w:val="0"/>
        <w:spacing w:line="288" w:lineRule="auto"/>
        <w:ind w:left="2608" w:leftChars="342" w:hanging="1890" w:hangingChars="900"/>
        <w:rPr>
          <w:rFonts w:ascii="仿宋_GB2312" w:eastAsia="仿宋_GB2312"/>
          <w:color w:val="auto"/>
          <w:sz w:val="36"/>
          <w:szCs w:val="36"/>
          <w:highlight w:val="none"/>
          <w:u w:val="single"/>
        </w:rPr>
      </w:pPr>
      <w:r>
        <w:drawing>
          <wp:anchor distT="0" distB="0" distL="0" distR="0" simplePos="0" relativeHeight="251687936" behindDoc="1" locked="0" layoutInCell="1" allowOverlap="1">
            <wp:simplePos x="0" y="0"/>
            <wp:positionH relativeFrom="column">
              <wp:posOffset>3642995</wp:posOffset>
            </wp:positionH>
            <wp:positionV relativeFrom="paragraph">
              <wp:posOffset>302260</wp:posOffset>
            </wp:positionV>
            <wp:extent cx="1250950" cy="1231900"/>
            <wp:effectExtent l="0" t="0" r="6350" b="6350"/>
            <wp:wrapNone/>
            <wp:docPr id="89" name="IM 4"/>
            <wp:cNvGraphicFramePr/>
            <a:graphic xmlns:a="http://schemas.openxmlformats.org/drawingml/2006/main">
              <a:graphicData uri="http://schemas.openxmlformats.org/drawingml/2006/picture">
                <pic:pic xmlns:pic="http://schemas.openxmlformats.org/drawingml/2006/picture">
                  <pic:nvPicPr>
                    <pic:cNvPr id="89" name="IM 4"/>
                    <pic:cNvPicPr/>
                  </pic:nvPicPr>
                  <pic:blipFill>
                    <a:blip r:embed="rId10"/>
                    <a:stretch>
                      <a:fillRect/>
                    </a:stretch>
                  </pic:blipFill>
                  <pic:spPr>
                    <a:xfrm>
                      <a:off x="0" y="0"/>
                      <a:ext cx="1250950" cy="1231900"/>
                    </a:xfrm>
                    <a:prstGeom prst="rect">
                      <a:avLst/>
                    </a:prstGeom>
                  </pic:spPr>
                </pic:pic>
              </a:graphicData>
            </a:graphic>
          </wp:anchor>
        </w:drawing>
      </w:r>
      <w:r>
        <w:rPr>
          <w:rFonts w:hint="eastAsia" w:ascii="仿宋_GB2312" w:eastAsia="仿宋_GB2312"/>
          <w:color w:val="auto"/>
          <w:sz w:val="36"/>
          <w:szCs w:val="36"/>
          <w:highlight w:val="none"/>
        </w:rPr>
        <w:t>项  目  名  称  ：</w:t>
      </w:r>
      <w:r>
        <w:rPr>
          <w:rFonts w:hint="eastAsia" w:ascii="仿宋" w:hAnsi="仿宋" w:eastAsia="仿宋" w:cs="仿宋"/>
          <w:bCs/>
          <w:color w:val="auto"/>
          <w:sz w:val="36"/>
          <w:szCs w:val="36"/>
          <w:highlight w:val="none"/>
          <w:u w:val="single"/>
          <w:lang w:val="en-US" w:eastAsia="zh-CN"/>
        </w:rPr>
        <w:t>秦皇岛万邦零部件加工有限公司新建二车间</w:t>
      </w:r>
      <w:r>
        <w:rPr>
          <w:rFonts w:hint="eastAsia" w:ascii="仿宋" w:hAnsi="仿宋" w:eastAsia="仿宋" w:cs="仿宋"/>
          <w:bCs/>
          <w:color w:val="auto"/>
          <w:sz w:val="36"/>
          <w:szCs w:val="36"/>
          <w:highlight w:val="none"/>
          <w:u w:val="single"/>
          <w:lang w:eastAsia="zh-CN"/>
        </w:rPr>
        <w:t xml:space="preserve"> </w:t>
      </w:r>
      <w:r>
        <w:rPr>
          <w:rFonts w:hint="eastAsia" w:ascii="仿宋" w:hAnsi="仿宋" w:eastAsia="仿宋" w:cs="仿宋"/>
          <w:bCs/>
          <w:color w:val="auto"/>
          <w:sz w:val="36"/>
          <w:szCs w:val="36"/>
          <w:highlight w:val="none"/>
          <w:u w:val="single"/>
        </w:rPr>
        <w:t xml:space="preserve">  </w:t>
      </w:r>
      <w:r>
        <w:rPr>
          <w:rFonts w:hint="eastAsia" w:ascii="仿宋_GB2312" w:eastAsia="仿宋_GB2312"/>
          <w:color w:val="auto"/>
          <w:sz w:val="36"/>
          <w:szCs w:val="36"/>
          <w:highlight w:val="none"/>
          <w:u w:val="single"/>
        </w:rPr>
        <w:t xml:space="preserve">   </w:t>
      </w:r>
    </w:p>
    <w:p w14:paraId="58E458F8">
      <w:pPr>
        <w:keepNext w:val="0"/>
        <w:keepLines w:val="0"/>
        <w:pageBreakBefore w:val="0"/>
        <w:widowControl w:val="0"/>
        <w:kinsoku/>
        <w:wordWrap/>
        <w:overflowPunct/>
        <w:topLinePunct w:val="0"/>
        <w:autoSpaceDE/>
        <w:autoSpaceDN/>
        <w:bidi w:val="0"/>
        <w:adjustRightInd w:val="0"/>
        <w:snapToGrid w:val="0"/>
        <w:spacing w:line="288" w:lineRule="auto"/>
        <w:ind w:firstLine="737"/>
        <w:textAlignment w:val="auto"/>
        <w:rPr>
          <w:rFonts w:ascii="仿宋_GB2312" w:eastAsia="仿宋_GB2312"/>
          <w:color w:val="auto"/>
          <w:sz w:val="36"/>
          <w:szCs w:val="36"/>
          <w:highlight w:val="none"/>
          <w:u w:val="single"/>
        </w:rPr>
      </w:pPr>
      <w:r>
        <w:rPr>
          <w:rFonts w:hint="eastAsia" w:ascii="仿宋_GB2312" w:eastAsia="仿宋_GB2312"/>
          <w:color w:val="auto"/>
          <w:sz w:val="36"/>
          <w:szCs w:val="36"/>
          <w:highlight w:val="none"/>
        </w:rPr>
        <w:t>建设单位（盖章）：</w:t>
      </w:r>
      <w:r>
        <w:rPr>
          <w:rFonts w:hint="eastAsia" w:ascii="仿宋" w:hAnsi="仿宋" w:eastAsia="仿宋" w:cs="仿宋"/>
          <w:bCs/>
          <w:color w:val="auto"/>
          <w:sz w:val="36"/>
          <w:szCs w:val="36"/>
          <w:highlight w:val="none"/>
          <w:u w:val="single"/>
          <w:lang w:eastAsia="zh-CN"/>
        </w:rPr>
        <w:t>秦皇岛万邦零部件加工有限公司</w:t>
      </w:r>
      <w:r>
        <w:rPr>
          <w:rFonts w:hint="eastAsia" w:ascii="仿宋" w:hAnsi="仿宋" w:eastAsia="仿宋" w:cs="仿宋"/>
          <w:bCs/>
          <w:color w:val="auto"/>
          <w:sz w:val="36"/>
          <w:szCs w:val="36"/>
          <w:highlight w:val="none"/>
          <w:u w:val="single"/>
        </w:rPr>
        <w:t xml:space="preserve">         </w:t>
      </w:r>
    </w:p>
    <w:p w14:paraId="4B361196">
      <w:pPr>
        <w:adjustRightInd w:val="0"/>
        <w:snapToGrid w:val="0"/>
        <w:spacing w:line="288" w:lineRule="auto"/>
        <w:ind w:firstLine="720" w:firstLineChars="200"/>
        <w:rPr>
          <w:rFonts w:ascii="仿宋_GB2312" w:eastAsia="仿宋_GB2312"/>
          <w:color w:val="auto"/>
          <w:sz w:val="36"/>
          <w:szCs w:val="36"/>
          <w:highlight w:val="none"/>
          <w:u w:val="single"/>
        </w:rPr>
      </w:pPr>
      <w:r>
        <w:rPr>
          <w:rFonts w:hint="eastAsia" w:ascii="仿宋_GB2312" w:eastAsia="仿宋_GB2312"/>
          <w:color w:val="auto"/>
          <w:sz w:val="36"/>
          <w:szCs w:val="36"/>
          <w:highlight w:val="none"/>
        </w:rPr>
        <w:t>编  制  日  期  ：</w:t>
      </w:r>
      <w:r>
        <w:rPr>
          <w:rFonts w:hint="eastAsia" w:ascii="仿宋" w:hAnsi="仿宋" w:eastAsia="仿宋" w:cs="仿宋"/>
          <w:bCs/>
          <w:color w:val="auto"/>
          <w:sz w:val="36"/>
          <w:szCs w:val="36"/>
          <w:highlight w:val="none"/>
          <w:u w:val="single"/>
        </w:rPr>
        <w:t>2025年</w:t>
      </w:r>
      <w:r>
        <w:rPr>
          <w:rFonts w:hint="eastAsia" w:ascii="仿宋" w:hAnsi="仿宋" w:eastAsia="仿宋" w:cs="仿宋"/>
          <w:bCs/>
          <w:color w:val="auto"/>
          <w:sz w:val="36"/>
          <w:szCs w:val="36"/>
          <w:highlight w:val="none"/>
          <w:u w:val="single"/>
          <w:lang w:val="en-US" w:eastAsia="zh-CN"/>
        </w:rPr>
        <w:t>7</w:t>
      </w:r>
      <w:r>
        <w:rPr>
          <w:rFonts w:hint="eastAsia" w:ascii="仿宋" w:hAnsi="仿宋" w:eastAsia="仿宋" w:cs="仿宋"/>
          <w:bCs/>
          <w:color w:val="auto"/>
          <w:sz w:val="36"/>
          <w:szCs w:val="36"/>
          <w:highlight w:val="none"/>
          <w:u w:val="single"/>
        </w:rPr>
        <w:t xml:space="preserve">月               </w:t>
      </w:r>
      <w:r>
        <w:rPr>
          <w:rFonts w:ascii="仿宋_GB2312" w:eastAsia="仿宋_GB2312"/>
          <w:color w:val="auto"/>
          <w:sz w:val="36"/>
          <w:szCs w:val="36"/>
          <w:highlight w:val="none"/>
          <w:u w:val="single"/>
        </w:rPr>
        <w:t xml:space="preserve"> </w:t>
      </w:r>
      <w:r>
        <w:rPr>
          <w:rFonts w:hint="eastAsia" w:ascii="仿宋_GB2312" w:eastAsia="仿宋_GB2312"/>
          <w:color w:val="auto"/>
          <w:sz w:val="36"/>
          <w:szCs w:val="36"/>
          <w:highlight w:val="none"/>
          <w:u w:val="single"/>
        </w:rPr>
        <w:t xml:space="preserve"> </w:t>
      </w:r>
    </w:p>
    <w:p w14:paraId="744D8C1E">
      <w:pPr>
        <w:adjustRightInd w:val="0"/>
        <w:snapToGrid w:val="0"/>
        <w:spacing w:line="288" w:lineRule="auto"/>
        <w:ind w:firstLine="1040"/>
        <w:rPr>
          <w:rFonts w:ascii="仿宋_GB2312" w:eastAsia="仿宋_GB2312"/>
          <w:color w:val="auto"/>
          <w:sz w:val="36"/>
          <w:szCs w:val="36"/>
          <w:highlight w:val="none"/>
          <w:u w:val="single"/>
        </w:rPr>
      </w:pPr>
      <w:bookmarkStart w:id="1" w:name="_Hlk57884087"/>
    </w:p>
    <w:p w14:paraId="5E0558ED">
      <w:pPr>
        <w:adjustRightInd w:val="0"/>
        <w:snapToGrid w:val="0"/>
        <w:spacing w:line="288" w:lineRule="auto"/>
        <w:ind w:firstLine="1040"/>
        <w:rPr>
          <w:rFonts w:ascii="仿宋_GB2312" w:eastAsia="仿宋_GB2312"/>
          <w:color w:val="auto"/>
          <w:sz w:val="36"/>
          <w:szCs w:val="36"/>
          <w:highlight w:val="none"/>
        </w:rPr>
      </w:pPr>
    </w:p>
    <w:p w14:paraId="0E316A05">
      <w:pPr>
        <w:adjustRightInd w:val="0"/>
        <w:snapToGrid w:val="0"/>
        <w:spacing w:line="288" w:lineRule="auto"/>
        <w:rPr>
          <w:rFonts w:ascii="仿宋_GB2312" w:eastAsia="仿宋_GB2312"/>
          <w:color w:val="auto"/>
          <w:sz w:val="36"/>
          <w:szCs w:val="36"/>
          <w:highlight w:val="none"/>
        </w:rPr>
      </w:pPr>
    </w:p>
    <w:p w14:paraId="18BD0734">
      <w:pPr>
        <w:adjustRightInd w:val="0"/>
        <w:snapToGrid w:val="0"/>
        <w:spacing w:line="288" w:lineRule="auto"/>
        <w:ind w:firstLine="1040"/>
        <w:rPr>
          <w:rFonts w:ascii="仿宋_GB2312" w:eastAsia="仿宋_GB2312"/>
          <w:color w:val="auto"/>
          <w:sz w:val="36"/>
          <w:szCs w:val="36"/>
          <w:highlight w:val="none"/>
        </w:rPr>
      </w:pPr>
    </w:p>
    <w:bookmarkEnd w:id="1"/>
    <w:p w14:paraId="26CA1103">
      <w:pPr>
        <w:adjustRightInd w:val="0"/>
        <w:snapToGrid w:val="0"/>
        <w:spacing w:line="288" w:lineRule="auto"/>
        <w:jc w:val="center"/>
        <w:rPr>
          <w:rFonts w:ascii="楷体_GB2312" w:eastAsia="楷体_GB2312"/>
          <w:color w:val="auto"/>
          <w:sz w:val="36"/>
          <w:szCs w:val="36"/>
          <w:highlight w:val="none"/>
        </w:rPr>
      </w:pPr>
      <w:r>
        <w:rPr>
          <w:rFonts w:hint="eastAsia" w:ascii="楷体_GB2312" w:eastAsia="楷体_GB2312"/>
          <w:color w:val="auto"/>
          <w:sz w:val="36"/>
          <w:szCs w:val="36"/>
          <w:highlight w:val="none"/>
        </w:rPr>
        <w:t>中华人民共和国生态环境部制</w:t>
      </w:r>
    </w:p>
    <w:p w14:paraId="30FB5FA1">
      <w:pPr>
        <w:pStyle w:val="45"/>
        <w:rPr>
          <w:rFonts w:hint="default"/>
          <w:color w:val="auto"/>
          <w:highlight w:val="none"/>
        </w:rPr>
        <w:sectPr>
          <w:headerReference r:id="rId3" w:type="default"/>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36907E87">
      <w:pPr>
        <w:pStyle w:val="45"/>
        <w:rPr>
          <w:rFonts w:hint="default"/>
          <w:color w:val="auto"/>
          <w:highlight w:val="none"/>
        </w:rPr>
      </w:pPr>
    </w:p>
    <w:p w14:paraId="6052CF1E">
      <w:pPr>
        <w:rPr>
          <w:color w:val="auto"/>
          <w:highlight w:val="none"/>
        </w:rPr>
      </w:pPr>
    </w:p>
    <w:p w14:paraId="63E09613">
      <w:pPr>
        <w:rPr>
          <w:rFonts w:eastAsia="楷体_GB2312"/>
          <w:bCs/>
          <w:color w:val="auto"/>
          <w:sz w:val="44"/>
          <w:szCs w:val="44"/>
          <w:highlight w:val="none"/>
        </w:rPr>
      </w:pPr>
      <w:r>
        <w:rPr>
          <w:rFonts w:hint="eastAsia" w:eastAsia="楷体_GB2312"/>
          <w:bCs/>
          <w:color w:val="auto"/>
          <w:sz w:val="44"/>
          <w:szCs w:val="44"/>
          <w:highlight w:val="none"/>
        </w:rPr>
        <w:t>目录</w:t>
      </w:r>
    </w:p>
    <w:p w14:paraId="39EA517C">
      <w:pPr>
        <w:pStyle w:val="117"/>
        <w:tabs>
          <w:tab w:val="right" w:leader="dot" w:pos="8844"/>
        </w:tabs>
        <w:spacing w:line="480" w:lineRule="auto"/>
        <w:rPr>
          <w:rFonts w:ascii="仿宋" w:hAnsi="仿宋" w:eastAsia="仿宋" w:cs="仿宋"/>
          <w:color w:val="auto"/>
          <w:sz w:val="28"/>
          <w:szCs w:val="28"/>
          <w:highlight w:val="none"/>
        </w:rPr>
      </w:pPr>
      <w:r>
        <w:rPr>
          <w:rFonts w:hint="eastAsia" w:ascii="仿宋" w:hAnsi="仿宋" w:eastAsia="仿宋" w:cs="仿宋"/>
          <w:b/>
          <w:bCs/>
          <w:color w:val="auto"/>
          <w:sz w:val="28"/>
          <w:szCs w:val="28"/>
          <w:highlight w:val="none"/>
        </w:rPr>
        <w:t>资质材料及其他声明</w:t>
      </w:r>
    </w:p>
    <w:p w14:paraId="6D44E22D">
      <w:pPr>
        <w:pStyle w:val="117"/>
        <w:tabs>
          <w:tab w:val="right" w:leader="dot" w:pos="8844"/>
        </w:tabs>
        <w:spacing w:line="480" w:lineRule="auto"/>
        <w:rPr>
          <w:rFonts w:ascii="仿宋" w:hAnsi="仿宋" w:eastAsia="仿宋" w:cs="仿宋"/>
          <w:color w:val="auto"/>
          <w:sz w:val="24"/>
          <w:szCs w:val="24"/>
          <w:highlight w:val="none"/>
        </w:rPr>
      </w:pPr>
      <w:r>
        <w:rPr>
          <w:rFonts w:hint="eastAsia" w:ascii="仿宋" w:hAnsi="仿宋" w:eastAsia="仿宋" w:cs="仿宋"/>
          <w:color w:val="auto"/>
          <w:sz w:val="24"/>
          <w:szCs w:val="24"/>
          <w:highlight w:val="none"/>
        </w:rPr>
        <w:t>1、责任声明</w:t>
      </w:r>
    </w:p>
    <w:p w14:paraId="06A5DA47">
      <w:pPr>
        <w:pStyle w:val="117"/>
        <w:tabs>
          <w:tab w:val="right" w:leader="dot" w:pos="8844"/>
        </w:tabs>
        <w:spacing w:line="480" w:lineRule="auto"/>
        <w:rPr>
          <w:rFonts w:ascii="仿宋" w:hAnsi="仿宋" w:eastAsia="仿宋" w:cs="仿宋"/>
          <w:color w:val="auto"/>
          <w:sz w:val="24"/>
          <w:szCs w:val="24"/>
          <w:highlight w:val="none"/>
        </w:rPr>
      </w:pPr>
      <w:r>
        <w:rPr>
          <w:rFonts w:hint="eastAsia" w:ascii="仿宋" w:hAnsi="仿宋" w:eastAsia="仿宋" w:cs="仿宋"/>
          <w:color w:val="auto"/>
          <w:sz w:val="24"/>
          <w:szCs w:val="24"/>
          <w:highlight w:val="none"/>
        </w:rPr>
        <w:t>2、编制单位和编制人员情况表</w:t>
      </w:r>
    </w:p>
    <w:p w14:paraId="23B38812">
      <w:pPr>
        <w:pStyle w:val="117"/>
        <w:tabs>
          <w:tab w:val="right" w:leader="dot" w:pos="8844"/>
        </w:tabs>
        <w:spacing w:line="480" w:lineRule="auto"/>
        <w:rPr>
          <w:rFonts w:ascii="仿宋" w:hAnsi="仿宋" w:eastAsia="仿宋" w:cs="仿宋"/>
          <w:color w:val="auto"/>
          <w:sz w:val="24"/>
          <w:szCs w:val="24"/>
          <w:highlight w:val="none"/>
        </w:rPr>
      </w:pPr>
      <w:r>
        <w:rPr>
          <w:rFonts w:hint="eastAsia" w:ascii="仿宋" w:hAnsi="仿宋" w:eastAsia="仿宋" w:cs="仿宋"/>
          <w:color w:val="auto"/>
          <w:sz w:val="24"/>
          <w:szCs w:val="24"/>
          <w:highlight w:val="none"/>
        </w:rPr>
        <w:t>3、编制主持人职业资格证书和社保证明</w:t>
      </w:r>
    </w:p>
    <w:p w14:paraId="3977EFCF">
      <w:pPr>
        <w:pStyle w:val="117"/>
        <w:tabs>
          <w:tab w:val="right" w:leader="dot" w:pos="8844"/>
        </w:tabs>
        <w:spacing w:line="480" w:lineRule="auto"/>
        <w:rPr>
          <w:rFonts w:ascii="仿宋" w:hAnsi="仿宋" w:eastAsia="仿宋" w:cs="仿宋"/>
          <w:color w:val="auto"/>
          <w:sz w:val="24"/>
          <w:szCs w:val="24"/>
          <w:highlight w:val="none"/>
        </w:rPr>
      </w:pPr>
      <w:r>
        <w:rPr>
          <w:rFonts w:hint="eastAsia" w:ascii="仿宋" w:hAnsi="仿宋" w:eastAsia="仿宋" w:cs="仿宋"/>
          <w:color w:val="auto"/>
          <w:sz w:val="24"/>
          <w:szCs w:val="24"/>
          <w:highlight w:val="none"/>
        </w:rPr>
        <w:t>4、编制情况承诺书</w:t>
      </w:r>
    </w:p>
    <w:p w14:paraId="4937A6CC">
      <w:pPr>
        <w:pStyle w:val="117"/>
        <w:tabs>
          <w:tab w:val="right" w:leader="dot" w:pos="8844"/>
        </w:tabs>
        <w:spacing w:line="480" w:lineRule="auto"/>
        <w:rPr>
          <w:rFonts w:ascii="仿宋" w:hAnsi="仿宋" w:eastAsia="仿宋" w:cs="仿宋"/>
          <w:color w:val="auto"/>
          <w:sz w:val="24"/>
          <w:szCs w:val="24"/>
          <w:highlight w:val="none"/>
        </w:rPr>
      </w:pPr>
      <w:r>
        <w:rPr>
          <w:rFonts w:hint="eastAsia" w:ascii="仿宋" w:hAnsi="仿宋" w:eastAsia="仿宋" w:cs="仿宋"/>
          <w:color w:val="auto"/>
          <w:sz w:val="24"/>
          <w:szCs w:val="24"/>
          <w:highlight w:val="none"/>
        </w:rPr>
        <w:t>5、编制单位营业执照</w:t>
      </w:r>
    </w:p>
    <w:p w14:paraId="7706CEB3">
      <w:pPr>
        <w:pStyle w:val="117"/>
        <w:tabs>
          <w:tab w:val="right" w:leader="dot" w:pos="8844"/>
        </w:tabs>
        <w:spacing w:line="480" w:lineRule="auto"/>
        <w:rPr>
          <w:rFonts w:ascii="仿宋" w:hAnsi="仿宋" w:eastAsia="仿宋" w:cs="仿宋"/>
          <w:color w:val="auto"/>
          <w:sz w:val="28"/>
          <w:szCs w:val="28"/>
          <w:highlight w:val="none"/>
        </w:rPr>
      </w:pPr>
      <w:r>
        <w:rPr>
          <w:rFonts w:hint="eastAsia" w:ascii="仿宋" w:hAnsi="仿宋" w:eastAsia="仿宋" w:cs="仿宋"/>
          <w:b/>
          <w:bCs/>
          <w:color w:val="auto"/>
          <w:sz w:val="28"/>
          <w:szCs w:val="28"/>
          <w:highlight w:val="none"/>
        </w:rPr>
        <w:t>环评报告正文</w:t>
      </w:r>
    </w:p>
    <w:p w14:paraId="1BEA5CEF">
      <w:pPr>
        <w:pStyle w:val="117"/>
        <w:tabs>
          <w:tab w:val="right" w:leader="dot" w:pos="8844"/>
        </w:tabs>
        <w:spacing w:line="480" w:lineRule="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fldChar w:fldCharType="begin"/>
      </w:r>
      <w:r>
        <w:rPr>
          <w:rFonts w:hint="eastAsia" w:ascii="仿宋" w:hAnsi="仿宋" w:eastAsia="仿宋" w:cs="仿宋"/>
          <w:color w:val="auto"/>
          <w:sz w:val="24"/>
          <w:szCs w:val="24"/>
          <w:highlight w:val="none"/>
        </w:rPr>
        <w:instrText xml:space="preserve">TOC \o "1-1" \h \u </w:instrText>
      </w:r>
      <w:r>
        <w:rPr>
          <w:rFonts w:hint="eastAsia"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fldChar w:fldCharType="begin"/>
      </w:r>
      <w:r>
        <w:rPr>
          <w:rFonts w:hint="eastAsia" w:ascii="仿宋" w:hAnsi="仿宋" w:eastAsia="仿宋" w:cs="仿宋"/>
          <w:color w:val="auto"/>
          <w:sz w:val="24"/>
          <w:szCs w:val="24"/>
          <w:highlight w:val="none"/>
        </w:rPr>
        <w:instrText xml:space="preserve"> HYPERLINK \l _Toc8795 </w:instrText>
      </w:r>
      <w:r>
        <w:rPr>
          <w:rFonts w:hint="eastAsia"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一、建设项目基本情况</w:t>
      </w:r>
      <w:r>
        <w:rPr>
          <w:rFonts w:hint="eastAsia" w:ascii="仿宋" w:hAnsi="仿宋" w:eastAsia="仿宋" w:cs="仿宋"/>
          <w:color w:val="auto"/>
          <w:sz w:val="24"/>
          <w:szCs w:val="24"/>
          <w:highlight w:val="none"/>
        </w:rPr>
        <w:tab/>
      </w:r>
      <w:r>
        <w:rPr>
          <w:rFonts w:hint="eastAsia" w:ascii="仿宋" w:hAnsi="仿宋" w:eastAsia="仿宋" w:cs="仿宋"/>
          <w:color w:val="auto"/>
          <w:sz w:val="24"/>
          <w:szCs w:val="24"/>
          <w:highlight w:val="none"/>
          <w:lang w:val="en-US" w:eastAsia="zh-CN"/>
        </w:rPr>
        <w:t>1</w:t>
      </w:r>
      <w:r>
        <w:rPr>
          <w:rFonts w:hint="eastAsia" w:ascii="仿宋" w:hAnsi="仿宋" w:eastAsia="仿宋" w:cs="仿宋"/>
          <w:color w:val="auto"/>
          <w:sz w:val="24"/>
          <w:szCs w:val="24"/>
          <w:highlight w:val="none"/>
        </w:rPr>
        <w:fldChar w:fldCharType="end"/>
      </w:r>
    </w:p>
    <w:p w14:paraId="6DD8F038">
      <w:pPr>
        <w:pStyle w:val="117"/>
        <w:tabs>
          <w:tab w:val="right" w:leader="dot" w:pos="8844"/>
        </w:tabs>
        <w:spacing w:line="480" w:lineRule="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fldChar w:fldCharType="begin"/>
      </w:r>
      <w:r>
        <w:rPr>
          <w:rFonts w:hint="eastAsia" w:ascii="仿宋" w:hAnsi="仿宋" w:eastAsia="仿宋" w:cs="仿宋"/>
          <w:color w:val="auto"/>
          <w:sz w:val="24"/>
          <w:szCs w:val="24"/>
          <w:highlight w:val="none"/>
        </w:rPr>
        <w:instrText xml:space="preserve"> HYPERLINK \l _Toc6121 </w:instrText>
      </w:r>
      <w:r>
        <w:rPr>
          <w:rFonts w:hint="eastAsia"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二、建设项目工程分析</w:t>
      </w:r>
      <w:r>
        <w:rPr>
          <w:rFonts w:hint="eastAsia" w:ascii="仿宋" w:hAnsi="仿宋" w:eastAsia="仿宋" w:cs="仿宋"/>
          <w:color w:val="auto"/>
          <w:sz w:val="24"/>
          <w:szCs w:val="24"/>
          <w:highlight w:val="none"/>
        </w:rPr>
        <w:tab/>
      </w:r>
      <w:r>
        <w:rPr>
          <w:rFonts w:hint="eastAsia" w:ascii="仿宋" w:hAnsi="仿宋" w:eastAsia="仿宋" w:cs="仿宋"/>
          <w:color w:val="auto"/>
          <w:sz w:val="24"/>
          <w:szCs w:val="24"/>
          <w:highlight w:val="none"/>
        </w:rPr>
        <w:fldChar w:fldCharType="begin"/>
      </w:r>
      <w:r>
        <w:rPr>
          <w:rFonts w:hint="eastAsia" w:ascii="仿宋" w:hAnsi="仿宋" w:eastAsia="仿宋" w:cs="仿宋"/>
          <w:color w:val="auto"/>
          <w:sz w:val="24"/>
          <w:szCs w:val="24"/>
          <w:highlight w:val="none"/>
        </w:rPr>
        <w:instrText xml:space="preserve"> PAGEREF _Toc6121 \h </w:instrText>
      </w:r>
      <w:r>
        <w:rPr>
          <w:rFonts w:hint="eastAsia"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2</w:t>
      </w:r>
      <w:r>
        <w:rPr>
          <w:rFonts w:hint="eastAsia" w:ascii="仿宋" w:hAnsi="仿宋" w:eastAsia="仿宋" w:cs="仿宋"/>
          <w:color w:val="auto"/>
          <w:sz w:val="24"/>
          <w:szCs w:val="24"/>
          <w:highlight w:val="none"/>
          <w:lang w:val="en-US" w:eastAsia="zh-CN"/>
        </w:rPr>
        <w:t>0</w:t>
      </w:r>
      <w:r>
        <w:rPr>
          <w:rFonts w:hint="eastAsia"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fldChar w:fldCharType="end"/>
      </w:r>
    </w:p>
    <w:p w14:paraId="61B5AF13">
      <w:pPr>
        <w:pStyle w:val="117"/>
        <w:tabs>
          <w:tab w:val="right" w:leader="dot" w:pos="8844"/>
        </w:tabs>
        <w:spacing w:line="480" w:lineRule="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fldChar w:fldCharType="begin"/>
      </w:r>
      <w:r>
        <w:rPr>
          <w:rFonts w:hint="eastAsia" w:ascii="仿宋" w:hAnsi="仿宋" w:eastAsia="仿宋" w:cs="仿宋"/>
          <w:color w:val="auto"/>
          <w:sz w:val="24"/>
          <w:szCs w:val="24"/>
          <w:highlight w:val="none"/>
        </w:rPr>
        <w:instrText xml:space="preserve"> HYPERLINK \l _Toc18922 </w:instrText>
      </w:r>
      <w:r>
        <w:rPr>
          <w:rFonts w:hint="eastAsia"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三、区域环境质量现状、环境保护目标及评价标准</w:t>
      </w:r>
      <w:r>
        <w:rPr>
          <w:rFonts w:hint="eastAsia" w:ascii="仿宋" w:hAnsi="仿宋" w:eastAsia="仿宋" w:cs="仿宋"/>
          <w:color w:val="auto"/>
          <w:sz w:val="24"/>
          <w:szCs w:val="24"/>
          <w:highlight w:val="none"/>
        </w:rPr>
        <w:tab/>
      </w:r>
      <w:r>
        <w:rPr>
          <w:rFonts w:hint="eastAsia" w:ascii="仿宋" w:hAnsi="仿宋" w:eastAsia="仿宋" w:cs="仿宋"/>
          <w:color w:val="auto"/>
          <w:sz w:val="24"/>
          <w:szCs w:val="24"/>
          <w:highlight w:val="none"/>
        </w:rPr>
        <w:fldChar w:fldCharType="begin"/>
      </w:r>
      <w:r>
        <w:rPr>
          <w:rFonts w:hint="eastAsia" w:ascii="仿宋" w:hAnsi="仿宋" w:eastAsia="仿宋" w:cs="仿宋"/>
          <w:color w:val="auto"/>
          <w:sz w:val="24"/>
          <w:szCs w:val="24"/>
          <w:highlight w:val="none"/>
        </w:rPr>
        <w:instrText xml:space="preserve"> PAGEREF _Toc18922 \h </w:instrText>
      </w:r>
      <w:r>
        <w:rPr>
          <w:rFonts w:hint="eastAsia"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3</w:t>
      </w: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fldChar w:fldCharType="end"/>
      </w:r>
    </w:p>
    <w:p w14:paraId="749576C5">
      <w:pPr>
        <w:pStyle w:val="117"/>
        <w:tabs>
          <w:tab w:val="right" w:leader="dot" w:pos="8844"/>
        </w:tabs>
        <w:spacing w:line="480" w:lineRule="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fldChar w:fldCharType="begin"/>
      </w:r>
      <w:r>
        <w:rPr>
          <w:rFonts w:hint="eastAsia" w:ascii="仿宋" w:hAnsi="仿宋" w:eastAsia="仿宋" w:cs="仿宋"/>
          <w:color w:val="auto"/>
          <w:sz w:val="24"/>
          <w:szCs w:val="24"/>
          <w:highlight w:val="none"/>
        </w:rPr>
        <w:instrText xml:space="preserve"> HYPERLINK \l _Toc26585 </w:instrText>
      </w:r>
      <w:r>
        <w:rPr>
          <w:rFonts w:hint="eastAsia"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四、主要环境影响和保护措施</w:t>
      </w:r>
      <w:r>
        <w:rPr>
          <w:rFonts w:hint="eastAsia" w:ascii="仿宋" w:hAnsi="仿宋" w:eastAsia="仿宋" w:cs="仿宋"/>
          <w:color w:val="auto"/>
          <w:sz w:val="24"/>
          <w:szCs w:val="24"/>
          <w:highlight w:val="none"/>
        </w:rPr>
        <w:tab/>
      </w:r>
      <w:r>
        <w:rPr>
          <w:rFonts w:hint="eastAsia" w:ascii="仿宋" w:hAnsi="仿宋" w:eastAsia="仿宋" w:cs="仿宋"/>
          <w:color w:val="auto"/>
          <w:sz w:val="24"/>
          <w:szCs w:val="24"/>
          <w:highlight w:val="none"/>
        </w:rPr>
        <w:fldChar w:fldCharType="begin"/>
      </w:r>
      <w:r>
        <w:rPr>
          <w:rFonts w:hint="eastAsia" w:ascii="仿宋" w:hAnsi="仿宋" w:eastAsia="仿宋" w:cs="仿宋"/>
          <w:color w:val="auto"/>
          <w:sz w:val="24"/>
          <w:szCs w:val="24"/>
          <w:highlight w:val="none"/>
        </w:rPr>
        <w:instrText xml:space="preserve"> PAGEREF _Toc26585 \h </w:instrText>
      </w:r>
      <w:r>
        <w:rPr>
          <w:rFonts w:hint="eastAsia"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3</w:t>
      </w:r>
      <w:r>
        <w:rPr>
          <w:rFonts w:hint="eastAsia" w:ascii="仿宋" w:hAnsi="仿宋" w:eastAsia="仿宋" w:cs="仿宋"/>
          <w:color w:val="auto"/>
          <w:sz w:val="24"/>
          <w:szCs w:val="24"/>
          <w:highlight w:val="none"/>
          <w:lang w:val="en-US" w:eastAsia="zh-CN"/>
        </w:rPr>
        <w:t>8</w:t>
      </w:r>
      <w:r>
        <w:rPr>
          <w:rFonts w:hint="eastAsia"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fldChar w:fldCharType="end"/>
      </w:r>
    </w:p>
    <w:p w14:paraId="7CD01E4F">
      <w:pPr>
        <w:pStyle w:val="117"/>
        <w:tabs>
          <w:tab w:val="right" w:leader="dot" w:pos="8844"/>
        </w:tabs>
        <w:spacing w:line="480" w:lineRule="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fldChar w:fldCharType="begin"/>
      </w:r>
      <w:r>
        <w:rPr>
          <w:rFonts w:hint="eastAsia" w:ascii="仿宋" w:hAnsi="仿宋" w:eastAsia="仿宋" w:cs="仿宋"/>
          <w:color w:val="auto"/>
          <w:sz w:val="24"/>
          <w:szCs w:val="24"/>
          <w:highlight w:val="none"/>
        </w:rPr>
        <w:instrText xml:space="preserve"> HYPERLINK \l _Toc28264 </w:instrText>
      </w:r>
      <w:r>
        <w:rPr>
          <w:rFonts w:hint="eastAsia"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五、环境保护措施监督检查清单</w:t>
      </w:r>
      <w:r>
        <w:rPr>
          <w:rFonts w:hint="eastAsia" w:ascii="仿宋" w:hAnsi="仿宋" w:eastAsia="仿宋" w:cs="仿宋"/>
          <w:color w:val="auto"/>
          <w:sz w:val="24"/>
          <w:szCs w:val="24"/>
          <w:highlight w:val="none"/>
        </w:rPr>
        <w:tab/>
      </w:r>
      <w:r>
        <w:rPr>
          <w:rFonts w:hint="eastAsia" w:ascii="仿宋" w:hAnsi="仿宋" w:eastAsia="仿宋" w:cs="仿宋"/>
          <w:color w:val="auto"/>
          <w:sz w:val="24"/>
          <w:szCs w:val="24"/>
          <w:highlight w:val="none"/>
        </w:rPr>
        <w:fldChar w:fldCharType="begin"/>
      </w:r>
      <w:r>
        <w:rPr>
          <w:rFonts w:hint="eastAsia" w:ascii="仿宋" w:hAnsi="仿宋" w:eastAsia="仿宋" w:cs="仿宋"/>
          <w:color w:val="auto"/>
          <w:sz w:val="24"/>
          <w:szCs w:val="24"/>
          <w:highlight w:val="none"/>
        </w:rPr>
        <w:instrText xml:space="preserve"> PAGEREF _Toc28264 \h </w:instrText>
      </w:r>
      <w:r>
        <w:rPr>
          <w:rFonts w:hint="eastAsia"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6</w:t>
      </w:r>
      <w:r>
        <w:rPr>
          <w:rFonts w:hint="eastAsia" w:ascii="仿宋" w:hAnsi="仿宋" w:eastAsia="仿宋" w:cs="仿宋"/>
          <w:color w:val="auto"/>
          <w:sz w:val="24"/>
          <w:szCs w:val="24"/>
          <w:highlight w:val="none"/>
          <w:lang w:val="en-US" w:eastAsia="zh-CN"/>
        </w:rPr>
        <w:t>4</w:t>
      </w:r>
      <w:r>
        <w:rPr>
          <w:rFonts w:hint="eastAsia"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fldChar w:fldCharType="end"/>
      </w:r>
    </w:p>
    <w:p w14:paraId="69D1501C">
      <w:pPr>
        <w:pStyle w:val="117"/>
        <w:tabs>
          <w:tab w:val="right" w:leader="dot" w:pos="8844"/>
        </w:tabs>
        <w:spacing w:line="480" w:lineRule="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fldChar w:fldCharType="begin"/>
      </w:r>
      <w:r>
        <w:rPr>
          <w:rFonts w:hint="eastAsia" w:ascii="仿宋" w:hAnsi="仿宋" w:eastAsia="仿宋" w:cs="仿宋"/>
          <w:color w:val="auto"/>
          <w:sz w:val="24"/>
          <w:szCs w:val="24"/>
          <w:highlight w:val="none"/>
        </w:rPr>
        <w:instrText xml:space="preserve"> HYPERLINK \l _Toc1301 </w:instrText>
      </w:r>
      <w:r>
        <w:rPr>
          <w:rFonts w:hint="eastAsia"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六、结论</w:t>
      </w:r>
      <w:r>
        <w:rPr>
          <w:rFonts w:hint="eastAsia" w:ascii="仿宋" w:hAnsi="仿宋" w:eastAsia="仿宋" w:cs="仿宋"/>
          <w:color w:val="auto"/>
          <w:sz w:val="24"/>
          <w:szCs w:val="24"/>
          <w:highlight w:val="none"/>
        </w:rPr>
        <w:tab/>
      </w:r>
      <w:r>
        <w:rPr>
          <w:rFonts w:hint="eastAsia" w:ascii="仿宋" w:hAnsi="仿宋" w:eastAsia="仿宋" w:cs="仿宋"/>
          <w:color w:val="auto"/>
          <w:sz w:val="24"/>
          <w:szCs w:val="24"/>
          <w:highlight w:val="none"/>
        </w:rPr>
        <w:fldChar w:fldCharType="begin"/>
      </w:r>
      <w:r>
        <w:rPr>
          <w:rFonts w:hint="eastAsia" w:ascii="仿宋" w:hAnsi="仿宋" w:eastAsia="仿宋" w:cs="仿宋"/>
          <w:color w:val="auto"/>
          <w:sz w:val="24"/>
          <w:szCs w:val="24"/>
          <w:highlight w:val="none"/>
        </w:rPr>
        <w:instrText xml:space="preserve"> PAGEREF _Toc1301 \h </w:instrText>
      </w:r>
      <w:r>
        <w:rPr>
          <w:rFonts w:hint="eastAsia"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6</w:t>
      </w:r>
      <w:r>
        <w:rPr>
          <w:rFonts w:hint="eastAsia" w:ascii="仿宋" w:hAnsi="仿宋" w:eastAsia="仿宋" w:cs="仿宋"/>
          <w:color w:val="auto"/>
          <w:sz w:val="24"/>
          <w:szCs w:val="24"/>
          <w:highlight w:val="none"/>
          <w:lang w:val="en-US" w:eastAsia="zh-CN"/>
        </w:rPr>
        <w:t>6</w:t>
      </w:r>
      <w:r>
        <w:rPr>
          <w:rFonts w:hint="eastAsia"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fldChar w:fldCharType="end"/>
      </w:r>
    </w:p>
    <w:p w14:paraId="04EDF74D">
      <w:pPr>
        <w:pStyle w:val="117"/>
        <w:tabs>
          <w:tab w:val="right" w:leader="dot" w:pos="8844"/>
        </w:tabs>
        <w:spacing w:line="480" w:lineRule="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fldChar w:fldCharType="begin"/>
      </w:r>
      <w:r>
        <w:rPr>
          <w:rFonts w:hint="eastAsia" w:ascii="仿宋" w:hAnsi="仿宋" w:eastAsia="仿宋" w:cs="仿宋"/>
          <w:color w:val="auto"/>
          <w:sz w:val="24"/>
          <w:szCs w:val="24"/>
          <w:highlight w:val="none"/>
        </w:rPr>
        <w:instrText xml:space="preserve"> HYPERLINK \l _Toc8108 </w:instrText>
      </w:r>
      <w:r>
        <w:rPr>
          <w:rFonts w:hint="eastAsia"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附表</w:t>
      </w:r>
      <w:r>
        <w:rPr>
          <w:rFonts w:hint="eastAsia" w:ascii="仿宋" w:hAnsi="仿宋" w:eastAsia="仿宋" w:cs="仿宋"/>
          <w:color w:val="auto"/>
          <w:sz w:val="24"/>
          <w:szCs w:val="24"/>
          <w:highlight w:val="none"/>
        </w:rPr>
        <w:tab/>
      </w:r>
      <w:r>
        <w:rPr>
          <w:rFonts w:hint="eastAsia" w:ascii="仿宋" w:hAnsi="仿宋" w:eastAsia="仿宋" w:cs="仿宋"/>
          <w:color w:val="auto"/>
          <w:sz w:val="24"/>
          <w:szCs w:val="24"/>
          <w:highlight w:val="none"/>
        </w:rPr>
        <w:fldChar w:fldCharType="begin"/>
      </w:r>
      <w:r>
        <w:rPr>
          <w:rFonts w:hint="eastAsia" w:ascii="仿宋" w:hAnsi="仿宋" w:eastAsia="仿宋" w:cs="仿宋"/>
          <w:color w:val="auto"/>
          <w:sz w:val="24"/>
          <w:szCs w:val="24"/>
          <w:highlight w:val="none"/>
        </w:rPr>
        <w:instrText xml:space="preserve"> PAGEREF _Toc8108 \h </w:instrText>
      </w:r>
      <w:r>
        <w:rPr>
          <w:rFonts w:hint="eastAsia" w:ascii="仿宋" w:hAnsi="仿宋" w:eastAsia="仿宋" w:cs="仿宋"/>
          <w:color w:val="auto"/>
          <w:sz w:val="24"/>
          <w:szCs w:val="24"/>
          <w:highlight w:val="none"/>
        </w:rPr>
        <w:fldChar w:fldCharType="separate"/>
      </w:r>
      <w:r>
        <w:rPr>
          <w:rFonts w:hint="eastAsia" w:ascii="仿宋" w:hAnsi="仿宋" w:eastAsia="仿宋" w:cs="仿宋"/>
          <w:color w:val="auto"/>
          <w:sz w:val="24"/>
          <w:szCs w:val="24"/>
          <w:highlight w:val="none"/>
        </w:rPr>
        <w:t>6</w:t>
      </w:r>
      <w:r>
        <w:rPr>
          <w:rFonts w:hint="eastAsia" w:ascii="仿宋" w:hAnsi="仿宋" w:eastAsia="仿宋" w:cs="仿宋"/>
          <w:color w:val="auto"/>
          <w:sz w:val="24"/>
          <w:szCs w:val="24"/>
          <w:highlight w:val="none"/>
          <w:lang w:val="en-US" w:eastAsia="zh-CN"/>
        </w:rPr>
        <w:t>7</w:t>
      </w:r>
      <w:r>
        <w:rPr>
          <w:rFonts w:hint="eastAsia" w:ascii="仿宋" w:hAnsi="仿宋" w:eastAsia="仿宋" w:cs="仿宋"/>
          <w:color w:val="auto"/>
          <w:sz w:val="24"/>
          <w:szCs w:val="24"/>
          <w:highlight w:val="none"/>
        </w:rPr>
        <w:fldChar w:fldCharType="end"/>
      </w:r>
      <w:r>
        <w:rPr>
          <w:rFonts w:hint="eastAsia" w:ascii="仿宋" w:hAnsi="仿宋" w:eastAsia="仿宋" w:cs="仿宋"/>
          <w:color w:val="auto"/>
          <w:sz w:val="24"/>
          <w:szCs w:val="24"/>
          <w:highlight w:val="none"/>
        </w:rPr>
        <w:fldChar w:fldCharType="end"/>
      </w:r>
    </w:p>
    <w:p w14:paraId="60420445">
      <w:pPr>
        <w:pStyle w:val="117"/>
        <w:tabs>
          <w:tab w:val="right" w:leader="dot" w:pos="8844"/>
        </w:tabs>
        <w:spacing w:line="480" w:lineRule="auto"/>
        <w:rPr>
          <w:rFonts w:ascii="仿宋" w:hAnsi="仿宋" w:eastAsia="仿宋" w:cs="仿宋"/>
          <w:b/>
          <w:bCs/>
          <w:color w:val="auto"/>
          <w:sz w:val="28"/>
          <w:szCs w:val="28"/>
          <w:highlight w:val="none"/>
        </w:rPr>
      </w:pPr>
      <w:r>
        <w:rPr>
          <w:rFonts w:hint="eastAsia" w:ascii="仿宋" w:hAnsi="仿宋" w:eastAsia="仿宋" w:cs="仿宋"/>
          <w:color w:val="auto"/>
          <w:sz w:val="24"/>
          <w:szCs w:val="24"/>
          <w:highlight w:val="none"/>
        </w:rPr>
        <w:fldChar w:fldCharType="end"/>
      </w:r>
      <w:r>
        <w:rPr>
          <w:rFonts w:hint="eastAsia" w:ascii="仿宋" w:hAnsi="仿宋" w:eastAsia="仿宋" w:cs="仿宋"/>
          <w:b/>
          <w:bCs/>
          <w:color w:val="auto"/>
          <w:sz w:val="28"/>
          <w:szCs w:val="28"/>
          <w:highlight w:val="none"/>
        </w:rPr>
        <w:t>附图、附件</w:t>
      </w:r>
    </w:p>
    <w:p w14:paraId="5FAABED4">
      <w:pPr>
        <w:pStyle w:val="117"/>
        <w:tabs>
          <w:tab w:val="right" w:leader="dot" w:pos="8844"/>
        </w:tabs>
        <w:spacing w:line="480" w:lineRule="auto"/>
        <w:rPr>
          <w:rFonts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专家意见</w:t>
      </w:r>
    </w:p>
    <w:p w14:paraId="3467BD35">
      <w:pPr>
        <w:pStyle w:val="117"/>
        <w:tabs>
          <w:tab w:val="right" w:leader="dot" w:pos="8844"/>
        </w:tabs>
        <w:spacing w:line="480" w:lineRule="auto"/>
        <w:rPr>
          <w:rFonts w:ascii="仿宋" w:hAnsi="仿宋" w:eastAsia="仿宋" w:cs="仿宋"/>
          <w:b/>
          <w:bCs/>
          <w:color w:val="auto"/>
          <w:sz w:val="28"/>
          <w:szCs w:val="28"/>
          <w:highlight w:val="none"/>
        </w:rPr>
      </w:pPr>
    </w:p>
    <w:p w14:paraId="0AD26D34">
      <w:pPr>
        <w:pStyle w:val="45"/>
        <w:rPr>
          <w:rFonts w:hint="default"/>
          <w:color w:val="auto"/>
          <w:highlight w:val="none"/>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33731D78">
      <w:pPr>
        <w:jc w:val="center"/>
        <w:rPr>
          <w:rFonts w:hint="eastAsia"/>
          <w:b/>
          <w:bCs/>
          <w:sz w:val="44"/>
          <w:szCs w:val="44"/>
        </w:rPr>
      </w:pPr>
      <w:bookmarkStart w:id="2" w:name="_Toc8795"/>
      <w:r>
        <w:rPr>
          <w:rFonts w:hint="eastAsia"/>
          <w:b/>
          <w:bCs/>
          <w:sz w:val="44"/>
          <w:szCs w:val="44"/>
        </w:rPr>
        <w:t>建设单位责任声明</w:t>
      </w:r>
    </w:p>
    <w:p w14:paraId="572464DB">
      <w:pPr>
        <w:jc w:val="center"/>
        <w:rPr>
          <w:rFonts w:hint="eastAsia"/>
          <w:b/>
          <w:bCs/>
          <w:sz w:val="36"/>
          <w:szCs w:val="36"/>
        </w:rPr>
      </w:pPr>
    </w:p>
    <w:p w14:paraId="5F23B0F6">
      <w:pPr>
        <w:rPr>
          <w:rFonts w:hint="eastAsia"/>
        </w:rPr>
      </w:pPr>
    </w:p>
    <w:p w14:paraId="18D2BB5F">
      <w:pPr>
        <w:spacing w:line="600" w:lineRule="exact"/>
        <w:ind w:firstLine="600" w:firstLineChars="200"/>
        <w:rPr>
          <w:rFonts w:hint="eastAsia" w:ascii="仿宋" w:hAnsi="仿宋" w:eastAsia="仿宋" w:cs="仿宋"/>
          <w:sz w:val="30"/>
          <w:szCs w:val="30"/>
        </w:rPr>
      </w:pPr>
      <w:r>
        <w:rPr>
          <w:rFonts w:hint="eastAsia" w:ascii="仿宋" w:hAnsi="仿宋" w:eastAsia="仿宋" w:cs="仿宋"/>
          <w:sz w:val="30"/>
          <w:szCs w:val="30"/>
        </w:rPr>
        <w:t>我公司按照《中华人民共和国环境影响评价法》、《建设项目</w:t>
      </w:r>
      <w:r>
        <w:rPr>
          <w:rFonts w:hint="eastAsia" w:ascii="仿宋" w:hAnsi="仿宋" w:eastAsia="仿宋" w:cs="仿宋"/>
          <w:sz w:val="30"/>
          <w:szCs w:val="30"/>
          <w:lang w:eastAsia="zh-CN"/>
        </w:rPr>
        <w:t>环境影响报告</w:t>
      </w:r>
      <w:r>
        <w:rPr>
          <w:rFonts w:hint="eastAsia" w:ascii="仿宋" w:hAnsi="仿宋" w:eastAsia="仿宋" w:cs="仿宋"/>
          <w:sz w:val="30"/>
          <w:szCs w:val="30"/>
          <w:lang w:val="en-US" w:eastAsia="zh-CN"/>
        </w:rPr>
        <w:t>书</w:t>
      </w:r>
      <w:r>
        <w:rPr>
          <w:rFonts w:hint="eastAsia" w:ascii="仿宋" w:hAnsi="仿宋" w:eastAsia="仿宋" w:cs="仿宋"/>
          <w:sz w:val="30"/>
          <w:szCs w:val="30"/>
        </w:rPr>
        <w:t>（表）编制监督管理办法》中相应条款规定，委托</w:t>
      </w:r>
      <w:r>
        <w:rPr>
          <w:rFonts w:hint="eastAsia" w:ascii="仿宋" w:hAnsi="仿宋" w:eastAsia="仿宋" w:cs="仿宋"/>
          <w:sz w:val="30"/>
          <w:szCs w:val="30"/>
          <w:u w:val="single"/>
        </w:rPr>
        <w:t>秦皇岛意航工程技术有限公司</w:t>
      </w:r>
      <w:r>
        <w:rPr>
          <w:rFonts w:hint="eastAsia" w:ascii="仿宋" w:hAnsi="仿宋" w:eastAsia="仿宋" w:cs="仿宋"/>
          <w:sz w:val="30"/>
          <w:szCs w:val="30"/>
        </w:rPr>
        <w:t>编制了</w:t>
      </w:r>
      <w:r>
        <w:rPr>
          <w:rFonts w:hint="eastAsia" w:ascii="仿宋" w:hAnsi="仿宋" w:eastAsia="仿宋" w:cs="仿宋"/>
          <w:sz w:val="30"/>
          <w:szCs w:val="30"/>
          <w:u w:val="single"/>
        </w:rPr>
        <w:t>《</w:t>
      </w:r>
      <w:r>
        <w:rPr>
          <w:rFonts w:hint="eastAsia" w:ascii="仿宋" w:hAnsi="仿宋" w:eastAsia="仿宋" w:cs="仿宋"/>
          <w:color w:val="000000"/>
          <w:sz w:val="30"/>
          <w:szCs w:val="30"/>
          <w:highlight w:val="none"/>
          <w:u w:val="single"/>
          <w:lang w:eastAsia="zh-CN"/>
        </w:rPr>
        <w:t>秦皇岛万邦零部件加工有限公司新建二车间</w:t>
      </w:r>
      <w:r>
        <w:rPr>
          <w:rFonts w:hint="eastAsia" w:ascii="仿宋" w:hAnsi="仿宋" w:eastAsia="仿宋" w:cs="仿宋"/>
          <w:sz w:val="30"/>
          <w:szCs w:val="30"/>
          <w:u w:val="single"/>
          <w:lang w:eastAsia="zh-CN"/>
        </w:rPr>
        <w:t>环境影响报告表</w:t>
      </w:r>
      <w:r>
        <w:rPr>
          <w:rFonts w:hint="eastAsia" w:ascii="仿宋" w:hAnsi="仿宋" w:eastAsia="仿宋" w:cs="仿宋"/>
          <w:sz w:val="30"/>
          <w:szCs w:val="30"/>
          <w:u w:val="single"/>
        </w:rPr>
        <w:t>》</w:t>
      </w:r>
      <w:r>
        <w:rPr>
          <w:rFonts w:hint="eastAsia" w:ascii="仿宋" w:hAnsi="仿宋" w:eastAsia="仿宋" w:cs="仿宋"/>
          <w:sz w:val="30"/>
          <w:szCs w:val="30"/>
        </w:rPr>
        <w:t>，经核实，该公司及编制人员均具有多年环评工作经验，并且已在环境影响评价信用平台完成注册登记。</w:t>
      </w:r>
    </w:p>
    <w:p w14:paraId="6820AA78">
      <w:pPr>
        <w:spacing w:line="600" w:lineRule="exact"/>
        <w:ind w:firstLine="600" w:firstLineChars="200"/>
        <w:rPr>
          <w:rFonts w:hint="eastAsia" w:ascii="仿宋" w:hAnsi="仿宋" w:eastAsia="仿宋" w:cs="仿宋"/>
          <w:sz w:val="30"/>
          <w:szCs w:val="30"/>
        </w:rPr>
      </w:pPr>
      <w:r>
        <w:rPr>
          <w:rFonts w:hint="eastAsia" w:ascii="仿宋" w:hAnsi="仿宋" w:eastAsia="仿宋" w:cs="仿宋"/>
          <w:sz w:val="30"/>
          <w:szCs w:val="30"/>
        </w:rPr>
        <w:t>我公司对</w:t>
      </w:r>
      <w:r>
        <w:rPr>
          <w:rFonts w:hint="eastAsia" w:ascii="仿宋" w:hAnsi="仿宋" w:eastAsia="仿宋" w:cs="仿宋"/>
          <w:sz w:val="30"/>
          <w:szCs w:val="30"/>
          <w:u w:val="single"/>
        </w:rPr>
        <w:t>《</w:t>
      </w:r>
      <w:r>
        <w:rPr>
          <w:rFonts w:hint="eastAsia" w:ascii="仿宋" w:hAnsi="仿宋" w:eastAsia="仿宋" w:cs="仿宋"/>
          <w:color w:val="000000"/>
          <w:sz w:val="30"/>
          <w:szCs w:val="30"/>
          <w:highlight w:val="none"/>
          <w:u w:val="single"/>
          <w:lang w:eastAsia="zh-CN"/>
        </w:rPr>
        <w:t>秦皇岛万邦零部件加工有限公司新建二车间</w:t>
      </w:r>
      <w:r>
        <w:rPr>
          <w:rFonts w:hint="eastAsia" w:ascii="仿宋" w:hAnsi="仿宋" w:eastAsia="仿宋" w:cs="仿宋"/>
          <w:sz w:val="30"/>
          <w:szCs w:val="30"/>
          <w:u w:val="single"/>
          <w:lang w:eastAsia="zh-CN"/>
        </w:rPr>
        <w:t>环境影响报告表</w:t>
      </w:r>
      <w:r>
        <w:rPr>
          <w:rFonts w:hint="eastAsia" w:ascii="仿宋" w:hAnsi="仿宋" w:eastAsia="仿宋" w:cs="仿宋"/>
          <w:sz w:val="30"/>
          <w:szCs w:val="30"/>
          <w:u w:val="single"/>
        </w:rPr>
        <w:t>》</w:t>
      </w:r>
      <w:r>
        <w:rPr>
          <w:rFonts w:hint="eastAsia" w:ascii="仿宋" w:hAnsi="仿宋" w:eastAsia="仿宋" w:cs="仿宋"/>
          <w:sz w:val="30"/>
          <w:szCs w:val="30"/>
        </w:rPr>
        <w:t>的内容进行了认真审核，确保其真实、有效，我公司对环评文件的内容和结论负责。如环评文件质量发生严重质量问题，我单位将承担相应法律责任，自愿接受相关处罚。</w:t>
      </w:r>
    </w:p>
    <w:p w14:paraId="1398A3E6">
      <w:pPr>
        <w:spacing w:line="600" w:lineRule="exact"/>
        <w:ind w:firstLine="600" w:firstLineChars="200"/>
        <w:rPr>
          <w:rFonts w:ascii="仿宋" w:hAnsi="仿宋" w:eastAsia="仿宋" w:cs="仿宋"/>
          <w:sz w:val="30"/>
          <w:szCs w:val="30"/>
        </w:rPr>
      </w:pPr>
      <w:r>
        <w:rPr>
          <w:rFonts w:hint="eastAsia" w:ascii="仿宋" w:hAnsi="仿宋" w:eastAsia="仿宋" w:cs="仿宋"/>
          <w:sz w:val="30"/>
          <w:szCs w:val="30"/>
        </w:rPr>
        <w:t>特此声明。</w:t>
      </w:r>
    </w:p>
    <w:p w14:paraId="290B452D">
      <w:pPr>
        <w:spacing w:line="600" w:lineRule="exact"/>
        <w:ind w:firstLine="420" w:firstLineChars="200"/>
        <w:rPr>
          <w:rFonts w:ascii="仿宋" w:hAnsi="仿宋" w:eastAsia="仿宋" w:cs="仿宋"/>
          <w:sz w:val="30"/>
          <w:szCs w:val="30"/>
        </w:rPr>
      </w:pPr>
      <w:r>
        <w:drawing>
          <wp:anchor distT="0" distB="0" distL="0" distR="0" simplePos="0" relativeHeight="251688960" behindDoc="1" locked="0" layoutInCell="1" allowOverlap="1">
            <wp:simplePos x="0" y="0"/>
            <wp:positionH relativeFrom="column">
              <wp:posOffset>3138805</wp:posOffset>
            </wp:positionH>
            <wp:positionV relativeFrom="paragraph">
              <wp:posOffset>338455</wp:posOffset>
            </wp:positionV>
            <wp:extent cx="1250950" cy="1231900"/>
            <wp:effectExtent l="0" t="0" r="6350" b="6350"/>
            <wp:wrapNone/>
            <wp:docPr id="90" name="IM 4"/>
            <wp:cNvGraphicFramePr/>
            <a:graphic xmlns:a="http://schemas.openxmlformats.org/drawingml/2006/main">
              <a:graphicData uri="http://schemas.openxmlformats.org/drawingml/2006/picture">
                <pic:pic xmlns:pic="http://schemas.openxmlformats.org/drawingml/2006/picture">
                  <pic:nvPicPr>
                    <pic:cNvPr id="90" name="IM 4"/>
                    <pic:cNvPicPr/>
                  </pic:nvPicPr>
                  <pic:blipFill>
                    <a:blip r:embed="rId10"/>
                    <a:stretch>
                      <a:fillRect/>
                    </a:stretch>
                  </pic:blipFill>
                  <pic:spPr>
                    <a:xfrm>
                      <a:off x="0" y="0"/>
                      <a:ext cx="1250950" cy="1231900"/>
                    </a:xfrm>
                    <a:prstGeom prst="rect">
                      <a:avLst/>
                    </a:prstGeom>
                  </pic:spPr>
                </pic:pic>
              </a:graphicData>
            </a:graphic>
          </wp:anchor>
        </w:drawing>
      </w:r>
    </w:p>
    <w:p w14:paraId="282DD865">
      <w:pPr>
        <w:rPr>
          <w:rFonts w:hint="eastAsia"/>
          <w:sz w:val="28"/>
          <w:szCs w:val="28"/>
        </w:rPr>
      </w:pPr>
    </w:p>
    <w:p w14:paraId="520AD970">
      <w:pPr>
        <w:spacing w:line="600" w:lineRule="exact"/>
        <w:ind w:firstLine="600" w:firstLineChars="200"/>
        <w:rPr>
          <w:rFonts w:hint="eastAsia" w:ascii="仿宋" w:hAnsi="仿宋" w:eastAsia="仿宋" w:cs="仿宋"/>
          <w:sz w:val="30"/>
          <w:szCs w:val="30"/>
          <w:lang w:eastAsia="zh-CN"/>
        </w:rPr>
      </w:pPr>
      <w:r>
        <w:rPr>
          <w:rFonts w:hint="eastAsia" w:ascii="仿宋" w:hAnsi="仿宋" w:eastAsia="仿宋" w:cs="仿宋"/>
          <w:sz w:val="30"/>
          <w:szCs w:val="30"/>
        </w:rPr>
        <w:t xml:space="preserve">              建设单位</w:t>
      </w:r>
      <w:r>
        <w:rPr>
          <w:rFonts w:ascii="仿宋" w:hAnsi="仿宋" w:eastAsia="仿宋" w:cs="仿宋"/>
          <w:sz w:val="30"/>
          <w:szCs w:val="30"/>
        </w:rPr>
        <w:t>：</w:t>
      </w:r>
      <w:r>
        <w:rPr>
          <w:rFonts w:hint="eastAsia" w:ascii="仿宋" w:hAnsi="仿宋" w:eastAsia="仿宋" w:cs="仿宋"/>
          <w:color w:val="000000"/>
          <w:sz w:val="30"/>
          <w:szCs w:val="30"/>
          <w:highlight w:val="none"/>
          <w:u w:val="none"/>
          <w:lang w:eastAsia="zh-CN"/>
        </w:rPr>
        <w:t>秦皇岛万邦零部件加工有限公司</w:t>
      </w:r>
    </w:p>
    <w:p w14:paraId="46AF7340">
      <w:pPr>
        <w:spacing w:line="600" w:lineRule="exact"/>
        <w:ind w:firstLine="600" w:firstLineChars="200"/>
        <w:rPr>
          <w:rFonts w:ascii="仿宋" w:hAnsi="仿宋" w:eastAsia="仿宋" w:cs="仿宋"/>
          <w:sz w:val="30"/>
          <w:szCs w:val="30"/>
        </w:rPr>
      </w:pPr>
      <w:r>
        <w:rPr>
          <w:rFonts w:hint="eastAsia" w:ascii="仿宋" w:hAnsi="仿宋" w:eastAsia="仿宋" w:cs="仿宋"/>
          <w:sz w:val="30"/>
          <w:szCs w:val="30"/>
        </w:rPr>
        <w:t xml:space="preserve">                                </w:t>
      </w:r>
      <w:r>
        <w:rPr>
          <w:rFonts w:ascii="仿宋" w:hAnsi="仿宋" w:eastAsia="仿宋" w:cs="仿宋"/>
          <w:sz w:val="30"/>
          <w:szCs w:val="30"/>
        </w:rPr>
        <w:t xml:space="preserve">     </w:t>
      </w:r>
      <w:r>
        <w:rPr>
          <w:rFonts w:hint="eastAsia" w:ascii="仿宋" w:hAnsi="仿宋" w:eastAsia="仿宋" w:cs="仿宋"/>
          <w:sz w:val="30"/>
          <w:szCs w:val="30"/>
          <w:lang w:val="en-US" w:eastAsia="zh-CN"/>
        </w:rPr>
        <w:t>2025</w:t>
      </w:r>
      <w:r>
        <w:rPr>
          <w:rFonts w:hint="eastAsia" w:ascii="仿宋" w:hAnsi="仿宋" w:eastAsia="仿宋" w:cs="仿宋"/>
          <w:sz w:val="30"/>
          <w:szCs w:val="30"/>
        </w:rPr>
        <w:t>年</w:t>
      </w:r>
      <w:r>
        <w:rPr>
          <w:rFonts w:hint="eastAsia" w:ascii="仿宋" w:hAnsi="仿宋" w:eastAsia="仿宋" w:cs="仿宋"/>
          <w:sz w:val="30"/>
          <w:szCs w:val="30"/>
          <w:lang w:val="en-US" w:eastAsia="zh-CN"/>
        </w:rPr>
        <w:t>9</w:t>
      </w:r>
      <w:r>
        <w:rPr>
          <w:rFonts w:hint="eastAsia" w:ascii="仿宋" w:hAnsi="仿宋" w:eastAsia="仿宋" w:cs="仿宋"/>
          <w:sz w:val="30"/>
          <w:szCs w:val="30"/>
        </w:rPr>
        <w:t>月</w:t>
      </w:r>
      <w:r>
        <w:rPr>
          <w:rFonts w:hint="eastAsia" w:ascii="仿宋" w:hAnsi="仿宋" w:eastAsia="仿宋" w:cs="仿宋"/>
          <w:sz w:val="30"/>
          <w:szCs w:val="30"/>
          <w:lang w:val="en-US" w:eastAsia="zh-CN"/>
        </w:rPr>
        <w:t>5</w:t>
      </w:r>
      <w:r>
        <w:rPr>
          <w:rFonts w:hint="eastAsia" w:ascii="仿宋" w:hAnsi="仿宋" w:eastAsia="仿宋" w:cs="仿宋"/>
          <w:sz w:val="30"/>
          <w:szCs w:val="30"/>
        </w:rPr>
        <w:t>日</w:t>
      </w:r>
    </w:p>
    <w:p w14:paraId="218A1AE5">
      <w:pPr>
        <w:rPr>
          <w:sz w:val="28"/>
          <w:szCs w:val="28"/>
        </w:rPr>
        <w:sectPr>
          <w:pgSz w:w="11906" w:h="16838"/>
          <w:pgMar w:top="1440" w:right="1800" w:bottom="1440" w:left="1800" w:header="851" w:footer="992" w:gutter="0"/>
          <w:cols w:space="720" w:num="1"/>
          <w:docGrid w:type="lines" w:linePitch="312" w:charSpace="0"/>
        </w:sectPr>
      </w:pPr>
    </w:p>
    <w:p w14:paraId="577B28CB">
      <w:pPr>
        <w:jc w:val="center"/>
        <w:rPr>
          <w:rFonts w:hint="eastAsia"/>
          <w:b/>
          <w:bCs/>
          <w:sz w:val="44"/>
          <w:szCs w:val="44"/>
        </w:rPr>
      </w:pPr>
      <w:r>
        <w:rPr>
          <w:rFonts w:hint="eastAsia"/>
          <w:b/>
          <w:bCs/>
          <w:sz w:val="44"/>
          <w:szCs w:val="44"/>
        </w:rPr>
        <w:t>环评单位责任声明</w:t>
      </w:r>
    </w:p>
    <w:p w14:paraId="0BE19F5F">
      <w:pPr>
        <w:jc w:val="center"/>
        <w:rPr>
          <w:rFonts w:hint="eastAsia"/>
          <w:b/>
          <w:bCs/>
          <w:sz w:val="36"/>
          <w:szCs w:val="36"/>
        </w:rPr>
      </w:pPr>
    </w:p>
    <w:p w14:paraId="46603F65">
      <w:pPr>
        <w:rPr>
          <w:rFonts w:hint="eastAsia"/>
        </w:rPr>
      </w:pPr>
    </w:p>
    <w:p w14:paraId="4D1E0263">
      <w:pPr>
        <w:spacing w:line="600" w:lineRule="exact"/>
        <w:ind w:firstLine="600" w:firstLineChars="200"/>
        <w:rPr>
          <w:rFonts w:hint="eastAsia" w:ascii="仿宋" w:hAnsi="仿宋" w:eastAsia="仿宋" w:cs="仿宋"/>
          <w:sz w:val="30"/>
          <w:szCs w:val="30"/>
        </w:rPr>
      </w:pPr>
      <w:r>
        <w:rPr>
          <w:rFonts w:hint="eastAsia" w:ascii="仿宋" w:hAnsi="仿宋" w:eastAsia="仿宋" w:cs="仿宋"/>
          <w:sz w:val="30"/>
          <w:szCs w:val="30"/>
        </w:rPr>
        <w:t>我公司及编制人员已在环境影响评价信用平台完成注册登记，纳入诚信档案管理体系，编制主持人及主要编制人员均为我公司全职人员。我公司已建立和实施覆盖环境影响评价全过程的质量控制制度和项目环评资料归档制度，落实了环境影响评价工作程序，并在现场踏勘、现状监测、数据资料收集、环境影响预测等环节以及</w:t>
      </w:r>
      <w:r>
        <w:rPr>
          <w:rFonts w:hint="eastAsia" w:ascii="仿宋" w:hAnsi="仿宋" w:eastAsia="仿宋" w:cs="仿宋"/>
          <w:sz w:val="30"/>
          <w:szCs w:val="30"/>
          <w:lang w:eastAsia="zh-CN"/>
        </w:rPr>
        <w:t>环境影响报告</w:t>
      </w:r>
      <w:r>
        <w:rPr>
          <w:rFonts w:hint="eastAsia" w:ascii="仿宋" w:hAnsi="仿宋" w:eastAsia="仿宋" w:cs="仿宋"/>
          <w:sz w:val="30"/>
          <w:szCs w:val="30"/>
          <w:lang w:val="en-US" w:eastAsia="zh-CN"/>
        </w:rPr>
        <w:t>书</w:t>
      </w:r>
      <w:r>
        <w:rPr>
          <w:rFonts w:hint="eastAsia" w:ascii="仿宋" w:hAnsi="仿宋" w:eastAsia="仿宋" w:cs="仿宋"/>
          <w:sz w:val="30"/>
          <w:szCs w:val="30"/>
        </w:rPr>
        <w:t>（表）编制审核阶段形成了可追溯的质量管理机制。</w:t>
      </w:r>
    </w:p>
    <w:p w14:paraId="0A8F402D">
      <w:pPr>
        <w:spacing w:line="600" w:lineRule="exact"/>
        <w:ind w:firstLine="600" w:firstLineChars="200"/>
        <w:rPr>
          <w:rFonts w:hint="eastAsia" w:ascii="仿宋" w:hAnsi="仿宋" w:eastAsia="仿宋" w:cs="仿宋"/>
          <w:sz w:val="30"/>
          <w:szCs w:val="30"/>
        </w:rPr>
      </w:pPr>
      <w:r>
        <w:rPr>
          <w:rFonts w:hint="eastAsia" w:ascii="仿宋" w:hAnsi="仿宋" w:eastAsia="仿宋" w:cs="仿宋"/>
          <w:sz w:val="30"/>
          <w:szCs w:val="30"/>
        </w:rPr>
        <w:t>受</w:t>
      </w:r>
      <w:r>
        <w:rPr>
          <w:rFonts w:hint="eastAsia" w:ascii="仿宋" w:hAnsi="仿宋" w:eastAsia="仿宋" w:cs="仿宋"/>
          <w:color w:val="000000"/>
          <w:sz w:val="30"/>
          <w:szCs w:val="30"/>
          <w:highlight w:val="none"/>
          <w:u w:val="single"/>
          <w:lang w:eastAsia="zh-CN"/>
        </w:rPr>
        <w:t>秦皇岛万邦零部件加工有限公司</w:t>
      </w:r>
      <w:r>
        <w:rPr>
          <w:rFonts w:hint="eastAsia" w:ascii="仿宋" w:hAnsi="仿宋" w:eastAsia="仿宋" w:cs="仿宋"/>
          <w:sz w:val="30"/>
          <w:szCs w:val="30"/>
        </w:rPr>
        <w:t>委托，我公司按照国家相关法律法规、有关环境影响评价标准和技术规范编制了</w:t>
      </w:r>
      <w:r>
        <w:rPr>
          <w:rFonts w:hint="eastAsia" w:ascii="仿宋" w:hAnsi="仿宋" w:eastAsia="仿宋" w:cs="仿宋"/>
          <w:sz w:val="30"/>
          <w:szCs w:val="30"/>
          <w:u w:val="single"/>
        </w:rPr>
        <w:t>《</w:t>
      </w:r>
      <w:r>
        <w:rPr>
          <w:rFonts w:hint="eastAsia" w:ascii="仿宋" w:hAnsi="仿宋" w:eastAsia="仿宋" w:cs="仿宋"/>
          <w:color w:val="000000"/>
          <w:sz w:val="30"/>
          <w:szCs w:val="30"/>
          <w:highlight w:val="none"/>
          <w:u w:val="single"/>
          <w:lang w:eastAsia="zh-CN"/>
        </w:rPr>
        <w:t>秦皇岛万邦零部件加工有限公司新建二车间</w:t>
      </w:r>
      <w:r>
        <w:rPr>
          <w:rFonts w:hint="eastAsia" w:ascii="仿宋" w:hAnsi="仿宋" w:eastAsia="仿宋" w:cs="仿宋"/>
          <w:sz w:val="30"/>
          <w:szCs w:val="30"/>
          <w:u w:val="single"/>
          <w:lang w:eastAsia="zh-CN"/>
        </w:rPr>
        <w:t>环境影响报告表</w:t>
      </w:r>
      <w:r>
        <w:rPr>
          <w:rFonts w:hint="eastAsia" w:ascii="仿宋" w:hAnsi="仿宋" w:eastAsia="仿宋" w:cs="仿宋"/>
          <w:sz w:val="30"/>
          <w:szCs w:val="30"/>
          <w:u w:val="single"/>
        </w:rPr>
        <w:t>》</w:t>
      </w:r>
      <w:r>
        <w:rPr>
          <w:rFonts w:hint="eastAsia" w:ascii="仿宋" w:hAnsi="仿宋" w:eastAsia="仿宋" w:cs="仿宋"/>
          <w:sz w:val="30"/>
          <w:szCs w:val="30"/>
        </w:rPr>
        <w:t>，按照《中华人民共和国环境影响评价法》、《建设项目</w:t>
      </w:r>
      <w:r>
        <w:rPr>
          <w:rFonts w:hint="eastAsia" w:ascii="仿宋" w:hAnsi="仿宋" w:eastAsia="仿宋" w:cs="仿宋"/>
          <w:sz w:val="30"/>
          <w:szCs w:val="30"/>
          <w:lang w:eastAsia="zh-CN"/>
        </w:rPr>
        <w:t>环境影响报告</w:t>
      </w:r>
      <w:r>
        <w:rPr>
          <w:rFonts w:hint="eastAsia" w:ascii="仿宋" w:hAnsi="仿宋" w:eastAsia="仿宋" w:cs="仿宋"/>
          <w:sz w:val="30"/>
          <w:szCs w:val="30"/>
          <w:lang w:val="en-US" w:eastAsia="zh-CN"/>
        </w:rPr>
        <w:t>书</w:t>
      </w:r>
      <w:r>
        <w:rPr>
          <w:rFonts w:hint="eastAsia" w:ascii="仿宋" w:hAnsi="仿宋" w:eastAsia="仿宋" w:cs="仿宋"/>
          <w:sz w:val="30"/>
          <w:szCs w:val="30"/>
        </w:rPr>
        <w:t>（表）编制监督管理办法》中相应条款规定，如环评文件质量发生严重质量问题，我单位将承担相应法律责任，自愿接受相关处罚。</w:t>
      </w:r>
    </w:p>
    <w:p w14:paraId="6894750B">
      <w:pPr>
        <w:spacing w:line="600" w:lineRule="exact"/>
        <w:ind w:firstLine="600" w:firstLineChars="200"/>
        <w:rPr>
          <w:rFonts w:ascii="仿宋" w:hAnsi="仿宋" w:eastAsia="仿宋" w:cs="仿宋"/>
          <w:sz w:val="30"/>
          <w:szCs w:val="30"/>
        </w:rPr>
      </w:pPr>
      <w:r>
        <w:rPr>
          <w:rFonts w:hint="eastAsia" w:ascii="仿宋" w:hAnsi="仿宋" w:eastAsia="仿宋"/>
          <w:snapToGrid w:val="0"/>
          <w:kern w:val="0"/>
          <w:sz w:val="30"/>
          <w:szCs w:val="30"/>
        </w:rPr>
        <w:drawing>
          <wp:anchor distT="0" distB="0" distL="114300" distR="114300" simplePos="0" relativeHeight="251697152" behindDoc="1" locked="0" layoutInCell="1" allowOverlap="1">
            <wp:simplePos x="0" y="0"/>
            <wp:positionH relativeFrom="column">
              <wp:posOffset>3220720</wp:posOffset>
            </wp:positionH>
            <wp:positionV relativeFrom="paragraph">
              <wp:posOffset>299720</wp:posOffset>
            </wp:positionV>
            <wp:extent cx="1475740" cy="1496060"/>
            <wp:effectExtent l="0" t="0" r="10160" b="8890"/>
            <wp:wrapNone/>
            <wp:docPr id="100" name="图片 3" descr="169225511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 descr="1692255117345"/>
                    <pic:cNvPicPr>
                      <a:picLocks noChangeAspect="1"/>
                    </pic:cNvPicPr>
                  </pic:nvPicPr>
                  <pic:blipFill>
                    <a:blip r:embed="rId11"/>
                    <a:stretch>
                      <a:fillRect/>
                    </a:stretch>
                  </pic:blipFill>
                  <pic:spPr>
                    <a:xfrm>
                      <a:off x="0" y="0"/>
                      <a:ext cx="1475740" cy="1496060"/>
                    </a:xfrm>
                    <a:prstGeom prst="rect">
                      <a:avLst/>
                    </a:prstGeom>
                    <a:noFill/>
                    <a:ln>
                      <a:noFill/>
                    </a:ln>
                  </pic:spPr>
                </pic:pic>
              </a:graphicData>
            </a:graphic>
          </wp:anchor>
        </w:drawing>
      </w:r>
      <w:r>
        <w:rPr>
          <w:rFonts w:hint="eastAsia" w:ascii="仿宋" w:hAnsi="仿宋" w:eastAsia="仿宋" w:cs="仿宋"/>
          <w:sz w:val="30"/>
          <w:szCs w:val="30"/>
        </w:rPr>
        <w:t>特此声明。</w:t>
      </w:r>
    </w:p>
    <w:p w14:paraId="6C5D6F67">
      <w:pPr>
        <w:rPr>
          <w:rFonts w:hint="eastAsia"/>
          <w:sz w:val="28"/>
          <w:szCs w:val="28"/>
        </w:rPr>
      </w:pPr>
    </w:p>
    <w:p w14:paraId="148BA58D">
      <w:pPr>
        <w:spacing w:line="600" w:lineRule="exact"/>
        <w:ind w:firstLine="600" w:firstLineChars="200"/>
        <w:rPr>
          <w:rFonts w:hint="eastAsia" w:ascii="仿宋" w:hAnsi="仿宋" w:eastAsia="仿宋" w:cs="仿宋"/>
          <w:sz w:val="30"/>
          <w:szCs w:val="30"/>
        </w:rPr>
      </w:pPr>
      <w:r>
        <w:rPr>
          <w:rFonts w:hint="eastAsia" w:ascii="仿宋" w:hAnsi="仿宋" w:eastAsia="仿宋" w:cs="仿宋"/>
          <w:sz w:val="30"/>
          <w:szCs w:val="30"/>
        </w:rPr>
        <w:t xml:space="preserve">              环评单位</w:t>
      </w:r>
      <w:r>
        <w:rPr>
          <w:rFonts w:ascii="仿宋" w:hAnsi="仿宋" w:eastAsia="仿宋" w:cs="仿宋"/>
          <w:sz w:val="30"/>
          <w:szCs w:val="30"/>
        </w:rPr>
        <w:t>：</w:t>
      </w:r>
      <w:r>
        <w:rPr>
          <w:rFonts w:hint="eastAsia" w:ascii="仿宋" w:hAnsi="仿宋" w:eastAsia="仿宋" w:cs="仿宋"/>
          <w:sz w:val="30"/>
          <w:szCs w:val="30"/>
        </w:rPr>
        <w:t>秦皇岛意航工程技术有限公司</w:t>
      </w:r>
    </w:p>
    <w:p w14:paraId="20EE6AE2">
      <w:pPr>
        <w:spacing w:line="600" w:lineRule="exact"/>
        <w:ind w:firstLine="600" w:firstLineChars="200"/>
        <w:rPr>
          <w:rFonts w:ascii="仿宋" w:hAnsi="仿宋" w:eastAsia="仿宋" w:cs="仿宋"/>
          <w:sz w:val="30"/>
          <w:szCs w:val="30"/>
        </w:rPr>
      </w:pPr>
      <w:r>
        <w:rPr>
          <w:rFonts w:hint="eastAsia" w:ascii="仿宋" w:hAnsi="仿宋" w:eastAsia="仿宋" w:cs="仿宋"/>
          <w:sz w:val="30"/>
          <w:szCs w:val="30"/>
        </w:rPr>
        <w:t xml:space="preserve">                              </w:t>
      </w:r>
      <w:r>
        <w:rPr>
          <w:rFonts w:ascii="仿宋" w:hAnsi="仿宋" w:eastAsia="仿宋" w:cs="仿宋"/>
          <w:sz w:val="30"/>
          <w:szCs w:val="30"/>
        </w:rPr>
        <w:t xml:space="preserve">  </w:t>
      </w:r>
      <w:r>
        <w:rPr>
          <w:rFonts w:hint="eastAsia" w:ascii="仿宋" w:hAnsi="仿宋" w:eastAsia="仿宋" w:cs="仿宋"/>
          <w:sz w:val="30"/>
          <w:szCs w:val="30"/>
        </w:rPr>
        <w:t xml:space="preserve">  </w:t>
      </w:r>
      <w:r>
        <w:rPr>
          <w:rFonts w:ascii="仿宋" w:hAnsi="仿宋" w:eastAsia="仿宋" w:cs="仿宋"/>
          <w:sz w:val="30"/>
          <w:szCs w:val="30"/>
        </w:rPr>
        <w:t xml:space="preserve"> </w:t>
      </w:r>
      <w:r>
        <w:rPr>
          <w:rFonts w:hint="eastAsia" w:ascii="仿宋" w:hAnsi="仿宋" w:eastAsia="仿宋" w:cs="仿宋"/>
          <w:sz w:val="30"/>
          <w:szCs w:val="30"/>
          <w:lang w:val="en-US" w:eastAsia="zh-CN"/>
        </w:rPr>
        <w:t>2025</w:t>
      </w:r>
      <w:r>
        <w:rPr>
          <w:rFonts w:hint="eastAsia" w:ascii="仿宋" w:hAnsi="仿宋" w:eastAsia="仿宋" w:cs="仿宋"/>
          <w:sz w:val="30"/>
          <w:szCs w:val="30"/>
        </w:rPr>
        <w:t>年</w:t>
      </w:r>
      <w:r>
        <w:rPr>
          <w:rFonts w:hint="eastAsia" w:ascii="仿宋" w:hAnsi="仿宋" w:eastAsia="仿宋" w:cs="仿宋"/>
          <w:sz w:val="30"/>
          <w:szCs w:val="30"/>
          <w:lang w:val="en-US" w:eastAsia="zh-CN"/>
        </w:rPr>
        <w:t>9</w:t>
      </w:r>
      <w:r>
        <w:rPr>
          <w:rFonts w:hint="eastAsia" w:ascii="仿宋" w:hAnsi="仿宋" w:eastAsia="仿宋" w:cs="仿宋"/>
          <w:sz w:val="30"/>
          <w:szCs w:val="30"/>
        </w:rPr>
        <w:t>月</w:t>
      </w:r>
      <w:r>
        <w:rPr>
          <w:rFonts w:hint="eastAsia" w:ascii="仿宋" w:hAnsi="仿宋" w:eastAsia="仿宋" w:cs="仿宋"/>
          <w:sz w:val="30"/>
          <w:szCs w:val="30"/>
          <w:lang w:val="en-US" w:eastAsia="zh-CN"/>
        </w:rPr>
        <w:t>5</w:t>
      </w:r>
      <w:r>
        <w:rPr>
          <w:rFonts w:hint="eastAsia" w:ascii="仿宋" w:hAnsi="仿宋" w:eastAsia="仿宋" w:cs="仿宋"/>
          <w:sz w:val="30"/>
          <w:szCs w:val="30"/>
        </w:rPr>
        <w:t>日</w:t>
      </w:r>
    </w:p>
    <w:p w14:paraId="08B6C142">
      <w:pPr>
        <w:rPr>
          <w:rFonts w:hint="eastAsia"/>
          <w:sz w:val="28"/>
          <w:szCs w:val="28"/>
        </w:rPr>
      </w:pPr>
    </w:p>
    <w:p w14:paraId="3350EBE4">
      <w:pPr>
        <w:rPr>
          <w:sz w:val="28"/>
          <w:szCs w:val="28"/>
        </w:rPr>
        <w:sectPr>
          <w:pgSz w:w="11906" w:h="16838"/>
          <w:pgMar w:top="1440" w:right="1800" w:bottom="1440" w:left="1800" w:header="851" w:footer="992" w:gutter="0"/>
          <w:cols w:space="720" w:num="1"/>
          <w:docGrid w:type="lines" w:linePitch="312" w:charSpace="0"/>
        </w:sectPr>
      </w:pPr>
    </w:p>
    <w:p w14:paraId="364C2045">
      <w:pPr>
        <w:jc w:val="center"/>
        <w:rPr>
          <w:rFonts w:hint="eastAsia" w:eastAsia="宋体"/>
          <w:lang w:eastAsia="zh-CN"/>
        </w:rPr>
      </w:pPr>
      <w:r>
        <w:rPr>
          <w:sz w:val="21"/>
        </w:rPr>
        <mc:AlternateContent>
          <mc:Choice Requires="wps">
            <w:drawing>
              <wp:anchor distT="0" distB="0" distL="114300" distR="114300" simplePos="0" relativeHeight="251705344" behindDoc="0" locked="0" layoutInCell="1" allowOverlap="1">
                <wp:simplePos x="0" y="0"/>
                <wp:positionH relativeFrom="column">
                  <wp:posOffset>3050540</wp:posOffset>
                </wp:positionH>
                <wp:positionV relativeFrom="paragraph">
                  <wp:posOffset>5864225</wp:posOffset>
                </wp:positionV>
                <wp:extent cx="739140" cy="209550"/>
                <wp:effectExtent l="0" t="0" r="3810" b="0"/>
                <wp:wrapNone/>
                <wp:docPr id="106" name="文本框 106"/>
                <wp:cNvGraphicFramePr/>
                <a:graphic xmlns:a="http://schemas.openxmlformats.org/drawingml/2006/main">
                  <a:graphicData uri="http://schemas.microsoft.com/office/word/2010/wordprocessingShape">
                    <wps:wsp>
                      <wps:cNvSpPr txBox="1"/>
                      <wps:spPr>
                        <a:xfrm>
                          <a:off x="0" y="0"/>
                          <a:ext cx="739140" cy="209550"/>
                        </a:xfrm>
                        <a:prstGeom prst="rect">
                          <a:avLst/>
                        </a:prstGeom>
                        <a:gradFill flip="none">
                          <a:gsLst>
                            <a:gs pos="0">
                              <a:schemeClr val="bg1">
                                <a:lumMod val="95000"/>
                              </a:schemeClr>
                            </a:gs>
                            <a:gs pos="53000">
                              <a:schemeClr val="bg1">
                                <a:lumMod val="85000"/>
                              </a:schemeClr>
                            </a:gs>
                            <a:gs pos="100000">
                              <a:schemeClr val="bg1">
                                <a:lumMod val="75000"/>
                              </a:schemeClr>
                            </a:gs>
                          </a:gsLst>
                          <a:lin ang="5400000" scaled="1"/>
                        </a:gradFill>
                        <a:ln w="6350">
                          <a:noFill/>
                        </a:ln>
                      </wps:spPr>
                      <wps:style>
                        <a:lnRef idx="0">
                          <a:schemeClr val="accent1"/>
                        </a:lnRef>
                        <a:fillRef idx="0">
                          <a:schemeClr val="accent1"/>
                        </a:fillRef>
                        <a:effectRef idx="0">
                          <a:schemeClr val="accent1"/>
                        </a:effectRef>
                        <a:fontRef idx="minor">
                          <a:schemeClr val="dk1"/>
                        </a:fontRef>
                      </wps:style>
                      <wps:txbx>
                        <w:txbxContent>
                          <w:p w14:paraId="4C20D56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0.2pt;margin-top:461.75pt;height:16.5pt;width:58.2pt;z-index:251705344;mso-width-relative:page;mso-height-relative:page;" fillcolor="#B7E8BD [3052]" filled="t" stroked="f" coordsize="21600,21600" o:gfxdata="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Op/OTXaAAAACwEAAA8AAAAAAAAAAQAgAAAA&#10;IgAAAGRycy9kb3ducmV2LnhtbFBLAQIUABQAAAAIAIdO4kBKJ7DutAIAALAFAAAOAAAAAAAAAAEA&#10;IAAAACkBAABkcnMvZTJvRG9jLnhtbFBLBQYAAAAABgAGAFkBAABPBgAAAAA=&#10;">
                <v:fill type="gradient" on="t" color2="#75D281 [2412]" colors="0f #B7E8BD;34734f #96DD9F;65536f #75D281" focus="100%" focussize="0,0" rotate="t"/>
                <v:stroke on="f" weight="0.5pt"/>
                <v:imagedata o:title=""/>
                <o:lock v:ext="edit" aspectratio="f"/>
                <v:textbox>
                  <w:txbxContent>
                    <w:p w14:paraId="4C20D562"/>
                  </w:txbxContent>
                </v:textbox>
              </v:shape>
            </w:pict>
          </mc:Fallback>
        </mc:AlternateContent>
      </w:r>
      <w:r>
        <w:rPr>
          <w:sz w:val="21"/>
        </w:rPr>
        <mc:AlternateContent>
          <mc:Choice Requires="wps">
            <w:drawing>
              <wp:anchor distT="0" distB="0" distL="114300" distR="114300" simplePos="0" relativeHeight="251704320" behindDoc="0" locked="0" layoutInCell="1" allowOverlap="1">
                <wp:simplePos x="0" y="0"/>
                <wp:positionH relativeFrom="column">
                  <wp:posOffset>3064510</wp:posOffset>
                </wp:positionH>
                <wp:positionV relativeFrom="paragraph">
                  <wp:posOffset>4989195</wp:posOffset>
                </wp:positionV>
                <wp:extent cx="739140" cy="209550"/>
                <wp:effectExtent l="0" t="0" r="3810" b="0"/>
                <wp:wrapNone/>
                <wp:docPr id="105" name="文本框 105"/>
                <wp:cNvGraphicFramePr/>
                <a:graphic xmlns:a="http://schemas.openxmlformats.org/drawingml/2006/main">
                  <a:graphicData uri="http://schemas.microsoft.com/office/word/2010/wordprocessingShape">
                    <wps:wsp>
                      <wps:cNvSpPr txBox="1"/>
                      <wps:spPr>
                        <a:xfrm>
                          <a:off x="0" y="0"/>
                          <a:ext cx="739140" cy="209550"/>
                        </a:xfrm>
                        <a:prstGeom prst="rect">
                          <a:avLst/>
                        </a:prstGeom>
                        <a:gradFill flip="none">
                          <a:gsLst>
                            <a:gs pos="0">
                              <a:schemeClr val="bg1">
                                <a:lumMod val="95000"/>
                              </a:schemeClr>
                            </a:gs>
                            <a:gs pos="53000">
                              <a:schemeClr val="bg1">
                                <a:lumMod val="85000"/>
                              </a:schemeClr>
                            </a:gs>
                            <a:gs pos="100000">
                              <a:schemeClr val="bg1">
                                <a:lumMod val="75000"/>
                              </a:schemeClr>
                            </a:gs>
                          </a:gsLst>
                          <a:lin ang="5400000" scaled="1"/>
                        </a:gradFill>
                        <a:ln w="6350">
                          <a:noFill/>
                        </a:ln>
                      </wps:spPr>
                      <wps:style>
                        <a:lnRef idx="0">
                          <a:schemeClr val="accent1"/>
                        </a:lnRef>
                        <a:fillRef idx="0">
                          <a:schemeClr val="accent1"/>
                        </a:fillRef>
                        <a:effectRef idx="0">
                          <a:schemeClr val="accent1"/>
                        </a:effectRef>
                        <a:fontRef idx="minor">
                          <a:schemeClr val="dk1"/>
                        </a:fontRef>
                      </wps:style>
                      <wps:txbx>
                        <w:txbxContent>
                          <w:p w14:paraId="231CAABB"/>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1.3pt;margin-top:392.85pt;height:16.5pt;width:58.2pt;z-index:251704320;mso-width-relative:page;mso-height-relative:page;" fillcolor="#B7E8BD [3052]" filled="t" stroked="f" coordsize="21600,21600" o:gfxdata="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Cb31LL2wAAAAsBAAAPAAAAAAAAAAEAIAAA&#10;ACIAAABkcnMvZG93bnJldi54bWxQSwECFAAUAAAACACHTuJArFAClbQCAACwBQAADgAAAAAAAAAB&#10;ACAAAAAqAQAAZHJzL2Uyb0RvYy54bWxQSwUGAAAAAAYABgBZAQAAUAYAAAAA&#10;">
                <v:fill type="gradient" on="t" color2="#75D281 [2412]" colors="0f #B7E8BD;34734f #96DD9F;65536f #75D281" focus="100%" focussize="0,0" rotate="t"/>
                <v:stroke on="f" weight="0.5pt"/>
                <v:imagedata o:title=""/>
                <o:lock v:ext="edit" aspectratio="f"/>
                <v:textbox>
                  <w:txbxContent>
                    <w:p w14:paraId="231CAABB"/>
                  </w:txbxContent>
                </v:textbox>
              </v:shape>
            </w:pict>
          </mc:Fallback>
        </mc:AlternateContent>
      </w:r>
      <w:r>
        <w:rPr>
          <w:sz w:val="21"/>
        </w:rPr>
        <mc:AlternateContent>
          <mc:Choice Requires="wps">
            <w:drawing>
              <wp:anchor distT="0" distB="0" distL="114300" distR="114300" simplePos="0" relativeHeight="251703296" behindDoc="0" locked="0" layoutInCell="1" allowOverlap="1">
                <wp:simplePos x="0" y="0"/>
                <wp:positionH relativeFrom="column">
                  <wp:posOffset>1617345</wp:posOffset>
                </wp:positionH>
                <wp:positionV relativeFrom="paragraph">
                  <wp:posOffset>4995545</wp:posOffset>
                </wp:positionV>
                <wp:extent cx="1063625" cy="209550"/>
                <wp:effectExtent l="0" t="0" r="3175" b="0"/>
                <wp:wrapNone/>
                <wp:docPr id="104" name="文本框 104"/>
                <wp:cNvGraphicFramePr/>
                <a:graphic xmlns:a="http://schemas.openxmlformats.org/drawingml/2006/main">
                  <a:graphicData uri="http://schemas.microsoft.com/office/word/2010/wordprocessingShape">
                    <wps:wsp>
                      <wps:cNvSpPr txBox="1"/>
                      <wps:spPr>
                        <a:xfrm>
                          <a:off x="2760345" y="5909945"/>
                          <a:ext cx="1063625" cy="209550"/>
                        </a:xfrm>
                        <a:prstGeom prst="rect">
                          <a:avLst/>
                        </a:prstGeom>
                        <a:gradFill flip="none">
                          <a:gsLst>
                            <a:gs pos="0">
                              <a:schemeClr val="bg1">
                                <a:lumMod val="95000"/>
                              </a:schemeClr>
                            </a:gs>
                            <a:gs pos="53000">
                              <a:schemeClr val="bg1">
                                <a:lumMod val="85000"/>
                              </a:schemeClr>
                            </a:gs>
                            <a:gs pos="100000">
                              <a:schemeClr val="bg1">
                                <a:lumMod val="75000"/>
                              </a:schemeClr>
                            </a:gs>
                          </a:gsLst>
                          <a:lin ang="5400000" scaled="1"/>
                        </a:gradFill>
                        <a:ln w="6350">
                          <a:noFill/>
                        </a:ln>
                      </wps:spPr>
                      <wps:style>
                        <a:lnRef idx="0">
                          <a:schemeClr val="accent1"/>
                        </a:lnRef>
                        <a:fillRef idx="0">
                          <a:schemeClr val="accent1"/>
                        </a:fillRef>
                        <a:effectRef idx="0">
                          <a:schemeClr val="accent1"/>
                        </a:effectRef>
                        <a:fontRef idx="minor">
                          <a:schemeClr val="dk1"/>
                        </a:fontRef>
                      </wps:style>
                      <wps:txbx>
                        <w:txbxContent>
                          <w:p w14:paraId="1D486D3B"/>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7.35pt;margin-top:393.35pt;height:16.5pt;width:83.75pt;z-index:251703296;mso-width-relative:page;mso-height-relative:page;" fillcolor="#B7E8BD [3052]" filled="t" stroked="f" coordsize="21600,21600" o:gfxdata="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7xRGItsAAAALAQAADwAA&#10;AAAAAAABACAAAAAiAAAAZHJzL2Rvd25yZXYueG1sUEsBAhQAFAAAAAgAh07iQAGDUJi+AgAAvQUA&#10;AA4AAAAAAAAAAQAgAAAAKgEAAGRycy9lMm9Eb2MueG1sUEsFBgAAAAAGAAYAWQEAAFoGAAAAAA==&#10;">
                <v:fill type="gradient" on="t" color2="#75D281 [2412]" colors="0f #B7E8BD;34734f #96DD9F;65536f #75D281" focus="100%" focussize="0,0" rotate="t"/>
                <v:stroke on="f" weight="0.5pt"/>
                <v:imagedata o:title=""/>
                <o:lock v:ext="edit" aspectratio="f"/>
                <v:textbox>
                  <w:txbxContent>
                    <w:p w14:paraId="1D486D3B"/>
                  </w:txbxContent>
                </v:textbox>
              </v:shape>
            </w:pict>
          </mc:Fallback>
        </mc:AlternateContent>
      </w:r>
      <w:r>
        <w:rPr>
          <w:position w:val="-38"/>
        </w:rPr>
        <w:drawing>
          <wp:anchor distT="0" distB="0" distL="0" distR="0" simplePos="0" relativeHeight="251700224" behindDoc="0" locked="0" layoutInCell="1" allowOverlap="1">
            <wp:simplePos x="0" y="0"/>
            <wp:positionH relativeFrom="column">
              <wp:posOffset>4072255</wp:posOffset>
            </wp:positionH>
            <wp:positionV relativeFrom="paragraph">
              <wp:posOffset>5765800</wp:posOffset>
            </wp:positionV>
            <wp:extent cx="635635" cy="379095"/>
            <wp:effectExtent l="0" t="0" r="12065" b="1905"/>
            <wp:wrapNone/>
            <wp:docPr id="102" name="IM 2"/>
            <wp:cNvGraphicFramePr/>
            <a:graphic xmlns:a="http://schemas.openxmlformats.org/drawingml/2006/main">
              <a:graphicData uri="http://schemas.openxmlformats.org/drawingml/2006/picture">
                <pic:pic xmlns:pic="http://schemas.openxmlformats.org/drawingml/2006/picture">
                  <pic:nvPicPr>
                    <pic:cNvPr id="102" name="IM 2"/>
                    <pic:cNvPicPr/>
                  </pic:nvPicPr>
                  <pic:blipFill>
                    <a:blip r:embed="rId12"/>
                    <a:stretch>
                      <a:fillRect/>
                    </a:stretch>
                  </pic:blipFill>
                  <pic:spPr>
                    <a:xfrm>
                      <a:off x="0" y="0"/>
                      <a:ext cx="635635" cy="379095"/>
                    </a:xfrm>
                    <a:prstGeom prst="rect">
                      <a:avLst/>
                    </a:prstGeom>
                  </pic:spPr>
                </pic:pic>
              </a:graphicData>
            </a:graphic>
          </wp:anchor>
        </w:drawing>
      </w:r>
      <w:r>
        <w:rPr>
          <w:rFonts w:hint="eastAsia" w:eastAsia="宋体"/>
          <w:lang w:eastAsia="zh-CN"/>
        </w:rPr>
        <w:drawing>
          <wp:anchor distT="0" distB="0" distL="114300" distR="114300" simplePos="0" relativeHeight="251699200" behindDoc="0" locked="0" layoutInCell="1" allowOverlap="1">
            <wp:simplePos x="0" y="0"/>
            <wp:positionH relativeFrom="column">
              <wp:posOffset>4108450</wp:posOffset>
            </wp:positionH>
            <wp:positionV relativeFrom="paragraph">
              <wp:posOffset>4918075</wp:posOffset>
            </wp:positionV>
            <wp:extent cx="615950" cy="282575"/>
            <wp:effectExtent l="0" t="0" r="12700" b="3175"/>
            <wp:wrapNone/>
            <wp:docPr id="150" name="图片 6" descr="dfed3034d1aaa472b1bcebdc6f2c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6" descr="dfed3034d1aaa472b1bcebdc6f2c972"/>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615950" cy="282575"/>
                    </a:xfrm>
                    <a:prstGeom prst="rect">
                      <a:avLst/>
                    </a:prstGeom>
                    <a:noFill/>
                    <a:ln>
                      <a:noFill/>
                    </a:ln>
                  </pic:spPr>
                </pic:pic>
              </a:graphicData>
            </a:graphic>
          </wp:anchor>
        </w:drawing>
      </w:r>
      <w:r>
        <w:rPr>
          <w:rFonts w:hint="eastAsia" w:ascii="仿宋" w:hAnsi="仿宋" w:eastAsia="仿宋"/>
          <w:snapToGrid w:val="0"/>
          <w:kern w:val="0"/>
          <w:sz w:val="30"/>
          <w:szCs w:val="30"/>
        </w:rPr>
        <w:drawing>
          <wp:anchor distT="0" distB="0" distL="114300" distR="114300" simplePos="0" relativeHeight="251698176" behindDoc="0" locked="0" layoutInCell="1" allowOverlap="1">
            <wp:simplePos x="0" y="0"/>
            <wp:positionH relativeFrom="column">
              <wp:posOffset>2973705</wp:posOffset>
            </wp:positionH>
            <wp:positionV relativeFrom="paragraph">
              <wp:posOffset>3403600</wp:posOffset>
            </wp:positionV>
            <wp:extent cx="1475740" cy="1496060"/>
            <wp:effectExtent l="0" t="0" r="10160" b="8890"/>
            <wp:wrapNone/>
            <wp:docPr id="101" name="图片 3" descr="169225511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 descr="1692255117345"/>
                    <pic:cNvPicPr>
                      <a:picLocks noChangeAspect="1"/>
                    </pic:cNvPicPr>
                  </pic:nvPicPr>
                  <pic:blipFill>
                    <a:blip r:embed="rId11"/>
                    <a:stretch>
                      <a:fillRect/>
                    </a:stretch>
                  </pic:blipFill>
                  <pic:spPr>
                    <a:xfrm>
                      <a:off x="0" y="0"/>
                      <a:ext cx="1475740" cy="1496060"/>
                    </a:xfrm>
                    <a:prstGeom prst="rect">
                      <a:avLst/>
                    </a:prstGeom>
                    <a:noFill/>
                    <a:ln>
                      <a:noFill/>
                    </a:ln>
                  </pic:spPr>
                </pic:pic>
              </a:graphicData>
            </a:graphic>
          </wp:anchor>
        </w:drawing>
      </w:r>
      <w:r>
        <w:rPr>
          <w:rFonts w:hint="eastAsia" w:eastAsia="宋体"/>
          <w:lang w:eastAsia="zh-CN"/>
        </w:rPr>
        <w:drawing>
          <wp:inline distT="0" distB="0" distL="114300" distR="114300">
            <wp:extent cx="5269865" cy="7247255"/>
            <wp:effectExtent l="0" t="0" r="6985" b="10795"/>
            <wp:docPr id="88" name="图片 88" descr="万邦导出资质-盖章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万邦导出资质-盖章版"/>
                    <pic:cNvPicPr>
                      <a:picLocks noChangeAspect="1"/>
                    </pic:cNvPicPr>
                  </pic:nvPicPr>
                  <pic:blipFill>
                    <a:blip r:embed="rId14"/>
                    <a:stretch>
                      <a:fillRect/>
                    </a:stretch>
                  </pic:blipFill>
                  <pic:spPr>
                    <a:xfrm>
                      <a:off x="0" y="0"/>
                      <a:ext cx="5269865" cy="7247255"/>
                    </a:xfrm>
                    <a:prstGeom prst="rect">
                      <a:avLst/>
                    </a:prstGeom>
                  </pic:spPr>
                </pic:pic>
              </a:graphicData>
            </a:graphic>
          </wp:inline>
        </w:drawing>
      </w:r>
    </w:p>
    <w:p w14:paraId="2DE46380"/>
    <w:p w14:paraId="40309E5A">
      <w:pPr>
        <w:rPr>
          <w:sz w:val="28"/>
          <w:szCs w:val="28"/>
        </w:rPr>
        <w:sectPr>
          <w:pgSz w:w="11906" w:h="16838"/>
          <w:pgMar w:top="1440" w:right="1800" w:bottom="1440" w:left="1800" w:header="851" w:footer="992" w:gutter="0"/>
          <w:cols w:space="720" w:num="1"/>
          <w:docGrid w:type="lines" w:linePitch="312" w:charSpace="0"/>
        </w:sectPr>
      </w:pPr>
    </w:p>
    <w:p w14:paraId="4906B940">
      <w:pPr>
        <w:jc w:val="center"/>
      </w:pPr>
    </w:p>
    <w:p w14:paraId="27807402">
      <w:pPr>
        <w:jc w:val="center"/>
      </w:pPr>
    </w:p>
    <w:p w14:paraId="05A8CDDA">
      <w:pPr>
        <w:jc w:val="center"/>
      </w:pPr>
    </w:p>
    <w:p w14:paraId="51CE5193">
      <w:pPr>
        <w:jc w:val="center"/>
      </w:pPr>
      <w:r>
        <w:drawing>
          <wp:inline distT="0" distB="0" distL="114300" distR="114300">
            <wp:extent cx="5263515" cy="7218045"/>
            <wp:effectExtent l="0" t="0" r="13335" b="1905"/>
            <wp:docPr id="2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1"/>
                    <pic:cNvPicPr>
                      <a:picLocks noChangeAspect="1"/>
                    </pic:cNvPicPr>
                  </pic:nvPicPr>
                  <pic:blipFill>
                    <a:blip r:embed="rId15"/>
                    <a:stretch>
                      <a:fillRect/>
                    </a:stretch>
                  </pic:blipFill>
                  <pic:spPr>
                    <a:xfrm>
                      <a:off x="0" y="0"/>
                      <a:ext cx="5263515" cy="7218045"/>
                    </a:xfrm>
                    <a:prstGeom prst="rect">
                      <a:avLst/>
                    </a:prstGeom>
                    <a:noFill/>
                    <a:ln>
                      <a:noFill/>
                    </a:ln>
                  </pic:spPr>
                </pic:pic>
              </a:graphicData>
            </a:graphic>
          </wp:inline>
        </w:drawing>
      </w:r>
    </w:p>
    <w:p w14:paraId="110F8098">
      <w:pPr>
        <w:jc w:val="center"/>
      </w:pPr>
    </w:p>
    <w:p w14:paraId="4A64F211">
      <w:pPr>
        <w:rPr>
          <w:sz w:val="28"/>
          <w:szCs w:val="28"/>
        </w:rPr>
        <w:sectPr>
          <w:pgSz w:w="11906" w:h="16838"/>
          <w:pgMar w:top="1440" w:right="1800" w:bottom="1440" w:left="1800" w:header="851" w:footer="992" w:gutter="0"/>
          <w:cols w:space="720" w:num="1"/>
          <w:docGrid w:type="lines" w:linePitch="312" w:charSpace="0"/>
        </w:sectPr>
      </w:pPr>
    </w:p>
    <w:p w14:paraId="724BCFB7">
      <w:pPr>
        <w:jc w:val="center"/>
        <w:rPr>
          <w:rFonts w:hint="eastAsia" w:eastAsia="宋体"/>
          <w:sz w:val="28"/>
          <w:szCs w:val="28"/>
          <w:lang w:eastAsia="zh-CN"/>
        </w:rPr>
        <w:sectPr>
          <w:pgSz w:w="11906" w:h="16838"/>
          <w:pgMar w:top="1440" w:right="1800" w:bottom="1440" w:left="1800" w:header="851" w:footer="992" w:gutter="0"/>
          <w:cols w:space="720" w:num="1"/>
          <w:docGrid w:type="lines" w:linePitch="312" w:charSpace="0"/>
        </w:sectPr>
      </w:pPr>
      <w:r>
        <w:rPr>
          <w:sz w:val="21"/>
        </w:rPr>
        <mc:AlternateContent>
          <mc:Choice Requires="wps">
            <w:drawing>
              <wp:anchor distT="0" distB="0" distL="114300" distR="114300" simplePos="0" relativeHeight="251707392" behindDoc="0" locked="0" layoutInCell="1" allowOverlap="1">
                <wp:simplePos x="0" y="0"/>
                <wp:positionH relativeFrom="column">
                  <wp:posOffset>811530</wp:posOffset>
                </wp:positionH>
                <wp:positionV relativeFrom="paragraph">
                  <wp:posOffset>1702435</wp:posOffset>
                </wp:positionV>
                <wp:extent cx="873760" cy="209550"/>
                <wp:effectExtent l="0" t="0" r="2540" b="0"/>
                <wp:wrapNone/>
                <wp:docPr id="108" name="文本框 108"/>
                <wp:cNvGraphicFramePr/>
                <a:graphic xmlns:a="http://schemas.openxmlformats.org/drawingml/2006/main">
                  <a:graphicData uri="http://schemas.microsoft.com/office/word/2010/wordprocessingShape">
                    <wps:wsp>
                      <wps:cNvSpPr txBox="1"/>
                      <wps:spPr>
                        <a:xfrm>
                          <a:off x="0" y="0"/>
                          <a:ext cx="873760" cy="209550"/>
                        </a:xfrm>
                        <a:prstGeom prst="rect">
                          <a:avLst/>
                        </a:prstGeom>
                        <a:gradFill flip="none">
                          <a:gsLst>
                            <a:gs pos="0">
                              <a:schemeClr val="bg1">
                                <a:lumMod val="95000"/>
                              </a:schemeClr>
                            </a:gs>
                            <a:gs pos="53000">
                              <a:schemeClr val="bg1">
                                <a:lumMod val="85000"/>
                              </a:schemeClr>
                            </a:gs>
                            <a:gs pos="100000">
                              <a:schemeClr val="bg1">
                                <a:lumMod val="75000"/>
                              </a:schemeClr>
                            </a:gs>
                          </a:gsLst>
                          <a:lin ang="5400000" scaled="1"/>
                        </a:gradFill>
                        <a:ln w="6350">
                          <a:noFill/>
                        </a:ln>
                      </wps:spPr>
                      <wps:style>
                        <a:lnRef idx="0">
                          <a:schemeClr val="accent1"/>
                        </a:lnRef>
                        <a:fillRef idx="0">
                          <a:schemeClr val="accent1"/>
                        </a:fillRef>
                        <a:effectRef idx="0">
                          <a:schemeClr val="accent1"/>
                        </a:effectRef>
                        <a:fontRef idx="minor">
                          <a:schemeClr val="dk1"/>
                        </a:fontRef>
                      </wps:style>
                      <wps:txbx>
                        <w:txbxContent>
                          <w:p w14:paraId="56C7465C"/>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9pt;margin-top:134.05pt;height:16.5pt;width:68.8pt;z-index:251707392;mso-width-relative:page;mso-height-relative:page;" fillcolor="#B7E8BD [3052]" filled="t" stroked="f" coordsize="21600,21600" o:gfxdata="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9P0nMtkAAAALAQAADwAAAAAAAAABACAAAAAi&#10;AAAAZHJzL2Rvd25yZXYueG1sUEsBAhQAFAAAAAgAh07iQLfXk4a0AgAAsAUAAA4AAAAAAAAAAQAg&#10;AAAAKAEAAGRycy9lMm9Eb2MueG1sUEsFBgAAAAAGAAYAWQEAAE4GAAAAAA==&#10;">
                <v:fill type="gradient" on="t" color2="#75D281 [2412]" colors="0f #B7E8BD;34734f #96DD9F;65536f #75D281" focus="100%" focussize="0,0" rotate="t"/>
                <v:stroke on="f" weight="0.5pt"/>
                <v:imagedata o:title=""/>
                <o:lock v:ext="edit" aspectratio="f"/>
                <v:textbox>
                  <w:txbxContent>
                    <w:p w14:paraId="56C7465C"/>
                  </w:txbxContent>
                </v:textbox>
              </v:shape>
            </w:pict>
          </mc:Fallback>
        </mc:AlternateContent>
      </w:r>
      <w:r>
        <w:rPr>
          <w:sz w:val="21"/>
        </w:rPr>
        <mc:AlternateContent>
          <mc:Choice Requires="wps">
            <w:drawing>
              <wp:anchor distT="0" distB="0" distL="114300" distR="114300" simplePos="0" relativeHeight="251706368" behindDoc="0" locked="0" layoutInCell="1" allowOverlap="1">
                <wp:simplePos x="0" y="0"/>
                <wp:positionH relativeFrom="column">
                  <wp:posOffset>3072130</wp:posOffset>
                </wp:positionH>
                <wp:positionV relativeFrom="paragraph">
                  <wp:posOffset>1470660</wp:posOffset>
                </wp:positionV>
                <wp:extent cx="873760" cy="209550"/>
                <wp:effectExtent l="0" t="0" r="2540" b="0"/>
                <wp:wrapNone/>
                <wp:docPr id="107" name="文本框 107"/>
                <wp:cNvGraphicFramePr/>
                <a:graphic xmlns:a="http://schemas.openxmlformats.org/drawingml/2006/main">
                  <a:graphicData uri="http://schemas.microsoft.com/office/word/2010/wordprocessingShape">
                    <wps:wsp>
                      <wps:cNvSpPr txBox="1"/>
                      <wps:spPr>
                        <a:xfrm>
                          <a:off x="0" y="0"/>
                          <a:ext cx="873760" cy="209550"/>
                        </a:xfrm>
                        <a:prstGeom prst="rect">
                          <a:avLst/>
                        </a:prstGeom>
                        <a:gradFill flip="none">
                          <a:gsLst>
                            <a:gs pos="0">
                              <a:schemeClr val="bg1">
                                <a:lumMod val="95000"/>
                              </a:schemeClr>
                            </a:gs>
                            <a:gs pos="53000">
                              <a:schemeClr val="bg1">
                                <a:lumMod val="85000"/>
                              </a:schemeClr>
                            </a:gs>
                            <a:gs pos="100000">
                              <a:schemeClr val="bg1">
                                <a:lumMod val="75000"/>
                              </a:schemeClr>
                            </a:gs>
                          </a:gsLst>
                          <a:lin ang="5400000" scaled="1"/>
                        </a:gradFill>
                        <a:ln w="6350">
                          <a:noFill/>
                        </a:ln>
                      </wps:spPr>
                      <wps:style>
                        <a:lnRef idx="0">
                          <a:schemeClr val="accent1"/>
                        </a:lnRef>
                        <a:fillRef idx="0">
                          <a:schemeClr val="accent1"/>
                        </a:fillRef>
                        <a:effectRef idx="0">
                          <a:schemeClr val="accent1"/>
                        </a:effectRef>
                        <a:fontRef idx="minor">
                          <a:schemeClr val="dk1"/>
                        </a:fontRef>
                      </wps:style>
                      <wps:txbx>
                        <w:txbxContent>
                          <w:p w14:paraId="653FA20B"/>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1.9pt;margin-top:115.8pt;height:16.5pt;width:68.8pt;z-index:251706368;mso-width-relative:page;mso-height-relative:page;" fillcolor="#B7E8BD [3052]" filled="t" stroked="f" coordsize="21600,21600" o:gfxdata="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KTMUGLaAAAACwEAAA8AAAAAAAAAAQAgAAAA&#10;IgAAAGRycy9kb3ducmV2LnhtbFBLAQIUABQAAAAIAIdO4kCIeZnItAIAALAFAAAOAAAAAAAAAAEA&#10;IAAAACkBAABkcnMvZTJvRG9jLnhtbFBLBQYAAAAABgAGAFkBAABPBgAAAAA=&#10;">
                <v:fill type="gradient" on="t" color2="#75D281 [2412]" colors="0f #B7E8BD;34734f #96DD9F;65536f #75D281" focus="100%" focussize="0,0" rotate="t"/>
                <v:stroke on="f" weight="0.5pt"/>
                <v:imagedata o:title=""/>
                <o:lock v:ext="edit" aspectratio="f"/>
                <v:textbox>
                  <w:txbxContent>
                    <w:p w14:paraId="653FA20B"/>
                  </w:txbxContent>
                </v:textbox>
              </v:shape>
            </w:pict>
          </mc:Fallback>
        </mc:AlternateContent>
      </w:r>
      <w:r>
        <w:rPr>
          <w:rFonts w:hint="eastAsia" w:eastAsia="宋体"/>
          <w:sz w:val="28"/>
          <w:szCs w:val="28"/>
          <w:lang w:eastAsia="zh-CN"/>
        </w:rPr>
        <w:drawing>
          <wp:inline distT="0" distB="0" distL="114300" distR="114300">
            <wp:extent cx="5267960" cy="7444105"/>
            <wp:effectExtent l="0" t="0" r="8890" b="4445"/>
            <wp:docPr id="32" name="图片 52" descr="业务单 (6)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2" descr="业务单 (6)_01"/>
                    <pic:cNvPicPr>
                      <a:picLocks noChangeAspect="1"/>
                    </pic:cNvPicPr>
                  </pic:nvPicPr>
                  <pic:blipFill>
                    <a:blip r:embed="rId16"/>
                    <a:stretch>
                      <a:fillRect/>
                    </a:stretch>
                  </pic:blipFill>
                  <pic:spPr>
                    <a:xfrm>
                      <a:off x="0" y="0"/>
                      <a:ext cx="5267960" cy="7444105"/>
                    </a:xfrm>
                    <a:prstGeom prst="rect">
                      <a:avLst/>
                    </a:prstGeom>
                    <a:noFill/>
                    <a:ln>
                      <a:noFill/>
                    </a:ln>
                  </pic:spPr>
                </pic:pic>
              </a:graphicData>
            </a:graphic>
          </wp:inline>
        </w:drawing>
      </w:r>
      <w:r>
        <w:rPr>
          <w:rFonts w:hint="eastAsia" w:eastAsia="宋体"/>
          <w:sz w:val="28"/>
          <w:szCs w:val="28"/>
          <w:lang w:eastAsia="zh-CN"/>
        </w:rPr>
        <w:drawing>
          <wp:inline distT="0" distB="0" distL="114300" distR="114300">
            <wp:extent cx="5267960" cy="7444105"/>
            <wp:effectExtent l="0" t="0" r="8890" b="4445"/>
            <wp:docPr id="29" name="图片 53" descr="业务单 (6)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3" descr="业务单 (6)_02"/>
                    <pic:cNvPicPr>
                      <a:picLocks noChangeAspect="1"/>
                    </pic:cNvPicPr>
                  </pic:nvPicPr>
                  <pic:blipFill>
                    <a:blip r:embed="rId17"/>
                    <a:stretch>
                      <a:fillRect/>
                    </a:stretch>
                  </pic:blipFill>
                  <pic:spPr>
                    <a:xfrm>
                      <a:off x="0" y="0"/>
                      <a:ext cx="5267960" cy="7444105"/>
                    </a:xfrm>
                    <a:prstGeom prst="rect">
                      <a:avLst/>
                    </a:prstGeom>
                    <a:noFill/>
                    <a:ln>
                      <a:noFill/>
                    </a:ln>
                  </pic:spPr>
                </pic:pic>
              </a:graphicData>
            </a:graphic>
          </wp:inline>
        </w:drawing>
      </w:r>
    </w:p>
    <w:p w14:paraId="3B141162">
      <w:pPr>
        <w:adjustRightInd w:val="0"/>
        <w:jc w:val="center"/>
        <w:rPr>
          <w:rFonts w:ascii="宋体" w:hAnsi="宋体"/>
          <w:b/>
          <w:sz w:val="38"/>
          <w:szCs w:val="38"/>
        </w:rPr>
      </w:pPr>
      <w:r>
        <w:rPr>
          <w:rFonts w:hint="eastAsia" w:ascii="宋体" w:hAnsi="宋体"/>
          <w:b/>
          <w:sz w:val="38"/>
          <w:szCs w:val="38"/>
        </w:rPr>
        <w:t>建设项目</w:t>
      </w:r>
      <w:r>
        <w:rPr>
          <w:rFonts w:hint="eastAsia" w:ascii="宋体" w:hAnsi="宋体"/>
          <w:b/>
          <w:sz w:val="38"/>
          <w:szCs w:val="38"/>
          <w:lang w:eastAsia="zh-CN"/>
        </w:rPr>
        <w:t>环境影响报告表</w:t>
      </w:r>
      <w:r>
        <w:rPr>
          <w:rFonts w:hint="eastAsia" w:ascii="宋体" w:hAnsi="宋体"/>
          <w:b/>
          <w:sz w:val="38"/>
          <w:szCs w:val="38"/>
        </w:rPr>
        <w:t>（表）</w:t>
      </w:r>
    </w:p>
    <w:p w14:paraId="373948F7">
      <w:pPr>
        <w:adjustRightInd w:val="0"/>
        <w:jc w:val="center"/>
        <w:rPr>
          <w:rFonts w:ascii="宋体" w:hAnsi="宋体"/>
          <w:b/>
          <w:sz w:val="38"/>
          <w:szCs w:val="38"/>
        </w:rPr>
      </w:pPr>
      <w:r>
        <w:rPr>
          <w:rFonts w:hint="eastAsia" w:ascii="宋体" w:hAnsi="宋体"/>
          <w:b/>
          <w:sz w:val="38"/>
          <w:szCs w:val="38"/>
        </w:rPr>
        <w:t>编制情况承诺书</w:t>
      </w:r>
    </w:p>
    <w:p w14:paraId="78E1BF93">
      <w:pPr>
        <w:adjustRightInd w:val="0"/>
        <w:spacing w:line="408" w:lineRule="auto"/>
        <w:jc w:val="left"/>
        <w:rPr>
          <w:rFonts w:ascii="黑体" w:hAnsi="黑体" w:eastAsia="黑体"/>
          <w:szCs w:val="32"/>
        </w:rPr>
      </w:pPr>
    </w:p>
    <w:p w14:paraId="501C1CCA">
      <w:pPr>
        <w:adjustRightInd w:val="0"/>
        <w:spacing w:line="360" w:lineRule="auto"/>
        <w:ind w:left="195" w:leftChars="93" w:firstLine="420" w:firstLineChars="200"/>
        <w:rPr>
          <w:rFonts w:ascii="仿宋" w:hAnsi="仿宋" w:eastAsia="仿宋"/>
          <w:sz w:val="30"/>
          <w:szCs w:val="30"/>
        </w:rPr>
      </w:pPr>
      <w:r>
        <w:rPr>
          <w:sz w:val="21"/>
        </w:rPr>
        <mc:AlternateContent>
          <mc:Choice Requires="wps">
            <w:drawing>
              <wp:anchor distT="0" distB="0" distL="114300" distR="114300" simplePos="0" relativeHeight="251718656" behindDoc="0" locked="0" layoutInCell="1" allowOverlap="1">
                <wp:simplePos x="0" y="0"/>
                <wp:positionH relativeFrom="column">
                  <wp:posOffset>1176020</wp:posOffset>
                </wp:positionH>
                <wp:positionV relativeFrom="paragraph">
                  <wp:posOffset>446405</wp:posOffset>
                </wp:positionV>
                <wp:extent cx="1984375" cy="209550"/>
                <wp:effectExtent l="0" t="0" r="15875" b="0"/>
                <wp:wrapNone/>
                <wp:docPr id="119" name="文本框 119"/>
                <wp:cNvGraphicFramePr/>
                <a:graphic xmlns:a="http://schemas.openxmlformats.org/drawingml/2006/main">
                  <a:graphicData uri="http://schemas.microsoft.com/office/word/2010/wordprocessingShape">
                    <wps:wsp>
                      <wps:cNvSpPr txBox="1"/>
                      <wps:spPr>
                        <a:xfrm>
                          <a:off x="0" y="0"/>
                          <a:ext cx="1984375" cy="209550"/>
                        </a:xfrm>
                        <a:prstGeom prst="rect">
                          <a:avLst/>
                        </a:prstGeom>
                        <a:gradFill flip="none">
                          <a:gsLst>
                            <a:gs pos="0">
                              <a:schemeClr val="bg1">
                                <a:lumMod val="95000"/>
                              </a:schemeClr>
                            </a:gs>
                            <a:gs pos="53000">
                              <a:schemeClr val="bg1">
                                <a:lumMod val="85000"/>
                              </a:schemeClr>
                            </a:gs>
                            <a:gs pos="100000">
                              <a:schemeClr val="bg1">
                                <a:lumMod val="75000"/>
                              </a:schemeClr>
                            </a:gs>
                          </a:gsLst>
                          <a:lin ang="5400000" scaled="1"/>
                        </a:gradFill>
                        <a:ln w="6350">
                          <a:noFill/>
                        </a:ln>
                      </wps:spPr>
                      <wps:style>
                        <a:lnRef idx="0">
                          <a:schemeClr val="accent1"/>
                        </a:lnRef>
                        <a:fillRef idx="0">
                          <a:schemeClr val="accent1"/>
                        </a:fillRef>
                        <a:effectRef idx="0">
                          <a:schemeClr val="accent1"/>
                        </a:effectRef>
                        <a:fontRef idx="minor">
                          <a:schemeClr val="dk1"/>
                        </a:fontRef>
                      </wps:style>
                      <wps:txbx>
                        <w:txbxContent>
                          <w:p w14:paraId="749A9C14"/>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2.6pt;margin-top:35.15pt;height:16.5pt;width:156.25pt;z-index:251718656;mso-width-relative:page;mso-height-relative:page;" fillcolor="#B7E8BD [3052]" filled="t" stroked="f" coordsize="21600,21600" o:gfxdata="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AYWgCv2QAAAAoBAAAPAAAAAAAAAAEAIAAA&#10;ACIAAABkcnMvZG93bnJldi54bWxQSwECFAAUAAAACACHTuJASxK/67YCAACxBQAADgAAAAAAAAAB&#10;ACAAAAAoAQAAZHJzL2Uyb0RvYy54bWxQSwUGAAAAAAYABgBZAQAAUAYAAAAA&#10;">
                <v:fill type="gradient" on="t" color2="#75D281 [2412]" colors="0f #B7E8BD;34734f #96DD9F;65536f #75D281" focus="100%" focussize="0,0" rotate="t"/>
                <v:stroke on="f" weight="0.5pt"/>
                <v:imagedata o:title=""/>
                <o:lock v:ext="edit" aspectratio="f"/>
                <v:textbox>
                  <w:txbxContent>
                    <w:p w14:paraId="749A9C14"/>
                  </w:txbxContent>
                </v:textbox>
              </v:shape>
            </w:pict>
          </mc:Fallback>
        </mc:AlternateContent>
      </w:r>
      <w:r>
        <w:rPr>
          <w:sz w:val="21"/>
        </w:rPr>
        <mc:AlternateContent>
          <mc:Choice Requires="wps">
            <w:drawing>
              <wp:anchor distT="0" distB="0" distL="114300" distR="114300" simplePos="0" relativeHeight="251710464" behindDoc="0" locked="0" layoutInCell="1" allowOverlap="1">
                <wp:simplePos x="0" y="0"/>
                <wp:positionH relativeFrom="column">
                  <wp:posOffset>1551305</wp:posOffset>
                </wp:positionH>
                <wp:positionV relativeFrom="paragraph">
                  <wp:posOffset>3646805</wp:posOffset>
                </wp:positionV>
                <wp:extent cx="2143125" cy="209550"/>
                <wp:effectExtent l="0" t="0" r="9525" b="0"/>
                <wp:wrapNone/>
                <wp:docPr id="111" name="文本框 111"/>
                <wp:cNvGraphicFramePr/>
                <a:graphic xmlns:a="http://schemas.openxmlformats.org/drawingml/2006/main">
                  <a:graphicData uri="http://schemas.microsoft.com/office/word/2010/wordprocessingShape">
                    <wps:wsp>
                      <wps:cNvSpPr txBox="1"/>
                      <wps:spPr>
                        <a:xfrm>
                          <a:off x="0" y="0"/>
                          <a:ext cx="2143125" cy="209550"/>
                        </a:xfrm>
                        <a:prstGeom prst="rect">
                          <a:avLst/>
                        </a:prstGeom>
                        <a:gradFill flip="none">
                          <a:gsLst>
                            <a:gs pos="0">
                              <a:schemeClr val="bg1">
                                <a:lumMod val="95000"/>
                              </a:schemeClr>
                            </a:gs>
                            <a:gs pos="53000">
                              <a:schemeClr val="bg1">
                                <a:lumMod val="85000"/>
                              </a:schemeClr>
                            </a:gs>
                            <a:gs pos="100000">
                              <a:schemeClr val="bg1">
                                <a:lumMod val="75000"/>
                              </a:schemeClr>
                            </a:gs>
                          </a:gsLst>
                          <a:lin ang="5400000" scaled="1"/>
                        </a:gradFill>
                        <a:ln w="6350">
                          <a:noFill/>
                        </a:ln>
                      </wps:spPr>
                      <wps:style>
                        <a:lnRef idx="0">
                          <a:schemeClr val="accent1"/>
                        </a:lnRef>
                        <a:fillRef idx="0">
                          <a:schemeClr val="accent1"/>
                        </a:fillRef>
                        <a:effectRef idx="0">
                          <a:schemeClr val="accent1"/>
                        </a:effectRef>
                        <a:fontRef idx="minor">
                          <a:schemeClr val="dk1"/>
                        </a:fontRef>
                      </wps:style>
                      <wps:txbx>
                        <w:txbxContent>
                          <w:p w14:paraId="2F59DD2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2.15pt;margin-top:287.15pt;height:16.5pt;width:168.75pt;z-index:251710464;mso-width-relative:page;mso-height-relative:page;" fillcolor="#B7E8BD [3052]" filled="t" stroked="f" coordsize="21600,21600" o:gfxdata="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C7ihp62gAAAAsBAAAPAAAAAAAAAAEAIAAA&#10;ACIAAABkcnMvZG93bnJldi54bWxQSwECFAAUAAAACACHTuJAaZFER7UCAACxBQAADgAAAAAAAAAB&#10;ACAAAAApAQAAZHJzL2Uyb0RvYy54bWxQSwUGAAAAAAYABgBZAQAAUAYAAAAA&#10;">
                <v:fill type="gradient" on="t" color2="#75D281 [2412]" colors="0f #B7E8BD;34734f #96DD9F;65536f #75D281" focus="100%" focussize="0,0" rotate="t"/>
                <v:stroke on="f" weight="0.5pt"/>
                <v:imagedata o:title=""/>
                <o:lock v:ext="edit" aspectratio="f"/>
                <v:textbox>
                  <w:txbxContent>
                    <w:p w14:paraId="2F59DD22"/>
                  </w:txbxContent>
                </v:textbox>
              </v:shape>
            </w:pict>
          </mc:Fallback>
        </mc:AlternateContent>
      </w:r>
      <w:r>
        <w:rPr>
          <w:sz w:val="21"/>
        </w:rPr>
        <mc:AlternateContent>
          <mc:Choice Requires="wps">
            <w:drawing>
              <wp:anchor distT="0" distB="0" distL="114300" distR="114300" simplePos="0" relativeHeight="251709440" behindDoc="0" locked="0" layoutInCell="1" allowOverlap="1">
                <wp:simplePos x="0" y="0"/>
                <wp:positionH relativeFrom="column">
                  <wp:posOffset>81280</wp:posOffset>
                </wp:positionH>
                <wp:positionV relativeFrom="paragraph">
                  <wp:posOffset>4439285</wp:posOffset>
                </wp:positionV>
                <wp:extent cx="873760" cy="209550"/>
                <wp:effectExtent l="0" t="0" r="2540" b="0"/>
                <wp:wrapNone/>
                <wp:docPr id="110" name="文本框 110"/>
                <wp:cNvGraphicFramePr/>
                <a:graphic xmlns:a="http://schemas.openxmlformats.org/drawingml/2006/main">
                  <a:graphicData uri="http://schemas.microsoft.com/office/word/2010/wordprocessingShape">
                    <wps:wsp>
                      <wps:cNvSpPr txBox="1"/>
                      <wps:spPr>
                        <a:xfrm>
                          <a:off x="0" y="0"/>
                          <a:ext cx="873760" cy="209550"/>
                        </a:xfrm>
                        <a:prstGeom prst="rect">
                          <a:avLst/>
                        </a:prstGeom>
                        <a:gradFill flip="none">
                          <a:gsLst>
                            <a:gs pos="0">
                              <a:schemeClr val="bg1">
                                <a:lumMod val="95000"/>
                              </a:schemeClr>
                            </a:gs>
                            <a:gs pos="53000">
                              <a:schemeClr val="bg1">
                                <a:lumMod val="85000"/>
                              </a:schemeClr>
                            </a:gs>
                            <a:gs pos="100000">
                              <a:schemeClr val="bg1">
                                <a:lumMod val="75000"/>
                              </a:schemeClr>
                            </a:gs>
                          </a:gsLst>
                          <a:lin ang="5400000" scaled="1"/>
                        </a:gradFill>
                        <a:ln w="6350">
                          <a:noFill/>
                        </a:ln>
                      </wps:spPr>
                      <wps:style>
                        <a:lnRef idx="0">
                          <a:schemeClr val="accent1"/>
                        </a:lnRef>
                        <a:fillRef idx="0">
                          <a:schemeClr val="accent1"/>
                        </a:fillRef>
                        <a:effectRef idx="0">
                          <a:schemeClr val="accent1"/>
                        </a:effectRef>
                        <a:fontRef idx="minor">
                          <a:schemeClr val="dk1"/>
                        </a:fontRef>
                      </wps:style>
                      <wps:txbx>
                        <w:txbxContent>
                          <w:p w14:paraId="06A6373C"/>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pt;margin-top:349.55pt;height:16.5pt;width:68.8pt;z-index:251709440;mso-width-relative:page;mso-height-relative:page;" fillcolor="#B7E8BD [3052]" filled="t" stroked="f" coordsize="21600,21600" o:gfxdata="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EvTKYXYAAAACgEAAA8AAAAAAAAAAQAgAAAAIgAA&#10;AGRycy9kb3ducmV2LnhtbFBLAQIUABQAAAAIAIdO4kDwF2IuswIAALAFAAAOAAAAAAAAAAEAIAAA&#10;ACcBAABkcnMvZTJvRG9jLnhtbFBLBQYAAAAABgAGAFkBAABMBgAAAAA=&#10;">
                <v:fill type="gradient" on="t" color2="#75D281 [2412]" colors="0f #B7E8BD;34734f #96DD9F;65536f #75D281" focus="100%" focussize="0,0" rotate="t"/>
                <v:stroke on="f" weight="0.5pt"/>
                <v:imagedata o:title=""/>
                <o:lock v:ext="edit" aspectratio="f"/>
                <v:textbox>
                  <w:txbxContent>
                    <w:p w14:paraId="06A6373C"/>
                  </w:txbxContent>
                </v:textbox>
              </v:shape>
            </w:pict>
          </mc:Fallback>
        </mc:AlternateContent>
      </w:r>
      <w:r>
        <w:rPr>
          <w:sz w:val="21"/>
        </w:rPr>
        <mc:AlternateContent>
          <mc:Choice Requires="wps">
            <w:drawing>
              <wp:anchor distT="0" distB="0" distL="114300" distR="114300" simplePos="0" relativeHeight="251708416" behindDoc="0" locked="0" layoutInCell="1" allowOverlap="1">
                <wp:simplePos x="0" y="0"/>
                <wp:positionH relativeFrom="column">
                  <wp:posOffset>71755</wp:posOffset>
                </wp:positionH>
                <wp:positionV relativeFrom="paragraph">
                  <wp:posOffset>4056380</wp:posOffset>
                </wp:positionV>
                <wp:extent cx="873760" cy="209550"/>
                <wp:effectExtent l="0" t="0" r="2540" b="0"/>
                <wp:wrapNone/>
                <wp:docPr id="109" name="文本框 109"/>
                <wp:cNvGraphicFramePr/>
                <a:graphic xmlns:a="http://schemas.openxmlformats.org/drawingml/2006/main">
                  <a:graphicData uri="http://schemas.microsoft.com/office/word/2010/wordprocessingShape">
                    <wps:wsp>
                      <wps:cNvSpPr txBox="1"/>
                      <wps:spPr>
                        <a:xfrm>
                          <a:off x="0" y="0"/>
                          <a:ext cx="873760" cy="209550"/>
                        </a:xfrm>
                        <a:prstGeom prst="rect">
                          <a:avLst/>
                        </a:prstGeom>
                        <a:gradFill flip="none">
                          <a:gsLst>
                            <a:gs pos="0">
                              <a:schemeClr val="bg1">
                                <a:lumMod val="95000"/>
                              </a:schemeClr>
                            </a:gs>
                            <a:gs pos="53000">
                              <a:schemeClr val="bg1">
                                <a:lumMod val="85000"/>
                              </a:schemeClr>
                            </a:gs>
                            <a:gs pos="100000">
                              <a:schemeClr val="bg1">
                                <a:lumMod val="75000"/>
                              </a:schemeClr>
                            </a:gs>
                          </a:gsLst>
                          <a:lin ang="5400000" scaled="1"/>
                        </a:gradFill>
                        <a:ln w="6350">
                          <a:noFill/>
                        </a:ln>
                      </wps:spPr>
                      <wps:style>
                        <a:lnRef idx="0">
                          <a:schemeClr val="accent1"/>
                        </a:lnRef>
                        <a:fillRef idx="0">
                          <a:schemeClr val="accent1"/>
                        </a:fillRef>
                        <a:effectRef idx="0">
                          <a:schemeClr val="accent1"/>
                        </a:effectRef>
                        <a:fontRef idx="minor">
                          <a:schemeClr val="dk1"/>
                        </a:fontRef>
                      </wps:style>
                      <wps:txbx>
                        <w:txbxContent>
                          <w:p w14:paraId="7C34CE17"/>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5pt;margin-top:319.4pt;height:16.5pt;width:68.8pt;z-index:251708416;mso-width-relative:page;mso-height-relative:page;" fillcolor="#B7E8BD [3052]" filled="t" stroked="f" coordsize="21600,21600" o:gfxdata="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BWwgtP2AAAAAoBAAAPAAAAAAAAAAEAIAAAACIA&#10;AABkcnMvZG93bnJldi54bWxQSwECFAAUAAAACACHTuJAKgctGbQCAACwBQAADgAAAAAAAAABACAA&#10;AAAnAQAAZHJzL2Uyb0RvYy54bWxQSwUGAAAAAAYABgBZAQAATQYAAAAA&#10;">
                <v:fill type="gradient" on="t" color2="#75D281 [2412]" colors="0f #B7E8BD;34734f #96DD9F;65536f #75D281" focus="100%" focussize="0,0" rotate="t"/>
                <v:stroke on="f" weight="0.5pt"/>
                <v:imagedata o:title=""/>
                <o:lock v:ext="edit" aspectratio="f"/>
                <v:textbox>
                  <w:txbxContent>
                    <w:p w14:paraId="7C34CE17"/>
                  </w:txbxContent>
                </v:textbox>
              </v:shape>
            </w:pict>
          </mc:Fallback>
        </mc:AlternateContent>
      </w:r>
      <w:r>
        <w:rPr>
          <w:rFonts w:hint="eastAsia" w:ascii="仿宋" w:hAnsi="仿宋" w:eastAsia="仿宋"/>
          <w:snapToGrid w:val="0"/>
          <w:kern w:val="0"/>
          <w:sz w:val="30"/>
          <w:szCs w:val="30"/>
        </w:rPr>
        <w:drawing>
          <wp:anchor distT="0" distB="0" distL="114300" distR="114300" simplePos="0" relativeHeight="251696128" behindDoc="1" locked="0" layoutInCell="1" allowOverlap="1">
            <wp:simplePos x="0" y="0"/>
            <wp:positionH relativeFrom="column">
              <wp:posOffset>3633470</wp:posOffset>
            </wp:positionH>
            <wp:positionV relativeFrom="paragraph">
              <wp:posOffset>5797550</wp:posOffset>
            </wp:positionV>
            <wp:extent cx="1475740" cy="1496060"/>
            <wp:effectExtent l="0" t="0" r="10160" b="8890"/>
            <wp:wrapNone/>
            <wp:docPr id="98" name="图片 3" descr="169225511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 descr="1692255117345"/>
                    <pic:cNvPicPr>
                      <a:picLocks noChangeAspect="1"/>
                    </pic:cNvPicPr>
                  </pic:nvPicPr>
                  <pic:blipFill>
                    <a:blip r:embed="rId11"/>
                    <a:stretch>
                      <a:fillRect/>
                    </a:stretch>
                  </pic:blipFill>
                  <pic:spPr>
                    <a:xfrm>
                      <a:off x="0" y="0"/>
                      <a:ext cx="1475740" cy="1496060"/>
                    </a:xfrm>
                    <a:prstGeom prst="rect">
                      <a:avLst/>
                    </a:prstGeom>
                    <a:noFill/>
                    <a:ln>
                      <a:noFill/>
                    </a:ln>
                  </pic:spPr>
                </pic:pic>
              </a:graphicData>
            </a:graphic>
          </wp:anchor>
        </w:drawing>
      </w:r>
      <w:r>
        <w:rPr>
          <w:rFonts w:hint="eastAsia" w:ascii="仿宋" w:hAnsi="仿宋" w:eastAsia="仿宋"/>
          <w:sz w:val="30"/>
          <w:szCs w:val="30"/>
        </w:rPr>
        <w:t>本单位</w:t>
      </w:r>
      <w:r>
        <w:rPr>
          <w:rFonts w:hint="eastAsia" w:ascii="仿宋" w:hAnsi="仿宋" w:eastAsia="仿宋"/>
          <w:sz w:val="30"/>
          <w:szCs w:val="30"/>
          <w:u w:val="single"/>
        </w:rPr>
        <w:t xml:space="preserve">    秦皇岛意航工程技术有限公司     </w:t>
      </w:r>
      <w:r>
        <w:rPr>
          <w:rFonts w:hint="eastAsia" w:ascii="仿宋" w:hAnsi="仿宋" w:eastAsia="仿宋"/>
          <w:sz w:val="30"/>
          <w:szCs w:val="30"/>
        </w:rPr>
        <w:t>（统一社会信用代码</w:t>
      </w:r>
      <w:r>
        <w:rPr>
          <w:rFonts w:hint="eastAsia" w:ascii="仿宋" w:hAnsi="仿宋" w:eastAsia="仿宋"/>
          <w:sz w:val="30"/>
          <w:szCs w:val="30"/>
          <w:u w:val="single"/>
        </w:rPr>
        <w:t xml:space="preserve">    91130301MACKBD0P7K     </w:t>
      </w:r>
      <w:r>
        <w:rPr>
          <w:rFonts w:hint="eastAsia" w:ascii="仿宋" w:hAnsi="仿宋" w:eastAsia="仿宋"/>
          <w:sz w:val="30"/>
          <w:szCs w:val="30"/>
        </w:rPr>
        <w:t>）郑重承诺：本单位符合《建设项目</w:t>
      </w:r>
      <w:r>
        <w:rPr>
          <w:rFonts w:hint="eastAsia" w:ascii="仿宋" w:hAnsi="仿宋" w:eastAsia="仿宋"/>
          <w:sz w:val="30"/>
          <w:szCs w:val="30"/>
          <w:lang w:eastAsia="zh-CN"/>
        </w:rPr>
        <w:t>环境影响报告</w:t>
      </w:r>
      <w:r>
        <w:rPr>
          <w:rFonts w:hint="eastAsia" w:ascii="仿宋" w:hAnsi="仿宋" w:eastAsia="仿宋"/>
          <w:sz w:val="30"/>
          <w:szCs w:val="30"/>
          <w:lang w:val="en-US" w:eastAsia="zh-CN"/>
        </w:rPr>
        <w:t>书</w:t>
      </w:r>
      <w:r>
        <w:rPr>
          <w:rFonts w:hint="eastAsia" w:ascii="仿宋" w:hAnsi="仿宋" w:eastAsia="仿宋"/>
          <w:sz w:val="30"/>
          <w:szCs w:val="30"/>
        </w:rPr>
        <w:t>（表）编制监督管理办法》第九条第一款规定，无该条第三款所列情形，</w:t>
      </w:r>
      <w:r>
        <w:rPr>
          <w:rFonts w:hint="eastAsia" w:ascii="仿宋" w:hAnsi="仿宋" w:eastAsia="仿宋"/>
          <w:sz w:val="30"/>
          <w:szCs w:val="30"/>
          <w:u w:val="single"/>
        </w:rPr>
        <w:t xml:space="preserve"> 不属于 </w:t>
      </w:r>
      <w:r>
        <w:rPr>
          <w:rFonts w:hint="eastAsia" w:ascii="仿宋" w:hAnsi="仿宋" w:eastAsia="仿宋"/>
          <w:sz w:val="30"/>
          <w:szCs w:val="30"/>
        </w:rPr>
        <w:t>（属于/不属于）该条第二款所列单位；本次在环境影响评价信用平台提交的由本单位主持编制的</w:t>
      </w:r>
      <w:r>
        <w:rPr>
          <w:rFonts w:hint="eastAsia" w:ascii="仿宋" w:hAnsi="仿宋" w:eastAsia="仿宋"/>
          <w:sz w:val="30"/>
          <w:szCs w:val="30"/>
          <w:u w:val="single"/>
        </w:rPr>
        <w:t xml:space="preserve">   </w:t>
      </w:r>
      <w:r>
        <w:rPr>
          <w:rFonts w:hint="eastAsia" w:ascii="仿宋" w:hAnsi="仿宋" w:eastAsia="仿宋" w:cs="仿宋"/>
          <w:bCs/>
          <w:color w:val="auto"/>
          <w:sz w:val="30"/>
          <w:szCs w:val="30"/>
          <w:highlight w:val="none"/>
          <w:u w:val="single"/>
          <w:lang w:val="en-US" w:eastAsia="zh-CN"/>
        </w:rPr>
        <w:t>秦皇岛万邦零部件加工有限公司新建二车间</w:t>
      </w:r>
      <w:r>
        <w:rPr>
          <w:rFonts w:hint="eastAsia" w:ascii="仿宋" w:hAnsi="仿宋" w:eastAsia="仿宋"/>
          <w:sz w:val="30"/>
          <w:szCs w:val="30"/>
          <w:u w:val="single"/>
        </w:rPr>
        <w:t xml:space="preserve">     </w:t>
      </w:r>
      <w:r>
        <w:rPr>
          <w:rFonts w:hint="eastAsia" w:ascii="仿宋" w:hAnsi="仿宋" w:eastAsia="仿宋"/>
          <w:sz w:val="30"/>
          <w:szCs w:val="30"/>
        </w:rPr>
        <w:t>项目</w:t>
      </w:r>
      <w:r>
        <w:rPr>
          <w:rFonts w:hint="eastAsia" w:ascii="仿宋" w:hAnsi="仿宋" w:eastAsia="仿宋"/>
          <w:sz w:val="30"/>
          <w:szCs w:val="30"/>
          <w:lang w:eastAsia="zh-CN"/>
        </w:rPr>
        <w:t>环境影响报告</w:t>
      </w:r>
      <w:r>
        <w:rPr>
          <w:rFonts w:hint="eastAsia" w:ascii="仿宋" w:hAnsi="仿宋" w:eastAsia="仿宋"/>
          <w:sz w:val="30"/>
          <w:szCs w:val="30"/>
          <w:lang w:val="en-US" w:eastAsia="zh-CN"/>
        </w:rPr>
        <w:t>书</w:t>
      </w:r>
      <w:r>
        <w:rPr>
          <w:rFonts w:hint="eastAsia" w:ascii="仿宋" w:hAnsi="仿宋" w:eastAsia="仿宋"/>
          <w:sz w:val="30"/>
          <w:szCs w:val="30"/>
        </w:rPr>
        <w:t>（表）基本情况信息真实准确、完整有效，不涉及国家秘密；该项目</w:t>
      </w:r>
      <w:r>
        <w:rPr>
          <w:rFonts w:hint="eastAsia" w:ascii="仿宋" w:hAnsi="仿宋" w:eastAsia="仿宋"/>
          <w:sz w:val="30"/>
          <w:szCs w:val="30"/>
          <w:lang w:eastAsia="zh-CN"/>
        </w:rPr>
        <w:t>环境影响报告</w:t>
      </w:r>
      <w:r>
        <w:rPr>
          <w:rFonts w:hint="eastAsia" w:ascii="仿宋" w:hAnsi="仿宋" w:eastAsia="仿宋"/>
          <w:sz w:val="30"/>
          <w:szCs w:val="30"/>
          <w:lang w:val="en-US" w:eastAsia="zh-CN"/>
        </w:rPr>
        <w:t>书</w:t>
      </w:r>
      <w:r>
        <w:rPr>
          <w:rFonts w:hint="eastAsia" w:ascii="仿宋" w:hAnsi="仿宋" w:eastAsia="仿宋"/>
          <w:sz w:val="30"/>
          <w:szCs w:val="30"/>
        </w:rPr>
        <w:t>（表）的编制主持人为</w:t>
      </w:r>
      <w:r>
        <w:rPr>
          <w:rFonts w:hint="eastAsia" w:ascii="仿宋" w:hAnsi="仿宋" w:eastAsia="仿宋"/>
          <w:sz w:val="30"/>
          <w:szCs w:val="30"/>
          <w:u w:val="single"/>
        </w:rPr>
        <w:t xml:space="preserve">   </w:t>
      </w:r>
      <w:r>
        <w:rPr>
          <w:rFonts w:hint="eastAsia" w:ascii="仿宋" w:hAnsi="仿宋" w:eastAsia="仿宋"/>
          <w:sz w:val="30"/>
          <w:szCs w:val="30"/>
          <w:u w:val="single"/>
          <w:lang w:val="en-US" w:eastAsia="zh-CN"/>
        </w:rPr>
        <w:t>何增光</w:t>
      </w:r>
      <w:r>
        <w:rPr>
          <w:rFonts w:hint="eastAsia" w:ascii="仿宋" w:hAnsi="仿宋" w:eastAsia="仿宋"/>
          <w:sz w:val="30"/>
          <w:szCs w:val="30"/>
          <w:u w:val="single"/>
        </w:rPr>
        <w:t xml:space="preserve">   </w:t>
      </w:r>
      <w:r>
        <w:rPr>
          <w:rFonts w:hint="eastAsia" w:ascii="仿宋" w:hAnsi="仿宋" w:eastAsia="仿宋"/>
          <w:sz w:val="30"/>
          <w:szCs w:val="30"/>
        </w:rPr>
        <w:t>（环境影响评价工程师职业资格证书管理号</w:t>
      </w:r>
      <w:r>
        <w:rPr>
          <w:rFonts w:hint="eastAsia" w:ascii="仿宋" w:hAnsi="仿宋" w:eastAsia="仿宋"/>
          <w:sz w:val="30"/>
          <w:szCs w:val="30"/>
          <w:u w:val="single"/>
        </w:rPr>
        <w:t xml:space="preserve">   </w:t>
      </w:r>
      <w:r>
        <w:rPr>
          <w:rFonts w:hint="eastAsia" w:ascii="仿宋" w:hAnsi="仿宋" w:eastAsia="仿宋"/>
          <w:sz w:val="30"/>
          <w:szCs w:val="30"/>
          <w:u w:val="single"/>
          <w:lang w:val="en-US" w:eastAsia="zh-CN"/>
        </w:rPr>
        <w:t>03520240513000000108</w:t>
      </w:r>
      <w:r>
        <w:rPr>
          <w:rFonts w:hint="eastAsia" w:ascii="仿宋" w:hAnsi="仿宋" w:eastAsia="仿宋"/>
          <w:sz w:val="30"/>
          <w:szCs w:val="30"/>
          <w:u w:val="single"/>
        </w:rPr>
        <w:t xml:space="preserve">    </w:t>
      </w:r>
      <w:r>
        <w:rPr>
          <w:rFonts w:hint="eastAsia" w:ascii="仿宋" w:hAnsi="仿宋" w:eastAsia="仿宋"/>
          <w:sz w:val="30"/>
          <w:szCs w:val="30"/>
        </w:rPr>
        <w:t>，信用编号</w:t>
      </w:r>
      <w:r>
        <w:rPr>
          <w:rFonts w:hint="eastAsia" w:ascii="仿宋" w:hAnsi="仿宋" w:eastAsia="仿宋"/>
          <w:sz w:val="30"/>
          <w:szCs w:val="30"/>
          <w:u w:val="single"/>
        </w:rPr>
        <w:t xml:space="preserve">    BH0</w:t>
      </w:r>
      <w:r>
        <w:rPr>
          <w:rFonts w:hint="eastAsia" w:ascii="仿宋" w:hAnsi="仿宋" w:eastAsia="仿宋"/>
          <w:sz w:val="30"/>
          <w:szCs w:val="30"/>
          <w:u w:val="single"/>
          <w:lang w:val="en-US" w:eastAsia="zh-CN"/>
        </w:rPr>
        <w:t>21559</w:t>
      </w:r>
      <w:r>
        <w:rPr>
          <w:rFonts w:hint="eastAsia" w:ascii="仿宋" w:hAnsi="仿宋" w:eastAsia="仿宋"/>
          <w:sz w:val="30"/>
          <w:szCs w:val="30"/>
          <w:u w:val="single"/>
        </w:rPr>
        <w:t xml:space="preserve">    </w:t>
      </w:r>
      <w:r>
        <w:rPr>
          <w:rFonts w:hint="eastAsia" w:ascii="仿宋" w:hAnsi="仿宋" w:eastAsia="仿宋"/>
          <w:sz w:val="30"/>
          <w:szCs w:val="30"/>
        </w:rPr>
        <w:t>），主要编制</w:t>
      </w:r>
      <w:r>
        <w:rPr>
          <w:rFonts w:hint="eastAsia" w:ascii="仿宋" w:hAnsi="仿宋" w:eastAsia="仿宋"/>
          <w:sz w:val="30"/>
          <w:szCs w:val="30"/>
          <w:highlight w:val="none"/>
        </w:rPr>
        <w:t>人员包括</w:t>
      </w:r>
      <w:r>
        <w:rPr>
          <w:rFonts w:hint="eastAsia" w:ascii="仿宋" w:hAnsi="仿宋" w:eastAsia="仿宋"/>
          <w:sz w:val="30"/>
          <w:szCs w:val="30"/>
          <w:highlight w:val="none"/>
          <w:u w:val="single"/>
        </w:rPr>
        <w:t xml:space="preserve">   </w:t>
      </w:r>
      <w:r>
        <w:rPr>
          <w:rFonts w:hint="eastAsia" w:ascii="仿宋" w:hAnsi="仿宋" w:eastAsia="仿宋"/>
          <w:sz w:val="30"/>
          <w:szCs w:val="30"/>
          <w:highlight w:val="none"/>
          <w:u w:val="single"/>
          <w:lang w:val="en-US" w:eastAsia="zh-CN"/>
        </w:rPr>
        <w:t>张玲娣</w:t>
      </w:r>
      <w:r>
        <w:rPr>
          <w:rFonts w:hint="eastAsia" w:ascii="仿宋" w:hAnsi="仿宋" w:eastAsia="仿宋"/>
          <w:sz w:val="30"/>
          <w:szCs w:val="30"/>
          <w:highlight w:val="none"/>
          <w:u w:val="single"/>
        </w:rPr>
        <w:t xml:space="preserve">    </w:t>
      </w:r>
      <w:r>
        <w:rPr>
          <w:rFonts w:hint="eastAsia" w:ascii="仿宋" w:hAnsi="仿宋" w:eastAsia="仿宋"/>
          <w:sz w:val="30"/>
          <w:szCs w:val="30"/>
          <w:highlight w:val="none"/>
        </w:rPr>
        <w:t>（信用编号</w:t>
      </w:r>
      <w:r>
        <w:rPr>
          <w:rFonts w:hint="eastAsia" w:ascii="仿宋" w:hAnsi="仿宋" w:eastAsia="仿宋"/>
          <w:sz w:val="30"/>
          <w:szCs w:val="30"/>
          <w:highlight w:val="none"/>
          <w:u w:val="single"/>
        </w:rPr>
        <w:t xml:space="preserve">   </w:t>
      </w:r>
      <w:r>
        <w:rPr>
          <w:rFonts w:hint="eastAsia" w:ascii="仿宋" w:hAnsi="仿宋" w:eastAsia="仿宋"/>
          <w:sz w:val="30"/>
          <w:szCs w:val="30"/>
          <w:u w:val="single"/>
        </w:rPr>
        <w:t>BH0</w:t>
      </w:r>
      <w:r>
        <w:rPr>
          <w:rFonts w:hint="eastAsia" w:ascii="仿宋" w:hAnsi="仿宋" w:eastAsia="仿宋"/>
          <w:sz w:val="30"/>
          <w:szCs w:val="30"/>
          <w:u w:val="single"/>
          <w:lang w:val="en-US" w:eastAsia="zh-CN"/>
        </w:rPr>
        <w:t>75954</w:t>
      </w:r>
      <w:r>
        <w:rPr>
          <w:rFonts w:hint="eastAsia" w:ascii="仿宋" w:hAnsi="仿宋" w:eastAsia="仿宋"/>
          <w:sz w:val="30"/>
          <w:szCs w:val="30"/>
          <w:u w:val="single"/>
        </w:rPr>
        <w:t xml:space="preserve"> </w:t>
      </w:r>
      <w:r>
        <w:rPr>
          <w:rFonts w:hint="eastAsia" w:ascii="仿宋" w:hAnsi="仿宋" w:eastAsia="仿宋"/>
          <w:sz w:val="30"/>
          <w:szCs w:val="30"/>
          <w:highlight w:val="none"/>
          <w:u w:val="single"/>
        </w:rPr>
        <w:t xml:space="preserve">   </w:t>
      </w:r>
      <w:r>
        <w:rPr>
          <w:rFonts w:hint="eastAsia" w:ascii="仿宋" w:hAnsi="仿宋" w:eastAsia="仿宋"/>
          <w:sz w:val="30"/>
          <w:szCs w:val="30"/>
          <w:highlight w:val="none"/>
        </w:rPr>
        <w:t>）（依次全部列出）等</w:t>
      </w:r>
      <w:r>
        <w:rPr>
          <w:rFonts w:hint="eastAsia" w:ascii="仿宋" w:hAnsi="仿宋" w:eastAsia="仿宋"/>
          <w:sz w:val="30"/>
          <w:szCs w:val="30"/>
          <w:highlight w:val="none"/>
          <w:u w:val="single"/>
        </w:rPr>
        <w:t xml:space="preserve">  </w:t>
      </w:r>
      <w:r>
        <w:rPr>
          <w:rFonts w:hint="eastAsia" w:ascii="仿宋" w:hAnsi="仿宋" w:eastAsia="仿宋"/>
          <w:sz w:val="30"/>
          <w:szCs w:val="30"/>
          <w:highlight w:val="none"/>
          <w:u w:val="single"/>
          <w:lang w:val="en-US" w:eastAsia="zh-CN"/>
        </w:rPr>
        <w:t>1</w:t>
      </w:r>
      <w:r>
        <w:rPr>
          <w:rFonts w:hint="eastAsia" w:ascii="仿宋" w:hAnsi="仿宋" w:eastAsia="仿宋"/>
          <w:sz w:val="30"/>
          <w:szCs w:val="30"/>
          <w:highlight w:val="none"/>
          <w:u w:val="single"/>
        </w:rPr>
        <w:t xml:space="preserve">  </w:t>
      </w:r>
      <w:r>
        <w:rPr>
          <w:rFonts w:hint="eastAsia" w:ascii="仿宋" w:hAnsi="仿宋" w:eastAsia="仿宋"/>
          <w:sz w:val="30"/>
          <w:szCs w:val="30"/>
          <w:highlight w:val="none"/>
        </w:rPr>
        <w:t>人，上</w:t>
      </w:r>
      <w:r>
        <w:rPr>
          <w:rFonts w:hint="eastAsia" w:ascii="仿宋" w:hAnsi="仿宋" w:eastAsia="仿宋"/>
          <w:sz w:val="30"/>
          <w:szCs w:val="30"/>
        </w:rPr>
        <w:t>述人员均为本单位全职人员；本单位和上述编制人员未被列入《建设项目</w:t>
      </w:r>
      <w:r>
        <w:rPr>
          <w:rFonts w:hint="eastAsia" w:ascii="仿宋" w:hAnsi="仿宋" w:eastAsia="仿宋"/>
          <w:sz w:val="30"/>
          <w:szCs w:val="30"/>
          <w:lang w:eastAsia="zh-CN"/>
        </w:rPr>
        <w:t>环境影响报告表</w:t>
      </w:r>
      <w:r>
        <w:rPr>
          <w:rFonts w:hint="eastAsia" w:ascii="仿宋" w:hAnsi="仿宋" w:eastAsia="仿宋"/>
          <w:sz w:val="30"/>
          <w:szCs w:val="30"/>
        </w:rPr>
        <w:t>（表）编制监督管理办法》规定的限期整改名单、环境影响评价失信“黑名单”。</w:t>
      </w:r>
    </w:p>
    <w:p w14:paraId="4956D0A8">
      <w:pPr>
        <w:adjustRightInd w:val="0"/>
        <w:spacing w:line="360" w:lineRule="auto"/>
        <w:ind w:left="195" w:leftChars="93" w:firstLine="600" w:firstLineChars="200"/>
        <w:rPr>
          <w:rFonts w:ascii="仿宋" w:hAnsi="仿宋" w:eastAsia="仿宋"/>
          <w:sz w:val="30"/>
          <w:szCs w:val="30"/>
        </w:rPr>
      </w:pPr>
    </w:p>
    <w:p w14:paraId="31B9AA8E">
      <w:pPr>
        <w:wordWrap w:val="0"/>
        <w:adjustRightInd w:val="0"/>
        <w:spacing w:line="360" w:lineRule="auto"/>
        <w:jc w:val="right"/>
        <w:rPr>
          <w:rFonts w:ascii="仿宋" w:hAnsi="仿宋" w:eastAsia="仿宋"/>
          <w:sz w:val="30"/>
          <w:szCs w:val="30"/>
        </w:rPr>
      </w:pPr>
      <w:r>
        <w:rPr>
          <w:rFonts w:hint="eastAsia" w:ascii="仿宋" w:hAnsi="仿宋" w:eastAsia="仿宋"/>
          <w:sz w:val="30"/>
          <w:szCs w:val="30"/>
        </w:rPr>
        <w:t xml:space="preserve"> 承诺单位(公章)：    </w:t>
      </w:r>
      <w:r>
        <w:rPr>
          <w:rFonts w:ascii="宋体" w:hAnsi="宋体" w:cs="宋体"/>
          <w:snapToGrid w:val="0"/>
          <w:sz w:val="24"/>
        </w:rPr>
        <w:drawing>
          <wp:anchor distT="0" distB="0" distL="114300" distR="114300" simplePos="0" relativeHeight="251671552" behindDoc="1" locked="0" layoutInCell="1" allowOverlap="1">
            <wp:simplePos x="0" y="0"/>
            <wp:positionH relativeFrom="column">
              <wp:posOffset>4620895</wp:posOffset>
            </wp:positionH>
            <wp:positionV relativeFrom="paragraph">
              <wp:posOffset>7089775</wp:posOffset>
            </wp:positionV>
            <wp:extent cx="1511935" cy="1515745"/>
            <wp:effectExtent l="0" t="0" r="12065" b="8255"/>
            <wp:wrapNone/>
            <wp:docPr id="33" name="图片 11" descr="1690765844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1" descr="1690765844865"/>
                    <pic:cNvPicPr>
                      <a:picLocks noChangeAspect="1"/>
                    </pic:cNvPicPr>
                  </pic:nvPicPr>
                  <pic:blipFill>
                    <a:blip r:embed="rId18"/>
                    <a:stretch>
                      <a:fillRect/>
                    </a:stretch>
                  </pic:blipFill>
                  <pic:spPr>
                    <a:xfrm>
                      <a:off x="0" y="0"/>
                      <a:ext cx="1511935" cy="1515745"/>
                    </a:xfrm>
                    <a:prstGeom prst="rect">
                      <a:avLst/>
                    </a:prstGeom>
                    <a:noFill/>
                    <a:ln>
                      <a:noFill/>
                    </a:ln>
                  </pic:spPr>
                </pic:pic>
              </a:graphicData>
            </a:graphic>
          </wp:anchor>
        </w:drawing>
      </w:r>
    </w:p>
    <w:p w14:paraId="682AE074">
      <w:pPr>
        <w:jc w:val="right"/>
      </w:pPr>
      <w:r>
        <w:rPr>
          <w:rFonts w:ascii="仿宋" w:hAnsi="仿宋" w:eastAsia="仿宋"/>
          <w:sz w:val="30"/>
          <w:szCs w:val="30"/>
        </w:rPr>
        <w:t xml:space="preserve"> </w:t>
      </w:r>
      <w:r>
        <w:rPr>
          <w:rFonts w:hint="eastAsia" w:ascii="仿宋" w:hAnsi="仿宋" w:eastAsia="仿宋"/>
          <w:sz w:val="30"/>
          <w:szCs w:val="30"/>
          <w:lang w:val="en-US" w:eastAsia="zh-CN"/>
        </w:rPr>
        <w:t>2025</w:t>
      </w:r>
      <w:r>
        <w:rPr>
          <w:rFonts w:hint="eastAsia" w:ascii="仿宋" w:hAnsi="仿宋" w:eastAsia="仿宋"/>
          <w:sz w:val="30"/>
          <w:szCs w:val="30"/>
        </w:rPr>
        <w:t>年</w:t>
      </w:r>
      <w:r>
        <w:rPr>
          <w:rFonts w:hint="eastAsia" w:ascii="仿宋" w:hAnsi="仿宋" w:eastAsia="仿宋"/>
          <w:sz w:val="30"/>
          <w:szCs w:val="30"/>
          <w:lang w:val="en-US" w:eastAsia="zh-CN"/>
        </w:rPr>
        <w:t>9</w:t>
      </w:r>
      <w:r>
        <w:rPr>
          <w:rFonts w:hint="eastAsia" w:ascii="仿宋" w:hAnsi="仿宋" w:eastAsia="仿宋"/>
          <w:sz w:val="30"/>
          <w:szCs w:val="30"/>
        </w:rPr>
        <w:t>月</w:t>
      </w:r>
      <w:r>
        <w:rPr>
          <w:rFonts w:hint="eastAsia" w:ascii="仿宋" w:hAnsi="仿宋" w:eastAsia="仿宋"/>
          <w:sz w:val="30"/>
          <w:szCs w:val="30"/>
          <w:lang w:val="en-US" w:eastAsia="zh-CN"/>
        </w:rPr>
        <w:t>5</w:t>
      </w:r>
      <w:r>
        <w:rPr>
          <w:rFonts w:hint="eastAsia" w:ascii="仿宋" w:hAnsi="仿宋" w:eastAsia="仿宋"/>
          <w:sz w:val="30"/>
          <w:szCs w:val="30"/>
        </w:rPr>
        <w:t>日</w:t>
      </w:r>
    </w:p>
    <w:p w14:paraId="488D12C7">
      <w:pPr>
        <w:rPr>
          <w:sz w:val="28"/>
          <w:szCs w:val="28"/>
        </w:rPr>
        <w:sectPr>
          <w:pgSz w:w="11906" w:h="16838"/>
          <w:pgMar w:top="1440" w:right="1800" w:bottom="1440" w:left="1800" w:header="851" w:footer="992" w:gutter="0"/>
          <w:cols w:space="720" w:num="1"/>
          <w:docGrid w:type="lines" w:linePitch="312" w:charSpace="0"/>
        </w:sectPr>
      </w:pPr>
    </w:p>
    <w:p w14:paraId="111C422B">
      <w:pPr>
        <w:adjustRightInd w:val="0"/>
        <w:jc w:val="center"/>
        <w:rPr>
          <w:rFonts w:ascii="方正小标宋" w:hAnsi="华文中宋" w:eastAsia="方正小标宋"/>
          <w:sz w:val="38"/>
          <w:szCs w:val="38"/>
        </w:rPr>
      </w:pPr>
      <w:r>
        <w:rPr>
          <w:rFonts w:hint="eastAsia" w:ascii="方正小标宋" w:hAnsi="华文中宋" w:eastAsia="方正小标宋" w:cs="方正小标宋_GBK"/>
          <w:sz w:val="38"/>
          <w:szCs w:val="38"/>
        </w:rPr>
        <w:t>编 制 单 位 承 诺 书</w:t>
      </w:r>
    </w:p>
    <w:p w14:paraId="536C1B97">
      <w:pPr>
        <w:adjustRightInd w:val="0"/>
        <w:spacing w:line="408" w:lineRule="auto"/>
        <w:jc w:val="left"/>
        <w:rPr>
          <w:rFonts w:ascii="黑体" w:hAnsi="黑体" w:eastAsia="黑体"/>
        </w:rPr>
      </w:pPr>
    </w:p>
    <w:p w14:paraId="34647F1D">
      <w:pPr>
        <w:adjustRightInd w:val="0"/>
        <w:spacing w:line="360" w:lineRule="auto"/>
        <w:ind w:firstLine="420" w:firstLineChars="200"/>
        <w:rPr>
          <w:rFonts w:ascii="仿宋_GB2312" w:hAnsi="仿宋" w:eastAsia="仿宋_GB2312"/>
          <w:sz w:val="30"/>
          <w:szCs w:val="30"/>
        </w:rPr>
      </w:pPr>
      <w:r>
        <w:rPr>
          <w:sz w:val="21"/>
        </w:rPr>
        <mc:AlternateContent>
          <mc:Choice Requires="wps">
            <w:drawing>
              <wp:anchor distT="0" distB="0" distL="114300" distR="114300" simplePos="0" relativeHeight="251717632" behindDoc="0" locked="0" layoutInCell="1" allowOverlap="1">
                <wp:simplePos x="0" y="0"/>
                <wp:positionH relativeFrom="column">
                  <wp:posOffset>-73660</wp:posOffset>
                </wp:positionH>
                <wp:positionV relativeFrom="paragraph">
                  <wp:posOffset>354330</wp:posOffset>
                </wp:positionV>
                <wp:extent cx="2215515" cy="209550"/>
                <wp:effectExtent l="0" t="0" r="13335" b="0"/>
                <wp:wrapNone/>
                <wp:docPr id="118" name="文本框 118"/>
                <wp:cNvGraphicFramePr/>
                <a:graphic xmlns:a="http://schemas.openxmlformats.org/drawingml/2006/main">
                  <a:graphicData uri="http://schemas.microsoft.com/office/word/2010/wordprocessingShape">
                    <wps:wsp>
                      <wps:cNvSpPr txBox="1"/>
                      <wps:spPr>
                        <a:xfrm>
                          <a:off x="0" y="0"/>
                          <a:ext cx="2215515" cy="209550"/>
                        </a:xfrm>
                        <a:prstGeom prst="rect">
                          <a:avLst/>
                        </a:prstGeom>
                        <a:gradFill flip="none">
                          <a:gsLst>
                            <a:gs pos="0">
                              <a:schemeClr val="bg1">
                                <a:lumMod val="95000"/>
                              </a:schemeClr>
                            </a:gs>
                            <a:gs pos="53000">
                              <a:schemeClr val="bg1">
                                <a:lumMod val="85000"/>
                              </a:schemeClr>
                            </a:gs>
                            <a:gs pos="100000">
                              <a:schemeClr val="bg1">
                                <a:lumMod val="75000"/>
                              </a:schemeClr>
                            </a:gs>
                          </a:gsLst>
                          <a:lin ang="5400000" scaled="1"/>
                        </a:gradFill>
                        <a:ln w="6350">
                          <a:noFill/>
                        </a:ln>
                      </wps:spPr>
                      <wps:style>
                        <a:lnRef idx="0">
                          <a:schemeClr val="accent1"/>
                        </a:lnRef>
                        <a:fillRef idx="0">
                          <a:schemeClr val="accent1"/>
                        </a:fillRef>
                        <a:effectRef idx="0">
                          <a:schemeClr val="accent1"/>
                        </a:effectRef>
                        <a:fontRef idx="minor">
                          <a:schemeClr val="dk1"/>
                        </a:fontRef>
                      </wps:style>
                      <wps:txbx>
                        <w:txbxContent>
                          <w:p w14:paraId="1550FB7C"/>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pt;margin-top:27.9pt;height:16.5pt;width:174.45pt;z-index:251717632;mso-width-relative:page;mso-height-relative:page;" fillcolor="#B7E8BD [3052]" filled="t" stroked="f" coordsize="21600,21600" o:gfxdata="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JCs093ZAAAACQEAAA8AAAAAAAAAAQAgAAAA&#10;IgAAAGRycy9kb3ducmV2LnhtbFBLAQIUABQAAAAIAIdO4kAxx2AJtQIAALEFAAAOAAAAAAAAAAEA&#10;IAAAACgBAABkcnMvZTJvRG9jLnhtbFBLBQYAAAAABgAGAFkBAABPBgAAAAA=&#10;">
                <v:fill type="gradient" on="t" color2="#75D281 [2412]" colors="0f #B7E8BD;34734f #96DD9F;65536f #75D281" focus="100%" focussize="0,0" rotate="t"/>
                <v:stroke on="f" weight="0.5pt"/>
                <v:imagedata o:title=""/>
                <o:lock v:ext="edit" aspectratio="f"/>
                <v:textbox>
                  <w:txbxContent>
                    <w:p w14:paraId="1550FB7C"/>
                  </w:txbxContent>
                </v:textbox>
              </v:shape>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-170815</wp:posOffset>
                </wp:positionH>
                <wp:positionV relativeFrom="paragraph">
                  <wp:posOffset>2348865</wp:posOffset>
                </wp:positionV>
                <wp:extent cx="5901690" cy="3189605"/>
                <wp:effectExtent l="4445" t="4445" r="18415" b="6350"/>
                <wp:wrapSquare wrapText="bothSides"/>
                <wp:docPr id="30" name="文本框 30"/>
                <wp:cNvGraphicFramePr/>
                <a:graphic xmlns:a="http://schemas.openxmlformats.org/drawingml/2006/main">
                  <a:graphicData uri="http://schemas.microsoft.com/office/word/2010/wordprocessingShape">
                    <wps:wsp>
                      <wps:cNvSpPr txBox="1"/>
                      <wps:spPr>
                        <a:xfrm>
                          <a:off x="0" y="0"/>
                          <a:ext cx="5901690" cy="318960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485C3A61">
                            <w:pPr>
                              <w:adjustRightInd w:val="0"/>
                              <w:spacing w:before="72" w:beforeLines="30" w:line="336" w:lineRule="auto"/>
                              <w:rPr>
                                <w:rFonts w:ascii="仿宋_GB2312" w:hAnsi="仿宋" w:eastAsia="仿宋_GB2312"/>
                                <w:sz w:val="30"/>
                                <w:szCs w:val="30"/>
                              </w:rPr>
                            </w:pPr>
                            <w:r>
                              <w:rPr>
                                <w:rFonts w:ascii="仿宋_GB2312" w:hAnsi="仿宋" w:eastAsia="仿宋_GB2312" w:cs="仿宋_GB2312"/>
                                <w:sz w:val="30"/>
                                <w:szCs w:val="30"/>
                              </w:rPr>
                              <w:t>1.</w:t>
                            </w:r>
                            <w:r>
                              <w:rPr>
                                <w:rFonts w:hint="eastAsia" w:ascii="仿宋_GB2312" w:hAnsi="仿宋" w:eastAsia="仿宋_GB2312" w:cs="仿宋_GB2312"/>
                                <w:sz w:val="30"/>
                                <w:szCs w:val="30"/>
                              </w:rPr>
                              <w:t>首次提交基本情况信息</w:t>
                            </w:r>
                          </w:p>
                          <w:p w14:paraId="6F9A24FC">
                            <w:pPr>
                              <w:adjustRightInd w:val="0"/>
                              <w:spacing w:line="336" w:lineRule="auto"/>
                              <w:rPr>
                                <w:rFonts w:ascii="仿宋_GB2312" w:hAnsi="仿宋" w:eastAsia="仿宋_GB2312"/>
                                <w:sz w:val="30"/>
                                <w:szCs w:val="30"/>
                              </w:rPr>
                            </w:pPr>
                            <w:r>
                              <w:rPr>
                                <w:rFonts w:ascii="仿宋_GB2312" w:hAnsi="仿宋" w:eastAsia="仿宋_GB2312" w:cs="仿宋_GB2312"/>
                                <w:sz w:val="30"/>
                                <w:szCs w:val="30"/>
                              </w:rPr>
                              <w:t>2.</w:t>
                            </w:r>
                            <w:r>
                              <w:rPr>
                                <w:rFonts w:hint="eastAsia" w:ascii="仿宋_GB2312" w:hAnsi="仿宋" w:eastAsia="仿宋_GB2312" w:cs="仿宋_GB2312"/>
                                <w:sz w:val="30"/>
                                <w:szCs w:val="30"/>
                              </w:rPr>
                              <w:t>单位名称、住所或者法定代表人（负责人）变更的</w:t>
                            </w:r>
                          </w:p>
                          <w:p w14:paraId="2B714BAB">
                            <w:pPr>
                              <w:adjustRightInd w:val="0"/>
                              <w:spacing w:line="336" w:lineRule="auto"/>
                              <w:rPr>
                                <w:rFonts w:ascii="仿宋_GB2312" w:hAnsi="仿宋" w:eastAsia="仿宋_GB2312"/>
                                <w:sz w:val="30"/>
                                <w:szCs w:val="30"/>
                              </w:rPr>
                            </w:pPr>
                            <w:r>
                              <w:rPr>
                                <w:rFonts w:ascii="仿宋_GB2312" w:hAnsi="仿宋" w:eastAsia="仿宋_GB2312" w:cs="仿宋_GB2312"/>
                                <w:sz w:val="30"/>
                                <w:szCs w:val="30"/>
                              </w:rPr>
                              <w:t>3.</w:t>
                            </w:r>
                            <w:r>
                              <w:rPr>
                                <w:rFonts w:hint="eastAsia" w:ascii="仿宋_GB2312" w:hAnsi="仿宋" w:eastAsia="仿宋_GB2312" w:cs="仿宋_GB2312"/>
                                <w:sz w:val="30"/>
                                <w:szCs w:val="30"/>
                              </w:rPr>
                              <w:t>出资人、举办单位、业务主管部门或者挂靠单位等变更的</w:t>
                            </w:r>
                          </w:p>
                          <w:p w14:paraId="2C559A39">
                            <w:pPr>
                              <w:adjustRightInd w:val="0"/>
                              <w:spacing w:line="336" w:lineRule="auto"/>
                              <w:rPr>
                                <w:rFonts w:ascii="仿宋_GB2312" w:hAnsi="仿宋" w:eastAsia="仿宋_GB2312"/>
                                <w:sz w:val="30"/>
                                <w:szCs w:val="30"/>
                              </w:rPr>
                            </w:pPr>
                            <w:r>
                              <w:rPr>
                                <w:rFonts w:ascii="仿宋_GB2312" w:hAnsi="仿宋" w:eastAsia="仿宋_GB2312" w:cs="仿宋_GB2312"/>
                                <w:sz w:val="30"/>
                                <w:szCs w:val="30"/>
                              </w:rPr>
                              <w:t>4.</w:t>
                            </w:r>
                            <w:r>
                              <w:rPr>
                                <w:rFonts w:hint="eastAsia" w:ascii="仿宋_GB2312" w:hAnsi="仿宋" w:eastAsia="仿宋_GB2312" w:cs="仿宋_GB2312"/>
                                <w:sz w:val="30"/>
                                <w:szCs w:val="30"/>
                              </w:rPr>
                              <w:t>未发生第</w:t>
                            </w:r>
                            <w:r>
                              <w:rPr>
                                <w:rFonts w:ascii="仿宋_GB2312" w:hAnsi="仿宋" w:eastAsia="仿宋_GB2312" w:cs="仿宋_GB2312"/>
                                <w:sz w:val="30"/>
                                <w:szCs w:val="30"/>
                              </w:rPr>
                              <w:t>3</w:t>
                            </w:r>
                            <w:r>
                              <w:rPr>
                                <w:rFonts w:hint="eastAsia" w:ascii="仿宋_GB2312" w:hAnsi="仿宋" w:eastAsia="仿宋_GB2312" w:cs="仿宋_GB2312"/>
                                <w:sz w:val="30"/>
                                <w:szCs w:val="30"/>
                              </w:rPr>
                              <w:t>项所列情形、与《建设项目</w:t>
                            </w:r>
                            <w:r>
                              <w:rPr>
                                <w:rFonts w:hint="eastAsia" w:ascii="仿宋_GB2312" w:hAnsi="仿宋" w:eastAsia="仿宋_GB2312" w:cs="仿宋_GB2312"/>
                                <w:sz w:val="30"/>
                                <w:szCs w:val="30"/>
                                <w:lang w:eastAsia="zh-CN"/>
                              </w:rPr>
                              <w:t>环境影响报告表</w:t>
                            </w:r>
                            <w:r>
                              <w:rPr>
                                <w:rFonts w:hint="eastAsia" w:ascii="仿宋_GB2312" w:hAnsi="仿宋" w:eastAsia="仿宋_GB2312" w:cs="仿宋_GB2312"/>
                                <w:sz w:val="30"/>
                                <w:szCs w:val="30"/>
                              </w:rPr>
                              <w:t>（表）编制监督管理办法》第九条规定的符合性发生变更的</w:t>
                            </w:r>
                          </w:p>
                          <w:p w14:paraId="5A1F7453">
                            <w:pPr>
                              <w:adjustRightInd w:val="0"/>
                              <w:spacing w:line="336" w:lineRule="auto"/>
                              <w:rPr>
                                <w:rFonts w:ascii="仿宋_GB2312" w:hAnsi="仿宋" w:eastAsia="仿宋_GB2312"/>
                                <w:sz w:val="30"/>
                                <w:szCs w:val="30"/>
                              </w:rPr>
                            </w:pPr>
                            <w:r>
                              <w:rPr>
                                <w:rFonts w:ascii="仿宋_GB2312" w:hAnsi="仿宋" w:eastAsia="仿宋_GB2312" w:cs="仿宋_GB2312"/>
                                <w:sz w:val="30"/>
                                <w:szCs w:val="30"/>
                              </w:rPr>
                              <w:t>5.</w:t>
                            </w:r>
                            <w:r>
                              <w:rPr>
                                <w:rFonts w:hint="eastAsia" w:ascii="仿宋_GB2312" w:hAnsi="仿宋" w:eastAsia="仿宋_GB2312" w:cs="仿宋_GB2312"/>
                                <w:sz w:val="30"/>
                                <w:szCs w:val="30"/>
                              </w:rPr>
                              <w:t>编制人员从业单位已变更或者已调离从业单位的</w:t>
                            </w:r>
                          </w:p>
                          <w:p w14:paraId="2193FA38">
                            <w:pPr>
                              <w:adjustRightInd w:val="0"/>
                              <w:spacing w:line="336" w:lineRule="auto"/>
                              <w:rPr>
                                <w:rFonts w:ascii="仿宋_GB2312" w:hAnsi="仿宋" w:eastAsia="仿宋_GB2312"/>
                                <w:sz w:val="30"/>
                                <w:szCs w:val="30"/>
                              </w:rPr>
                            </w:pPr>
                            <w:r>
                              <w:rPr>
                                <w:rFonts w:ascii="仿宋_GB2312" w:hAnsi="仿宋" w:eastAsia="仿宋_GB2312" w:cs="仿宋_GB2312"/>
                                <w:sz w:val="30"/>
                                <w:szCs w:val="30"/>
                              </w:rPr>
                              <w:t>6.</w:t>
                            </w:r>
                            <w:r>
                              <w:rPr>
                                <w:rFonts w:hint="eastAsia" w:ascii="仿宋_GB2312" w:hAnsi="仿宋" w:eastAsia="仿宋_GB2312" w:cs="仿宋_GB2312"/>
                                <w:sz w:val="30"/>
                                <w:szCs w:val="30"/>
                              </w:rPr>
                              <w:t>编制人员未发生第</w:t>
                            </w:r>
                            <w:r>
                              <w:rPr>
                                <w:rFonts w:ascii="仿宋_GB2312" w:hAnsi="仿宋" w:eastAsia="仿宋_GB2312" w:cs="仿宋_GB2312"/>
                                <w:sz w:val="30"/>
                                <w:szCs w:val="30"/>
                              </w:rPr>
                              <w:t>5</w:t>
                            </w:r>
                            <w:r>
                              <w:rPr>
                                <w:rFonts w:hint="eastAsia" w:ascii="仿宋_GB2312" w:hAnsi="仿宋" w:eastAsia="仿宋_GB2312" w:cs="仿宋_GB2312"/>
                                <w:sz w:val="30"/>
                                <w:szCs w:val="30"/>
                              </w:rPr>
                              <w:t>项所列情形，全职情况发生变更、不再属于本单位全职人员的</w:t>
                            </w:r>
                          </w:p>
                          <w:p w14:paraId="2419942E">
                            <w:pPr>
                              <w:adjustRightInd w:val="0"/>
                              <w:spacing w:line="336" w:lineRule="auto"/>
                              <w:rPr>
                                <w:rFonts w:ascii="仿宋_GB2312" w:hAnsi="仿宋" w:eastAsia="仿宋_GB2312"/>
                                <w:sz w:val="30"/>
                                <w:szCs w:val="30"/>
                              </w:rPr>
                            </w:pPr>
                            <w:r>
                              <w:rPr>
                                <w:rFonts w:ascii="仿宋_GB2312" w:hAnsi="仿宋" w:eastAsia="仿宋_GB2312" w:cs="仿宋_GB2312"/>
                                <w:sz w:val="30"/>
                                <w:szCs w:val="30"/>
                              </w:rPr>
                              <w:t>7.</w:t>
                            </w:r>
                            <w:r>
                              <w:rPr>
                                <w:rFonts w:hint="eastAsia" w:ascii="仿宋_GB2312" w:hAnsi="仿宋" w:eastAsia="仿宋_GB2312" w:cs="仿宋_GB2312"/>
                                <w:sz w:val="30"/>
                                <w:szCs w:val="30"/>
                              </w:rPr>
                              <w:t>补正基本情况信息</w:t>
                            </w:r>
                          </w:p>
                        </w:txbxContent>
                      </wps:txbx>
                      <wps:bodyPr upright="1"/>
                    </wps:wsp>
                  </a:graphicData>
                </a:graphic>
              </wp:anchor>
            </w:drawing>
          </mc:Choice>
          <mc:Fallback>
            <w:pict>
              <v:shape id="_x0000_s1026" o:spid="_x0000_s1026" o:spt="202" type="#_x0000_t202" style="position:absolute;left:0pt;margin-left:-13.45pt;margin-top:184.95pt;height:251.15pt;width:464.7pt;mso-wrap-distance-bottom:0pt;mso-wrap-distance-left:9pt;mso-wrap-distance-right:9pt;mso-wrap-distance-top:0pt;z-index:251673600;mso-width-relative:page;mso-height-relative:page;" fillcolor="#FFFFFF" filled="t" stroked="t" coordsize="21600,21600" o:gfxdata="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TSmuHaAAAACwEAAA8AAAAA&#10;AAAAAQAgAAAAIgAAAGRycy9kb3ducmV2LnhtbFBLAQIUABQAAAAIAIdO4kA/FNtQEgIAAEcEAAAO&#10;AAAAAAAAAAEAIAAAACkBAABkcnMvZTJvRG9jLnhtbFBLBQYAAAAABgAGAFkBAACtBQAAAAA=&#10;">
                <v:fill on="t" focussize="0,0"/>
                <v:stroke color="#000000" joinstyle="miter"/>
                <v:imagedata o:title=""/>
                <o:lock v:ext="edit" aspectratio="f"/>
                <v:textbox>
                  <w:txbxContent>
                    <w:p w14:paraId="485C3A61">
                      <w:pPr>
                        <w:adjustRightInd w:val="0"/>
                        <w:spacing w:before="72" w:beforeLines="30" w:line="336" w:lineRule="auto"/>
                        <w:rPr>
                          <w:rFonts w:ascii="仿宋_GB2312" w:hAnsi="仿宋" w:eastAsia="仿宋_GB2312"/>
                          <w:sz w:val="30"/>
                          <w:szCs w:val="30"/>
                        </w:rPr>
                      </w:pPr>
                      <w:r>
                        <w:rPr>
                          <w:rFonts w:ascii="仿宋_GB2312" w:hAnsi="仿宋" w:eastAsia="仿宋_GB2312" w:cs="仿宋_GB2312"/>
                          <w:sz w:val="30"/>
                          <w:szCs w:val="30"/>
                        </w:rPr>
                        <w:t>1.</w:t>
                      </w:r>
                      <w:r>
                        <w:rPr>
                          <w:rFonts w:hint="eastAsia" w:ascii="仿宋_GB2312" w:hAnsi="仿宋" w:eastAsia="仿宋_GB2312" w:cs="仿宋_GB2312"/>
                          <w:sz w:val="30"/>
                          <w:szCs w:val="30"/>
                        </w:rPr>
                        <w:t>首次提交基本情况信息</w:t>
                      </w:r>
                    </w:p>
                    <w:p w14:paraId="6F9A24FC">
                      <w:pPr>
                        <w:adjustRightInd w:val="0"/>
                        <w:spacing w:line="336" w:lineRule="auto"/>
                        <w:rPr>
                          <w:rFonts w:ascii="仿宋_GB2312" w:hAnsi="仿宋" w:eastAsia="仿宋_GB2312"/>
                          <w:sz w:val="30"/>
                          <w:szCs w:val="30"/>
                        </w:rPr>
                      </w:pPr>
                      <w:r>
                        <w:rPr>
                          <w:rFonts w:ascii="仿宋_GB2312" w:hAnsi="仿宋" w:eastAsia="仿宋_GB2312" w:cs="仿宋_GB2312"/>
                          <w:sz w:val="30"/>
                          <w:szCs w:val="30"/>
                        </w:rPr>
                        <w:t>2.</w:t>
                      </w:r>
                      <w:r>
                        <w:rPr>
                          <w:rFonts w:hint="eastAsia" w:ascii="仿宋_GB2312" w:hAnsi="仿宋" w:eastAsia="仿宋_GB2312" w:cs="仿宋_GB2312"/>
                          <w:sz w:val="30"/>
                          <w:szCs w:val="30"/>
                        </w:rPr>
                        <w:t>单位名称、住所或者法定代表人（负责人）变更的</w:t>
                      </w:r>
                    </w:p>
                    <w:p w14:paraId="2B714BAB">
                      <w:pPr>
                        <w:adjustRightInd w:val="0"/>
                        <w:spacing w:line="336" w:lineRule="auto"/>
                        <w:rPr>
                          <w:rFonts w:ascii="仿宋_GB2312" w:hAnsi="仿宋" w:eastAsia="仿宋_GB2312"/>
                          <w:sz w:val="30"/>
                          <w:szCs w:val="30"/>
                        </w:rPr>
                      </w:pPr>
                      <w:r>
                        <w:rPr>
                          <w:rFonts w:ascii="仿宋_GB2312" w:hAnsi="仿宋" w:eastAsia="仿宋_GB2312" w:cs="仿宋_GB2312"/>
                          <w:sz w:val="30"/>
                          <w:szCs w:val="30"/>
                        </w:rPr>
                        <w:t>3.</w:t>
                      </w:r>
                      <w:r>
                        <w:rPr>
                          <w:rFonts w:hint="eastAsia" w:ascii="仿宋_GB2312" w:hAnsi="仿宋" w:eastAsia="仿宋_GB2312" w:cs="仿宋_GB2312"/>
                          <w:sz w:val="30"/>
                          <w:szCs w:val="30"/>
                        </w:rPr>
                        <w:t>出资人、举办单位、业务主管部门或者挂靠单位等变更的</w:t>
                      </w:r>
                    </w:p>
                    <w:p w14:paraId="2C559A39">
                      <w:pPr>
                        <w:adjustRightInd w:val="0"/>
                        <w:spacing w:line="336" w:lineRule="auto"/>
                        <w:rPr>
                          <w:rFonts w:ascii="仿宋_GB2312" w:hAnsi="仿宋" w:eastAsia="仿宋_GB2312"/>
                          <w:sz w:val="30"/>
                          <w:szCs w:val="30"/>
                        </w:rPr>
                      </w:pPr>
                      <w:r>
                        <w:rPr>
                          <w:rFonts w:ascii="仿宋_GB2312" w:hAnsi="仿宋" w:eastAsia="仿宋_GB2312" w:cs="仿宋_GB2312"/>
                          <w:sz w:val="30"/>
                          <w:szCs w:val="30"/>
                        </w:rPr>
                        <w:t>4.</w:t>
                      </w:r>
                      <w:r>
                        <w:rPr>
                          <w:rFonts w:hint="eastAsia" w:ascii="仿宋_GB2312" w:hAnsi="仿宋" w:eastAsia="仿宋_GB2312" w:cs="仿宋_GB2312"/>
                          <w:sz w:val="30"/>
                          <w:szCs w:val="30"/>
                        </w:rPr>
                        <w:t>未发生第</w:t>
                      </w:r>
                      <w:r>
                        <w:rPr>
                          <w:rFonts w:ascii="仿宋_GB2312" w:hAnsi="仿宋" w:eastAsia="仿宋_GB2312" w:cs="仿宋_GB2312"/>
                          <w:sz w:val="30"/>
                          <w:szCs w:val="30"/>
                        </w:rPr>
                        <w:t>3</w:t>
                      </w:r>
                      <w:r>
                        <w:rPr>
                          <w:rFonts w:hint="eastAsia" w:ascii="仿宋_GB2312" w:hAnsi="仿宋" w:eastAsia="仿宋_GB2312" w:cs="仿宋_GB2312"/>
                          <w:sz w:val="30"/>
                          <w:szCs w:val="30"/>
                        </w:rPr>
                        <w:t>项所列情形、与《建设项目</w:t>
                      </w:r>
                      <w:r>
                        <w:rPr>
                          <w:rFonts w:hint="eastAsia" w:ascii="仿宋_GB2312" w:hAnsi="仿宋" w:eastAsia="仿宋_GB2312" w:cs="仿宋_GB2312"/>
                          <w:sz w:val="30"/>
                          <w:szCs w:val="30"/>
                          <w:lang w:eastAsia="zh-CN"/>
                        </w:rPr>
                        <w:t>环境影响报告表</w:t>
                      </w:r>
                      <w:r>
                        <w:rPr>
                          <w:rFonts w:hint="eastAsia" w:ascii="仿宋_GB2312" w:hAnsi="仿宋" w:eastAsia="仿宋_GB2312" w:cs="仿宋_GB2312"/>
                          <w:sz w:val="30"/>
                          <w:szCs w:val="30"/>
                        </w:rPr>
                        <w:t>（表）编制监督管理办法》第九条规定的符合性发生变更的</w:t>
                      </w:r>
                    </w:p>
                    <w:p w14:paraId="5A1F7453">
                      <w:pPr>
                        <w:adjustRightInd w:val="0"/>
                        <w:spacing w:line="336" w:lineRule="auto"/>
                        <w:rPr>
                          <w:rFonts w:ascii="仿宋_GB2312" w:hAnsi="仿宋" w:eastAsia="仿宋_GB2312"/>
                          <w:sz w:val="30"/>
                          <w:szCs w:val="30"/>
                        </w:rPr>
                      </w:pPr>
                      <w:r>
                        <w:rPr>
                          <w:rFonts w:ascii="仿宋_GB2312" w:hAnsi="仿宋" w:eastAsia="仿宋_GB2312" w:cs="仿宋_GB2312"/>
                          <w:sz w:val="30"/>
                          <w:szCs w:val="30"/>
                        </w:rPr>
                        <w:t>5.</w:t>
                      </w:r>
                      <w:r>
                        <w:rPr>
                          <w:rFonts w:hint="eastAsia" w:ascii="仿宋_GB2312" w:hAnsi="仿宋" w:eastAsia="仿宋_GB2312" w:cs="仿宋_GB2312"/>
                          <w:sz w:val="30"/>
                          <w:szCs w:val="30"/>
                        </w:rPr>
                        <w:t>编制人员从业单位已变更或者已调离从业单位的</w:t>
                      </w:r>
                    </w:p>
                    <w:p w14:paraId="2193FA38">
                      <w:pPr>
                        <w:adjustRightInd w:val="0"/>
                        <w:spacing w:line="336" w:lineRule="auto"/>
                        <w:rPr>
                          <w:rFonts w:ascii="仿宋_GB2312" w:hAnsi="仿宋" w:eastAsia="仿宋_GB2312"/>
                          <w:sz w:val="30"/>
                          <w:szCs w:val="30"/>
                        </w:rPr>
                      </w:pPr>
                      <w:r>
                        <w:rPr>
                          <w:rFonts w:ascii="仿宋_GB2312" w:hAnsi="仿宋" w:eastAsia="仿宋_GB2312" w:cs="仿宋_GB2312"/>
                          <w:sz w:val="30"/>
                          <w:szCs w:val="30"/>
                        </w:rPr>
                        <w:t>6.</w:t>
                      </w:r>
                      <w:r>
                        <w:rPr>
                          <w:rFonts w:hint="eastAsia" w:ascii="仿宋_GB2312" w:hAnsi="仿宋" w:eastAsia="仿宋_GB2312" w:cs="仿宋_GB2312"/>
                          <w:sz w:val="30"/>
                          <w:szCs w:val="30"/>
                        </w:rPr>
                        <w:t>编制人员未发生第</w:t>
                      </w:r>
                      <w:r>
                        <w:rPr>
                          <w:rFonts w:ascii="仿宋_GB2312" w:hAnsi="仿宋" w:eastAsia="仿宋_GB2312" w:cs="仿宋_GB2312"/>
                          <w:sz w:val="30"/>
                          <w:szCs w:val="30"/>
                        </w:rPr>
                        <w:t>5</w:t>
                      </w:r>
                      <w:r>
                        <w:rPr>
                          <w:rFonts w:hint="eastAsia" w:ascii="仿宋_GB2312" w:hAnsi="仿宋" w:eastAsia="仿宋_GB2312" w:cs="仿宋_GB2312"/>
                          <w:sz w:val="30"/>
                          <w:szCs w:val="30"/>
                        </w:rPr>
                        <w:t>项所列情形，全职情况发生变更、不再属于本单位全职人员的</w:t>
                      </w:r>
                    </w:p>
                    <w:p w14:paraId="2419942E">
                      <w:pPr>
                        <w:adjustRightInd w:val="0"/>
                        <w:spacing w:line="336" w:lineRule="auto"/>
                        <w:rPr>
                          <w:rFonts w:ascii="仿宋_GB2312" w:hAnsi="仿宋" w:eastAsia="仿宋_GB2312"/>
                          <w:sz w:val="30"/>
                          <w:szCs w:val="30"/>
                        </w:rPr>
                      </w:pPr>
                      <w:r>
                        <w:rPr>
                          <w:rFonts w:ascii="仿宋_GB2312" w:hAnsi="仿宋" w:eastAsia="仿宋_GB2312" w:cs="仿宋_GB2312"/>
                          <w:sz w:val="30"/>
                          <w:szCs w:val="30"/>
                        </w:rPr>
                        <w:t>7.</w:t>
                      </w:r>
                      <w:r>
                        <w:rPr>
                          <w:rFonts w:hint="eastAsia" w:ascii="仿宋_GB2312" w:hAnsi="仿宋" w:eastAsia="仿宋_GB2312" w:cs="仿宋_GB2312"/>
                          <w:sz w:val="30"/>
                          <w:szCs w:val="30"/>
                        </w:rPr>
                        <w:t>补正基本情况信息</w:t>
                      </w:r>
                    </w:p>
                  </w:txbxContent>
                </v:textbox>
                <w10:wrap type="square"/>
              </v:shape>
            </w:pict>
          </mc:Fallback>
        </mc:AlternateContent>
      </w:r>
      <w:r>
        <w:rPr>
          <w:rFonts w:hint="eastAsia" w:ascii="仿宋_GB2312" w:hAnsi="仿宋" w:eastAsia="仿宋_GB2312" w:cs="仿宋_GB2312"/>
          <w:sz w:val="30"/>
          <w:szCs w:val="30"/>
        </w:rPr>
        <w:t>本单位</w:t>
      </w:r>
      <w:r>
        <w:rPr>
          <w:rFonts w:ascii="仿宋_GB2312" w:hAnsi="仿宋" w:eastAsia="仿宋_GB2312" w:cs="仿宋_GB2312"/>
          <w:sz w:val="30"/>
          <w:szCs w:val="30"/>
          <w:u w:val="single"/>
        </w:rPr>
        <w:t xml:space="preserve"> </w:t>
      </w:r>
      <w:r>
        <w:rPr>
          <w:rFonts w:hint="eastAsia" w:ascii="仿宋_GB2312" w:hAnsi="仿宋" w:eastAsia="仿宋_GB2312" w:cs="仿宋_GB2312"/>
          <w:sz w:val="30"/>
          <w:szCs w:val="30"/>
          <w:u w:val="single"/>
        </w:rPr>
        <w:t>秦皇岛意航工程技术有限公司</w:t>
      </w:r>
      <w:r>
        <w:rPr>
          <w:rFonts w:hint="eastAsia" w:ascii="仿宋_GB2312" w:hAnsi="仿宋" w:eastAsia="仿宋_GB2312" w:cs="仿宋_GB2312"/>
          <w:sz w:val="30"/>
          <w:szCs w:val="30"/>
        </w:rPr>
        <w:t>（统一社会信用代码</w:t>
      </w:r>
      <w:r>
        <w:rPr>
          <w:rFonts w:hint="eastAsia" w:ascii="仿宋_GB2312" w:hAnsi="仿宋" w:eastAsia="仿宋_GB2312" w:cs="仿宋_GB2312"/>
          <w:sz w:val="30"/>
          <w:szCs w:val="30"/>
          <w:u w:val="single"/>
        </w:rPr>
        <w:t>91130301MACKBD0P7K</w:t>
      </w:r>
      <w:r>
        <w:rPr>
          <w:rFonts w:hint="eastAsia" w:ascii="仿宋_GB2312" w:hAnsi="仿宋" w:eastAsia="仿宋_GB2312" w:cs="仿宋_GB2312"/>
          <w:sz w:val="30"/>
          <w:szCs w:val="30"/>
        </w:rPr>
        <w:t>）郑重承诺：本单位符合《建设项目</w:t>
      </w:r>
      <w:r>
        <w:rPr>
          <w:rFonts w:hint="eastAsia" w:ascii="仿宋_GB2312" w:hAnsi="仿宋" w:eastAsia="仿宋_GB2312" w:cs="仿宋_GB2312"/>
          <w:sz w:val="30"/>
          <w:szCs w:val="30"/>
          <w:lang w:eastAsia="zh-CN"/>
        </w:rPr>
        <w:t>环境影响报告表</w:t>
      </w:r>
      <w:r>
        <w:rPr>
          <w:rFonts w:hint="eastAsia" w:ascii="仿宋_GB2312" w:hAnsi="仿宋" w:eastAsia="仿宋_GB2312" w:cs="仿宋_GB2312"/>
          <w:sz w:val="30"/>
          <w:szCs w:val="30"/>
        </w:rPr>
        <w:t>（表）编制监督管理办法》第九条第一款规定，无该条第三款所列情形，</w:t>
      </w:r>
      <w:r>
        <w:rPr>
          <w:rFonts w:ascii="仿宋_GB2312" w:hAnsi="仿宋" w:eastAsia="仿宋_GB2312" w:cs="仿宋_GB2312"/>
          <w:sz w:val="30"/>
          <w:szCs w:val="30"/>
          <w:u w:val="single"/>
        </w:rPr>
        <w:t xml:space="preserve"> </w:t>
      </w:r>
      <w:r>
        <w:rPr>
          <w:rFonts w:hint="eastAsia" w:ascii="仿宋_GB2312" w:hAnsi="仿宋" w:eastAsia="仿宋_GB2312" w:cs="仿宋_GB2312"/>
          <w:sz w:val="30"/>
          <w:szCs w:val="30"/>
          <w:u w:val="single"/>
        </w:rPr>
        <w:t>不属于</w:t>
      </w:r>
      <w:r>
        <w:rPr>
          <w:rFonts w:ascii="仿宋_GB2312" w:hAnsi="仿宋" w:eastAsia="仿宋_GB2312" w:cs="仿宋_GB2312"/>
          <w:sz w:val="30"/>
          <w:szCs w:val="30"/>
          <w:u w:val="single"/>
        </w:rPr>
        <w:t xml:space="preserve"> </w:t>
      </w:r>
      <w:r>
        <w:rPr>
          <w:rFonts w:hint="eastAsia" w:ascii="仿宋_GB2312" w:hAnsi="仿宋" w:eastAsia="仿宋_GB2312" w:cs="仿宋_GB2312"/>
          <w:sz w:val="30"/>
          <w:szCs w:val="30"/>
        </w:rPr>
        <w:t>（属于</w:t>
      </w:r>
      <w:r>
        <w:rPr>
          <w:rFonts w:ascii="仿宋_GB2312" w:hAnsi="仿宋" w:eastAsia="仿宋_GB2312" w:cs="仿宋_GB2312"/>
          <w:sz w:val="30"/>
          <w:szCs w:val="30"/>
        </w:rPr>
        <w:t>/</w:t>
      </w:r>
      <w:r>
        <w:rPr>
          <w:rFonts w:hint="eastAsia" w:ascii="仿宋_GB2312" w:hAnsi="仿宋" w:eastAsia="仿宋_GB2312" w:cs="仿宋_GB2312"/>
          <w:sz w:val="30"/>
          <w:szCs w:val="30"/>
        </w:rPr>
        <w:t>不属于）该条第二款所列单位；本次在环境影响评价信用平台提交的下列第</w:t>
      </w:r>
      <w:r>
        <w:rPr>
          <w:rFonts w:ascii="仿宋_GB2312" w:hAnsi="仿宋" w:eastAsia="仿宋_GB2312" w:cs="仿宋_GB2312"/>
          <w:sz w:val="30"/>
          <w:szCs w:val="30"/>
          <w:u w:val="single"/>
        </w:rPr>
        <w:t xml:space="preserve">  </w:t>
      </w:r>
      <w:r>
        <w:rPr>
          <w:rFonts w:hint="eastAsia" w:ascii="仿宋_GB2312" w:hAnsi="仿宋" w:eastAsia="仿宋_GB2312" w:cs="仿宋_GB2312"/>
          <w:sz w:val="30"/>
          <w:szCs w:val="30"/>
          <w:u w:val="single"/>
        </w:rPr>
        <w:t>1</w:t>
      </w:r>
      <w:r>
        <w:rPr>
          <w:rFonts w:ascii="仿宋_GB2312" w:hAnsi="仿宋" w:eastAsia="仿宋_GB2312" w:cs="仿宋_GB2312"/>
          <w:sz w:val="30"/>
          <w:szCs w:val="30"/>
          <w:u w:val="single"/>
        </w:rPr>
        <w:t xml:space="preserve">   </w:t>
      </w:r>
      <w:r>
        <w:rPr>
          <w:rFonts w:hint="eastAsia" w:ascii="仿宋_GB2312" w:hAnsi="仿宋" w:eastAsia="仿宋_GB2312" w:cs="仿宋_GB2312"/>
          <w:sz w:val="30"/>
          <w:szCs w:val="30"/>
        </w:rPr>
        <w:t>项相关情况信息真实准确、完整有效。</w:t>
      </w:r>
    </w:p>
    <w:p w14:paraId="08817D32">
      <w:pPr>
        <w:adjustRightInd w:val="0"/>
        <w:spacing w:line="360" w:lineRule="auto"/>
        <w:rPr>
          <w:rFonts w:ascii="仿宋" w:hAnsi="仿宋" w:eastAsia="仿宋"/>
          <w:sz w:val="30"/>
          <w:szCs w:val="30"/>
        </w:rPr>
      </w:pPr>
      <w:r>
        <w:rPr>
          <w:rFonts w:hint="eastAsia" w:ascii="仿宋" w:hAnsi="仿宋" w:eastAsia="仿宋"/>
          <w:snapToGrid w:val="0"/>
          <w:kern w:val="0"/>
          <w:sz w:val="30"/>
          <w:szCs w:val="30"/>
        </w:rPr>
        <w:drawing>
          <wp:anchor distT="0" distB="0" distL="114300" distR="114300" simplePos="0" relativeHeight="251695104" behindDoc="1" locked="0" layoutInCell="1" allowOverlap="1">
            <wp:simplePos x="0" y="0"/>
            <wp:positionH relativeFrom="column">
              <wp:posOffset>3787775</wp:posOffset>
            </wp:positionH>
            <wp:positionV relativeFrom="paragraph">
              <wp:posOffset>3274060</wp:posOffset>
            </wp:positionV>
            <wp:extent cx="1475740" cy="1496060"/>
            <wp:effectExtent l="0" t="0" r="10160" b="8890"/>
            <wp:wrapNone/>
            <wp:docPr id="96" name="图片 3" descr="169225511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 descr="1692255117345"/>
                    <pic:cNvPicPr>
                      <a:picLocks noChangeAspect="1"/>
                    </pic:cNvPicPr>
                  </pic:nvPicPr>
                  <pic:blipFill>
                    <a:blip r:embed="rId11"/>
                    <a:stretch>
                      <a:fillRect/>
                    </a:stretch>
                  </pic:blipFill>
                  <pic:spPr>
                    <a:xfrm>
                      <a:off x="0" y="0"/>
                      <a:ext cx="1475740" cy="1496060"/>
                    </a:xfrm>
                    <a:prstGeom prst="rect">
                      <a:avLst/>
                    </a:prstGeom>
                    <a:noFill/>
                    <a:ln>
                      <a:noFill/>
                    </a:ln>
                  </pic:spPr>
                </pic:pic>
              </a:graphicData>
            </a:graphic>
          </wp:anchor>
        </w:drawing>
      </w:r>
    </w:p>
    <w:p w14:paraId="5FD2278F">
      <w:pPr>
        <w:adjustRightInd w:val="0"/>
        <w:spacing w:line="360" w:lineRule="auto"/>
        <w:rPr>
          <w:rFonts w:ascii="仿宋_GB2312" w:hAnsi="仿宋" w:eastAsia="仿宋_GB2312" w:cs="仿宋_GB2312"/>
          <w:sz w:val="30"/>
          <w:szCs w:val="30"/>
        </w:rPr>
      </w:pPr>
      <w:r>
        <w:rPr>
          <w:rFonts w:ascii="仿宋" w:hAnsi="仿宋" w:eastAsia="仿宋" w:cs="仿宋"/>
          <w:sz w:val="30"/>
          <w:szCs w:val="30"/>
        </w:rPr>
        <w:t xml:space="preserve">                            </w:t>
      </w:r>
      <w:r>
        <w:rPr>
          <w:rFonts w:hint="eastAsia" w:ascii="仿宋_GB2312" w:hAnsi="仿宋" w:eastAsia="仿宋_GB2312" w:cs="仿宋_GB2312"/>
          <w:sz w:val="30"/>
          <w:szCs w:val="30"/>
        </w:rPr>
        <w:t>承诺单位</w:t>
      </w:r>
      <w:r>
        <w:rPr>
          <w:rFonts w:ascii="仿宋_GB2312" w:hAnsi="仿宋" w:eastAsia="仿宋_GB2312" w:cs="仿宋_GB2312"/>
          <w:sz w:val="30"/>
          <w:szCs w:val="30"/>
        </w:rPr>
        <w:t>(</w:t>
      </w:r>
      <w:r>
        <w:rPr>
          <w:rFonts w:hint="eastAsia" w:ascii="仿宋_GB2312" w:hAnsi="仿宋" w:eastAsia="仿宋_GB2312" w:cs="仿宋_GB2312"/>
          <w:sz w:val="30"/>
          <w:szCs w:val="30"/>
        </w:rPr>
        <w:t>公章</w:t>
      </w:r>
      <w:r>
        <w:rPr>
          <w:rFonts w:ascii="仿宋_GB2312" w:hAnsi="仿宋" w:eastAsia="仿宋_GB2312" w:cs="仿宋_GB2312"/>
          <w:sz w:val="30"/>
          <w:szCs w:val="30"/>
        </w:rPr>
        <w:t>)</w:t>
      </w:r>
      <w:r>
        <w:rPr>
          <w:rFonts w:hint="eastAsia" w:ascii="仿宋_GB2312" w:hAnsi="仿宋" w:eastAsia="仿宋_GB2312" w:cs="仿宋_GB2312"/>
          <w:sz w:val="30"/>
          <w:szCs w:val="30"/>
        </w:rPr>
        <w:t>：</w:t>
      </w:r>
    </w:p>
    <w:p w14:paraId="5A7D1D40">
      <w:pPr>
        <w:jc w:val="right"/>
        <w:rPr>
          <w:rFonts w:hint="eastAsia" w:ascii="仿宋" w:hAnsi="仿宋" w:eastAsia="仿宋"/>
          <w:sz w:val="30"/>
          <w:szCs w:val="30"/>
          <w:lang w:val="en-US" w:eastAsia="zh-CN"/>
        </w:rPr>
      </w:pPr>
      <w:r>
        <w:rPr>
          <w:rFonts w:hint="eastAsia" w:ascii="仿宋" w:hAnsi="仿宋" w:eastAsia="仿宋"/>
          <w:sz w:val="30"/>
          <w:szCs w:val="30"/>
          <w:lang w:val="en-US" w:eastAsia="zh-CN"/>
        </w:rPr>
        <w:t>2025年9月5日</w:t>
      </w:r>
    </w:p>
    <w:p w14:paraId="53EE8E9A"/>
    <w:p w14:paraId="1F1EB444"/>
    <w:p w14:paraId="38076EAE">
      <w:pPr>
        <w:tabs>
          <w:tab w:val="left" w:pos="2401"/>
        </w:tabs>
        <w:jc w:val="left"/>
        <w:sectPr>
          <w:pgSz w:w="11907" w:h="16840"/>
          <w:pgMar w:top="1871" w:right="1531" w:bottom="1814" w:left="1531" w:header="851" w:footer="1644" w:gutter="0"/>
          <w:pgNumType w:start="3"/>
          <w:cols w:space="720" w:num="1"/>
        </w:sectPr>
      </w:pPr>
    </w:p>
    <w:p w14:paraId="40011A52">
      <w:pPr>
        <w:adjustRightInd w:val="0"/>
        <w:spacing w:line="408" w:lineRule="auto"/>
        <w:jc w:val="left"/>
        <w:rPr>
          <w:rFonts w:ascii="黑体" w:hAnsi="黑体" w:eastAsia="黑体"/>
        </w:rPr>
      </w:pPr>
    </w:p>
    <w:p w14:paraId="614F8687">
      <w:pPr>
        <w:adjustRightInd w:val="0"/>
        <w:jc w:val="center"/>
        <w:rPr>
          <w:rFonts w:ascii="方正小标宋" w:hAnsi="华文中宋" w:eastAsia="方正小标宋"/>
          <w:sz w:val="38"/>
          <w:szCs w:val="38"/>
        </w:rPr>
      </w:pPr>
      <w:r>
        <w:rPr>
          <w:rFonts w:hint="eastAsia" w:ascii="方正小标宋" w:hAnsi="华文中宋" w:eastAsia="方正小标宋" w:cs="方正小标宋_GBK"/>
          <w:sz w:val="38"/>
          <w:szCs w:val="38"/>
        </w:rPr>
        <w:t>编 制 人 员 承 诺 书</w:t>
      </w:r>
    </w:p>
    <w:p w14:paraId="402B6B6A">
      <w:pPr>
        <w:adjustRightInd w:val="0"/>
        <w:spacing w:line="408" w:lineRule="auto"/>
        <w:jc w:val="left"/>
        <w:rPr>
          <w:rFonts w:ascii="黑体" w:hAnsi="黑体" w:eastAsia="黑体"/>
        </w:rPr>
      </w:pPr>
    </w:p>
    <w:p w14:paraId="02982B7E">
      <w:pPr>
        <w:adjustRightInd w:val="0"/>
        <w:spacing w:line="360" w:lineRule="auto"/>
        <w:ind w:firstLine="420" w:firstLineChars="200"/>
        <w:rPr>
          <w:rFonts w:ascii="仿宋_GB2312" w:hAnsi="仿宋" w:eastAsia="仿宋_GB2312"/>
          <w:sz w:val="30"/>
          <w:szCs w:val="30"/>
        </w:rPr>
      </w:pPr>
      <w:r>
        <w:rPr>
          <w:sz w:val="21"/>
        </w:rPr>
        <mc:AlternateContent>
          <mc:Choice Requires="wps">
            <w:drawing>
              <wp:anchor distT="0" distB="0" distL="114300" distR="114300" simplePos="0" relativeHeight="251711488" behindDoc="0" locked="0" layoutInCell="1" allowOverlap="1">
                <wp:simplePos x="0" y="0"/>
                <wp:positionH relativeFrom="column">
                  <wp:posOffset>2663825</wp:posOffset>
                </wp:positionH>
                <wp:positionV relativeFrom="paragraph">
                  <wp:posOffset>58420</wp:posOffset>
                </wp:positionV>
                <wp:extent cx="1873885" cy="209550"/>
                <wp:effectExtent l="0" t="0" r="12065" b="0"/>
                <wp:wrapNone/>
                <wp:docPr id="112" name="文本框 112"/>
                <wp:cNvGraphicFramePr/>
                <a:graphic xmlns:a="http://schemas.openxmlformats.org/drawingml/2006/main">
                  <a:graphicData uri="http://schemas.microsoft.com/office/word/2010/wordprocessingShape">
                    <wps:wsp>
                      <wps:cNvSpPr txBox="1"/>
                      <wps:spPr>
                        <a:xfrm>
                          <a:off x="0" y="0"/>
                          <a:ext cx="1873885" cy="209550"/>
                        </a:xfrm>
                        <a:prstGeom prst="rect">
                          <a:avLst/>
                        </a:prstGeom>
                        <a:gradFill flip="none">
                          <a:gsLst>
                            <a:gs pos="0">
                              <a:schemeClr val="bg1">
                                <a:lumMod val="95000"/>
                              </a:schemeClr>
                            </a:gs>
                            <a:gs pos="53000">
                              <a:schemeClr val="bg1">
                                <a:lumMod val="85000"/>
                              </a:schemeClr>
                            </a:gs>
                            <a:gs pos="100000">
                              <a:schemeClr val="bg1">
                                <a:lumMod val="75000"/>
                              </a:schemeClr>
                            </a:gs>
                          </a:gsLst>
                          <a:lin ang="5400000" scaled="1"/>
                        </a:gradFill>
                        <a:ln w="6350">
                          <a:noFill/>
                        </a:ln>
                      </wps:spPr>
                      <wps:style>
                        <a:lnRef idx="0">
                          <a:schemeClr val="accent1"/>
                        </a:lnRef>
                        <a:fillRef idx="0">
                          <a:schemeClr val="accent1"/>
                        </a:fillRef>
                        <a:effectRef idx="0">
                          <a:schemeClr val="accent1"/>
                        </a:effectRef>
                        <a:fontRef idx="minor">
                          <a:schemeClr val="dk1"/>
                        </a:fontRef>
                      </wps:style>
                      <wps:txbx>
                        <w:txbxContent>
                          <w:p w14:paraId="39E41F14"/>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9.75pt;margin-top:4.6pt;height:16.5pt;width:147.55pt;z-index:251711488;mso-width-relative:page;mso-height-relative:page;" fillcolor="#B7E8BD [3052]" filled="t" stroked="f" coordsize="21600,21600" o:gfxdata="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NzMM+9cAAAAIAQAADwAAAAAAAAABACAAAAAi&#10;AAAAZHJzL2Rvd25yZXYueG1sUEsBAhQAFAAAAAgAh07iQHjJ1Lu2AgAAsQUAAA4AAAAAAAAAAQAg&#10;AAAAJgEAAGRycy9lMm9Eb2MueG1sUEsFBgAAAAAGAAYAWQEAAE4GAAAAAA==&#10;">
                <v:fill type="gradient" on="t" color2="#75D281 [2412]" colors="0f #B7E8BD;34734f #96DD9F;65536f #75D281" focus="100%" focussize="0,0" rotate="t"/>
                <v:stroke on="f" weight="0.5pt"/>
                <v:imagedata o:title=""/>
                <o:lock v:ext="edit" aspectratio="f"/>
                <v:textbox>
                  <w:txbxContent>
                    <w:p w14:paraId="39E41F14"/>
                  </w:txbxContent>
                </v:textbox>
              </v:shape>
            </w:pict>
          </mc:Fallback>
        </mc:AlternateContent>
      </w:r>
      <w:r>
        <w:rPr>
          <w:sz w:val="21"/>
        </w:rPr>
        <mc:AlternateContent>
          <mc:Choice Requires="wps">
            <w:drawing>
              <wp:anchor distT="0" distB="0" distL="114300" distR="114300" simplePos="0" relativeHeight="251716608" behindDoc="0" locked="0" layoutInCell="1" allowOverlap="1">
                <wp:simplePos x="0" y="0"/>
                <wp:positionH relativeFrom="column">
                  <wp:posOffset>209550</wp:posOffset>
                </wp:positionH>
                <wp:positionV relativeFrom="paragraph">
                  <wp:posOffset>856615</wp:posOffset>
                </wp:positionV>
                <wp:extent cx="2143760" cy="209550"/>
                <wp:effectExtent l="0" t="0" r="8890" b="0"/>
                <wp:wrapNone/>
                <wp:docPr id="117" name="文本框 117"/>
                <wp:cNvGraphicFramePr/>
                <a:graphic xmlns:a="http://schemas.openxmlformats.org/drawingml/2006/main">
                  <a:graphicData uri="http://schemas.microsoft.com/office/word/2010/wordprocessingShape">
                    <wps:wsp>
                      <wps:cNvSpPr txBox="1"/>
                      <wps:spPr>
                        <a:xfrm>
                          <a:off x="0" y="0"/>
                          <a:ext cx="2143760" cy="209550"/>
                        </a:xfrm>
                        <a:prstGeom prst="rect">
                          <a:avLst/>
                        </a:prstGeom>
                        <a:gradFill flip="none">
                          <a:gsLst>
                            <a:gs pos="0">
                              <a:schemeClr val="bg1">
                                <a:lumMod val="95000"/>
                              </a:schemeClr>
                            </a:gs>
                            <a:gs pos="53000">
                              <a:schemeClr val="bg1">
                                <a:lumMod val="85000"/>
                              </a:schemeClr>
                            </a:gs>
                            <a:gs pos="100000">
                              <a:schemeClr val="bg1">
                                <a:lumMod val="75000"/>
                              </a:schemeClr>
                            </a:gs>
                          </a:gsLst>
                          <a:lin ang="5400000" scaled="1"/>
                        </a:gradFill>
                        <a:ln w="6350">
                          <a:noFill/>
                        </a:ln>
                      </wps:spPr>
                      <wps:style>
                        <a:lnRef idx="0">
                          <a:schemeClr val="accent1"/>
                        </a:lnRef>
                        <a:fillRef idx="0">
                          <a:schemeClr val="accent1"/>
                        </a:fillRef>
                        <a:effectRef idx="0">
                          <a:schemeClr val="accent1"/>
                        </a:effectRef>
                        <a:fontRef idx="minor">
                          <a:schemeClr val="dk1"/>
                        </a:fontRef>
                      </wps:style>
                      <wps:txbx>
                        <w:txbxContent>
                          <w:p w14:paraId="57885641"/>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pt;margin-top:67.45pt;height:16.5pt;width:168.8pt;z-index:251716608;mso-width-relative:page;mso-height-relative:page;" fillcolor="#B7E8BD [3052]" filled="t" stroked="f" coordsize="21600,21600" o:gfxdata="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PTICqfZAAAACgEAAA8AAAAAAAAAAQAgAAAA&#10;IgAAAGRycy9kb3ducmV2LnhtbFBLAQIUABQAAAAIAIdO4kC39tObtQIAALEFAAAOAAAAAAAAAAEA&#10;IAAAACgBAABkcnMvZTJvRG9jLnhtbFBLBQYAAAAABgAGAFkBAABPBgAAAAA=&#10;">
                <v:fill type="gradient" on="t" color2="#75D281 [2412]" colors="0f #B7E8BD;34734f #96DD9F;65536f #75D281" focus="100%" focussize="0,0" rotate="t"/>
                <v:stroke on="f" weight="0.5pt"/>
                <v:imagedata o:title=""/>
                <o:lock v:ext="edit" aspectratio="f"/>
                <v:textbox>
                  <w:txbxContent>
                    <w:p w14:paraId="57885641"/>
                  </w:txbxContent>
                </v:textbox>
              </v:shape>
            </w:pict>
          </mc:Fallback>
        </mc:AlternateContent>
      </w:r>
      <w:r>
        <mc:AlternateContent>
          <mc:Choice Requires="wps">
            <w:drawing>
              <wp:anchor distT="0" distB="0" distL="114300" distR="114300" simplePos="0" relativeHeight="251674624" behindDoc="0" locked="0" layoutInCell="1" allowOverlap="1">
                <wp:simplePos x="0" y="0"/>
                <wp:positionH relativeFrom="column">
                  <wp:posOffset>0</wp:posOffset>
                </wp:positionH>
                <wp:positionV relativeFrom="paragraph">
                  <wp:posOffset>1649730</wp:posOffset>
                </wp:positionV>
                <wp:extent cx="5649595" cy="2903220"/>
                <wp:effectExtent l="4445" t="4445" r="22860" b="6985"/>
                <wp:wrapSquare wrapText="bothSides"/>
                <wp:docPr id="24" name="文本框 24"/>
                <wp:cNvGraphicFramePr/>
                <a:graphic xmlns:a="http://schemas.openxmlformats.org/drawingml/2006/main">
                  <a:graphicData uri="http://schemas.microsoft.com/office/word/2010/wordprocessingShape">
                    <wps:wsp>
                      <wps:cNvSpPr txBox="1"/>
                      <wps:spPr>
                        <a:xfrm>
                          <a:off x="0" y="0"/>
                          <a:ext cx="5649595" cy="290322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261E74DA">
                            <w:pPr>
                              <w:adjustRightInd w:val="0"/>
                              <w:spacing w:line="360" w:lineRule="auto"/>
                              <w:rPr>
                                <w:rFonts w:ascii="仿宋" w:hAnsi="仿宋" w:eastAsia="仿宋"/>
                                <w:sz w:val="30"/>
                                <w:szCs w:val="30"/>
                              </w:rPr>
                            </w:pPr>
                            <w:r>
                              <w:rPr>
                                <w:rFonts w:ascii="仿宋" w:hAnsi="仿宋" w:eastAsia="仿宋" w:cs="仿宋"/>
                                <w:sz w:val="30"/>
                                <w:szCs w:val="30"/>
                              </w:rPr>
                              <w:t>1.</w:t>
                            </w:r>
                            <w:r>
                              <w:rPr>
                                <w:rFonts w:hint="eastAsia" w:ascii="仿宋" w:hAnsi="仿宋" w:eastAsia="仿宋" w:cs="仿宋"/>
                                <w:sz w:val="30"/>
                                <w:szCs w:val="30"/>
                              </w:rPr>
                              <w:t>首次提交基本情况信息</w:t>
                            </w:r>
                          </w:p>
                          <w:p w14:paraId="1114C866">
                            <w:pPr>
                              <w:adjustRightInd w:val="0"/>
                              <w:spacing w:line="348" w:lineRule="auto"/>
                              <w:rPr>
                                <w:rFonts w:ascii="仿宋" w:hAnsi="仿宋" w:eastAsia="仿宋"/>
                                <w:sz w:val="30"/>
                                <w:szCs w:val="30"/>
                              </w:rPr>
                            </w:pPr>
                            <w:r>
                              <w:rPr>
                                <w:rFonts w:ascii="仿宋" w:hAnsi="仿宋" w:eastAsia="仿宋" w:cs="仿宋"/>
                                <w:sz w:val="30"/>
                                <w:szCs w:val="30"/>
                              </w:rPr>
                              <w:t>2.</w:t>
                            </w:r>
                            <w:r>
                              <w:rPr>
                                <w:rFonts w:hint="eastAsia" w:ascii="仿宋" w:hAnsi="仿宋" w:eastAsia="仿宋" w:cs="仿宋"/>
                                <w:sz w:val="30"/>
                                <w:szCs w:val="30"/>
                              </w:rPr>
                              <w:t>从业单位变更的</w:t>
                            </w:r>
                          </w:p>
                          <w:p w14:paraId="5D3564E5">
                            <w:pPr>
                              <w:adjustRightInd w:val="0"/>
                              <w:spacing w:line="348" w:lineRule="auto"/>
                              <w:rPr>
                                <w:rFonts w:ascii="仿宋" w:hAnsi="仿宋" w:eastAsia="仿宋"/>
                                <w:sz w:val="30"/>
                                <w:szCs w:val="30"/>
                              </w:rPr>
                            </w:pPr>
                            <w:r>
                              <w:rPr>
                                <w:rFonts w:ascii="仿宋" w:hAnsi="仿宋" w:eastAsia="仿宋" w:cs="仿宋"/>
                                <w:sz w:val="30"/>
                                <w:szCs w:val="30"/>
                              </w:rPr>
                              <w:t>3.</w:t>
                            </w:r>
                            <w:r>
                              <w:rPr>
                                <w:rFonts w:hint="eastAsia" w:ascii="仿宋" w:hAnsi="仿宋" w:eastAsia="仿宋" w:cs="仿宋"/>
                                <w:sz w:val="30"/>
                                <w:szCs w:val="30"/>
                              </w:rPr>
                              <w:t>调离从业单位的</w:t>
                            </w:r>
                          </w:p>
                          <w:p w14:paraId="786AD2EA">
                            <w:pPr>
                              <w:adjustRightInd w:val="0"/>
                              <w:spacing w:line="348" w:lineRule="auto"/>
                              <w:rPr>
                                <w:rFonts w:ascii="仿宋" w:hAnsi="仿宋" w:eastAsia="仿宋"/>
                                <w:sz w:val="30"/>
                                <w:szCs w:val="30"/>
                              </w:rPr>
                            </w:pPr>
                            <w:r>
                              <w:rPr>
                                <w:rFonts w:ascii="仿宋" w:hAnsi="仿宋" w:eastAsia="仿宋" w:cs="仿宋"/>
                                <w:sz w:val="30"/>
                                <w:szCs w:val="30"/>
                              </w:rPr>
                              <w:t>4.</w:t>
                            </w:r>
                            <w:r>
                              <w:rPr>
                                <w:rFonts w:hint="eastAsia" w:ascii="仿宋" w:hAnsi="仿宋" w:eastAsia="仿宋" w:cs="仿宋"/>
                                <w:sz w:val="30"/>
                                <w:szCs w:val="30"/>
                              </w:rPr>
                              <w:t>建立诚信档案后取得环境影响评价工程师职业资格证书的</w:t>
                            </w:r>
                          </w:p>
                          <w:p w14:paraId="1B9D10CF">
                            <w:pPr>
                              <w:adjustRightInd w:val="0"/>
                              <w:spacing w:line="348" w:lineRule="auto"/>
                              <w:rPr>
                                <w:rFonts w:ascii="仿宋" w:hAnsi="仿宋" w:eastAsia="仿宋"/>
                                <w:sz w:val="30"/>
                                <w:szCs w:val="30"/>
                              </w:rPr>
                            </w:pPr>
                            <w:r>
                              <w:rPr>
                                <w:rFonts w:hint="eastAsia" w:ascii="仿宋" w:hAnsi="仿宋" w:eastAsia="仿宋" w:cs="仿宋"/>
                                <w:sz w:val="30"/>
                                <w:szCs w:val="30"/>
                              </w:rPr>
                              <w:t>5</w:t>
                            </w:r>
                            <w:r>
                              <w:rPr>
                                <w:rFonts w:ascii="仿宋" w:hAnsi="仿宋" w:eastAsia="仿宋" w:cs="仿宋"/>
                                <w:sz w:val="30"/>
                                <w:szCs w:val="30"/>
                              </w:rPr>
                              <w:t>.</w:t>
                            </w:r>
                            <w:r>
                              <w:rPr>
                                <w:rFonts w:hint="eastAsia" w:ascii="仿宋" w:hAnsi="仿宋" w:eastAsia="仿宋" w:cs="仿宋"/>
                                <w:sz w:val="30"/>
                                <w:szCs w:val="30"/>
                              </w:rPr>
                              <w:t>被注销后从业单位变更的</w:t>
                            </w:r>
                          </w:p>
                          <w:p w14:paraId="6E83881A">
                            <w:pPr>
                              <w:adjustRightInd w:val="0"/>
                              <w:spacing w:line="348" w:lineRule="auto"/>
                              <w:rPr>
                                <w:rFonts w:ascii="仿宋" w:hAnsi="仿宋" w:eastAsia="仿宋" w:cs="仿宋"/>
                                <w:sz w:val="30"/>
                                <w:szCs w:val="30"/>
                              </w:rPr>
                            </w:pPr>
                            <w:r>
                              <w:rPr>
                                <w:rFonts w:hint="eastAsia" w:ascii="仿宋" w:hAnsi="仿宋" w:eastAsia="仿宋" w:cs="仿宋"/>
                                <w:sz w:val="30"/>
                                <w:szCs w:val="30"/>
                              </w:rPr>
                              <w:t>6.被注销后调回原从业单位的</w:t>
                            </w:r>
                          </w:p>
                          <w:p w14:paraId="3D9FF238">
                            <w:pPr>
                              <w:adjustRightInd w:val="0"/>
                              <w:spacing w:line="348" w:lineRule="auto"/>
                              <w:rPr>
                                <w:rFonts w:ascii="仿宋" w:hAnsi="仿宋" w:eastAsia="仿宋"/>
                                <w:sz w:val="30"/>
                                <w:szCs w:val="30"/>
                              </w:rPr>
                            </w:pPr>
                            <w:r>
                              <w:rPr>
                                <w:rFonts w:hint="eastAsia" w:ascii="仿宋" w:hAnsi="仿宋" w:eastAsia="仿宋" w:cs="仿宋"/>
                                <w:sz w:val="30"/>
                                <w:szCs w:val="30"/>
                              </w:rPr>
                              <w:t>7</w:t>
                            </w:r>
                            <w:r>
                              <w:rPr>
                                <w:rFonts w:ascii="仿宋" w:hAnsi="仿宋" w:eastAsia="仿宋" w:cs="仿宋"/>
                                <w:sz w:val="30"/>
                                <w:szCs w:val="30"/>
                              </w:rPr>
                              <w:t>.</w:t>
                            </w:r>
                            <w:r>
                              <w:rPr>
                                <w:rFonts w:hint="eastAsia" w:ascii="仿宋" w:hAnsi="仿宋" w:eastAsia="仿宋" w:cs="仿宋"/>
                                <w:sz w:val="30"/>
                                <w:szCs w:val="30"/>
                              </w:rPr>
                              <w:t>编制单位终止的</w:t>
                            </w:r>
                          </w:p>
                          <w:p w14:paraId="1B34EFD5">
                            <w:pPr>
                              <w:adjustRightInd w:val="0"/>
                              <w:spacing w:line="348" w:lineRule="auto"/>
                              <w:rPr>
                                <w:rFonts w:ascii="仿宋" w:hAnsi="仿宋" w:eastAsia="仿宋"/>
                                <w:sz w:val="30"/>
                                <w:szCs w:val="30"/>
                              </w:rPr>
                            </w:pPr>
                            <w:r>
                              <w:rPr>
                                <w:rFonts w:hint="eastAsia" w:ascii="仿宋" w:hAnsi="仿宋" w:eastAsia="仿宋" w:cs="仿宋"/>
                                <w:sz w:val="30"/>
                                <w:szCs w:val="30"/>
                              </w:rPr>
                              <w:t>8.补正基本情况信息</w:t>
                            </w:r>
                          </w:p>
                        </w:txbxContent>
                      </wps:txbx>
                      <wps:bodyPr upright="1"/>
                    </wps:wsp>
                  </a:graphicData>
                </a:graphic>
              </wp:anchor>
            </w:drawing>
          </mc:Choice>
          <mc:Fallback>
            <w:pict>
              <v:shape id="_x0000_s1026" o:spid="_x0000_s1026" o:spt="202" type="#_x0000_t202" style="position:absolute;left:0pt;margin-left:0pt;margin-top:129.9pt;height:228.6pt;width:444.85pt;mso-wrap-distance-bottom:0pt;mso-wrap-distance-left:9pt;mso-wrap-distance-right:9pt;mso-wrap-distance-top:0pt;z-index:251674624;mso-width-relative:page;mso-height-relative:page;" fillcolor="#FFFFFF" filled="t" stroked="t" coordsize="21600,21600" o:gfxdata="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n5X462AAAAAgBAAAPAAAA&#10;AAAAAAEAIAAAACIAAABkcnMvZG93bnJldi54bWxQSwECFAAUAAAACACHTuJAA5VLnhUCAABHBAAA&#10;DgAAAAAAAAABACAAAAAnAQAAZHJzL2Uyb0RvYy54bWxQSwUGAAAAAAYABgBZAQAArgUAAAAA&#10;">
                <v:fill on="t" focussize="0,0"/>
                <v:stroke color="#000000" joinstyle="miter"/>
                <v:imagedata o:title=""/>
                <o:lock v:ext="edit" aspectratio="f"/>
                <v:textbox>
                  <w:txbxContent>
                    <w:p w14:paraId="261E74DA">
                      <w:pPr>
                        <w:adjustRightInd w:val="0"/>
                        <w:spacing w:line="360" w:lineRule="auto"/>
                        <w:rPr>
                          <w:rFonts w:ascii="仿宋" w:hAnsi="仿宋" w:eastAsia="仿宋"/>
                          <w:sz w:val="30"/>
                          <w:szCs w:val="30"/>
                        </w:rPr>
                      </w:pPr>
                      <w:r>
                        <w:rPr>
                          <w:rFonts w:ascii="仿宋" w:hAnsi="仿宋" w:eastAsia="仿宋" w:cs="仿宋"/>
                          <w:sz w:val="30"/>
                          <w:szCs w:val="30"/>
                        </w:rPr>
                        <w:t>1.</w:t>
                      </w:r>
                      <w:r>
                        <w:rPr>
                          <w:rFonts w:hint="eastAsia" w:ascii="仿宋" w:hAnsi="仿宋" w:eastAsia="仿宋" w:cs="仿宋"/>
                          <w:sz w:val="30"/>
                          <w:szCs w:val="30"/>
                        </w:rPr>
                        <w:t>首次提交基本情况信息</w:t>
                      </w:r>
                    </w:p>
                    <w:p w14:paraId="1114C866">
                      <w:pPr>
                        <w:adjustRightInd w:val="0"/>
                        <w:spacing w:line="348" w:lineRule="auto"/>
                        <w:rPr>
                          <w:rFonts w:ascii="仿宋" w:hAnsi="仿宋" w:eastAsia="仿宋"/>
                          <w:sz w:val="30"/>
                          <w:szCs w:val="30"/>
                        </w:rPr>
                      </w:pPr>
                      <w:r>
                        <w:rPr>
                          <w:rFonts w:ascii="仿宋" w:hAnsi="仿宋" w:eastAsia="仿宋" w:cs="仿宋"/>
                          <w:sz w:val="30"/>
                          <w:szCs w:val="30"/>
                        </w:rPr>
                        <w:t>2.</w:t>
                      </w:r>
                      <w:r>
                        <w:rPr>
                          <w:rFonts w:hint="eastAsia" w:ascii="仿宋" w:hAnsi="仿宋" w:eastAsia="仿宋" w:cs="仿宋"/>
                          <w:sz w:val="30"/>
                          <w:szCs w:val="30"/>
                        </w:rPr>
                        <w:t>从业单位变更的</w:t>
                      </w:r>
                    </w:p>
                    <w:p w14:paraId="5D3564E5">
                      <w:pPr>
                        <w:adjustRightInd w:val="0"/>
                        <w:spacing w:line="348" w:lineRule="auto"/>
                        <w:rPr>
                          <w:rFonts w:ascii="仿宋" w:hAnsi="仿宋" w:eastAsia="仿宋"/>
                          <w:sz w:val="30"/>
                          <w:szCs w:val="30"/>
                        </w:rPr>
                      </w:pPr>
                      <w:r>
                        <w:rPr>
                          <w:rFonts w:ascii="仿宋" w:hAnsi="仿宋" w:eastAsia="仿宋" w:cs="仿宋"/>
                          <w:sz w:val="30"/>
                          <w:szCs w:val="30"/>
                        </w:rPr>
                        <w:t>3.</w:t>
                      </w:r>
                      <w:r>
                        <w:rPr>
                          <w:rFonts w:hint="eastAsia" w:ascii="仿宋" w:hAnsi="仿宋" w:eastAsia="仿宋" w:cs="仿宋"/>
                          <w:sz w:val="30"/>
                          <w:szCs w:val="30"/>
                        </w:rPr>
                        <w:t>调离从业单位的</w:t>
                      </w:r>
                    </w:p>
                    <w:p w14:paraId="786AD2EA">
                      <w:pPr>
                        <w:adjustRightInd w:val="0"/>
                        <w:spacing w:line="348" w:lineRule="auto"/>
                        <w:rPr>
                          <w:rFonts w:ascii="仿宋" w:hAnsi="仿宋" w:eastAsia="仿宋"/>
                          <w:sz w:val="30"/>
                          <w:szCs w:val="30"/>
                        </w:rPr>
                      </w:pPr>
                      <w:r>
                        <w:rPr>
                          <w:rFonts w:ascii="仿宋" w:hAnsi="仿宋" w:eastAsia="仿宋" w:cs="仿宋"/>
                          <w:sz w:val="30"/>
                          <w:szCs w:val="30"/>
                        </w:rPr>
                        <w:t>4.</w:t>
                      </w:r>
                      <w:r>
                        <w:rPr>
                          <w:rFonts w:hint="eastAsia" w:ascii="仿宋" w:hAnsi="仿宋" w:eastAsia="仿宋" w:cs="仿宋"/>
                          <w:sz w:val="30"/>
                          <w:szCs w:val="30"/>
                        </w:rPr>
                        <w:t>建立诚信档案后取得环境影响评价工程师职业资格证书的</w:t>
                      </w:r>
                    </w:p>
                    <w:p w14:paraId="1B9D10CF">
                      <w:pPr>
                        <w:adjustRightInd w:val="0"/>
                        <w:spacing w:line="348" w:lineRule="auto"/>
                        <w:rPr>
                          <w:rFonts w:ascii="仿宋" w:hAnsi="仿宋" w:eastAsia="仿宋"/>
                          <w:sz w:val="30"/>
                          <w:szCs w:val="30"/>
                        </w:rPr>
                      </w:pPr>
                      <w:r>
                        <w:rPr>
                          <w:rFonts w:hint="eastAsia" w:ascii="仿宋" w:hAnsi="仿宋" w:eastAsia="仿宋" w:cs="仿宋"/>
                          <w:sz w:val="30"/>
                          <w:szCs w:val="30"/>
                        </w:rPr>
                        <w:t>5</w:t>
                      </w:r>
                      <w:r>
                        <w:rPr>
                          <w:rFonts w:ascii="仿宋" w:hAnsi="仿宋" w:eastAsia="仿宋" w:cs="仿宋"/>
                          <w:sz w:val="30"/>
                          <w:szCs w:val="30"/>
                        </w:rPr>
                        <w:t>.</w:t>
                      </w:r>
                      <w:r>
                        <w:rPr>
                          <w:rFonts w:hint="eastAsia" w:ascii="仿宋" w:hAnsi="仿宋" w:eastAsia="仿宋" w:cs="仿宋"/>
                          <w:sz w:val="30"/>
                          <w:szCs w:val="30"/>
                        </w:rPr>
                        <w:t>被注销后从业单位变更的</w:t>
                      </w:r>
                    </w:p>
                    <w:p w14:paraId="6E83881A">
                      <w:pPr>
                        <w:adjustRightInd w:val="0"/>
                        <w:spacing w:line="348" w:lineRule="auto"/>
                        <w:rPr>
                          <w:rFonts w:ascii="仿宋" w:hAnsi="仿宋" w:eastAsia="仿宋" w:cs="仿宋"/>
                          <w:sz w:val="30"/>
                          <w:szCs w:val="30"/>
                        </w:rPr>
                      </w:pPr>
                      <w:r>
                        <w:rPr>
                          <w:rFonts w:hint="eastAsia" w:ascii="仿宋" w:hAnsi="仿宋" w:eastAsia="仿宋" w:cs="仿宋"/>
                          <w:sz w:val="30"/>
                          <w:szCs w:val="30"/>
                        </w:rPr>
                        <w:t>6.被注销后调回原从业单位的</w:t>
                      </w:r>
                    </w:p>
                    <w:p w14:paraId="3D9FF238">
                      <w:pPr>
                        <w:adjustRightInd w:val="0"/>
                        <w:spacing w:line="348" w:lineRule="auto"/>
                        <w:rPr>
                          <w:rFonts w:ascii="仿宋" w:hAnsi="仿宋" w:eastAsia="仿宋"/>
                          <w:sz w:val="30"/>
                          <w:szCs w:val="30"/>
                        </w:rPr>
                      </w:pPr>
                      <w:r>
                        <w:rPr>
                          <w:rFonts w:hint="eastAsia" w:ascii="仿宋" w:hAnsi="仿宋" w:eastAsia="仿宋" w:cs="仿宋"/>
                          <w:sz w:val="30"/>
                          <w:szCs w:val="30"/>
                        </w:rPr>
                        <w:t>7</w:t>
                      </w:r>
                      <w:r>
                        <w:rPr>
                          <w:rFonts w:ascii="仿宋" w:hAnsi="仿宋" w:eastAsia="仿宋" w:cs="仿宋"/>
                          <w:sz w:val="30"/>
                          <w:szCs w:val="30"/>
                        </w:rPr>
                        <w:t>.</w:t>
                      </w:r>
                      <w:r>
                        <w:rPr>
                          <w:rFonts w:hint="eastAsia" w:ascii="仿宋" w:hAnsi="仿宋" w:eastAsia="仿宋" w:cs="仿宋"/>
                          <w:sz w:val="30"/>
                          <w:szCs w:val="30"/>
                        </w:rPr>
                        <w:t>编制单位终止的</w:t>
                      </w:r>
                    </w:p>
                    <w:p w14:paraId="1B34EFD5">
                      <w:pPr>
                        <w:adjustRightInd w:val="0"/>
                        <w:spacing w:line="348" w:lineRule="auto"/>
                        <w:rPr>
                          <w:rFonts w:ascii="仿宋" w:hAnsi="仿宋" w:eastAsia="仿宋"/>
                          <w:sz w:val="30"/>
                          <w:szCs w:val="30"/>
                        </w:rPr>
                      </w:pPr>
                      <w:r>
                        <w:rPr>
                          <w:rFonts w:hint="eastAsia" w:ascii="仿宋" w:hAnsi="仿宋" w:eastAsia="仿宋" w:cs="仿宋"/>
                          <w:sz w:val="30"/>
                          <w:szCs w:val="30"/>
                        </w:rPr>
                        <w:t>8.补正基本情况信息</w:t>
                      </w:r>
                    </w:p>
                  </w:txbxContent>
                </v:textbox>
                <w10:wrap type="square"/>
              </v:shape>
            </w:pict>
          </mc:Fallback>
        </mc:AlternateContent>
      </w:r>
      <w:r>
        <w:rPr>
          <w:rFonts w:hint="eastAsia" w:ascii="仿宋_GB2312" w:hAnsi="仿宋" w:eastAsia="仿宋_GB2312" w:cs="仿宋_GB2312"/>
          <w:sz w:val="30"/>
          <w:szCs w:val="30"/>
        </w:rPr>
        <w:t>本人</w:t>
      </w:r>
      <w:r>
        <w:rPr>
          <w:rFonts w:ascii="仿宋_GB2312" w:hAnsi="仿宋" w:eastAsia="仿宋_GB2312" w:cs="仿宋_GB2312"/>
          <w:sz w:val="30"/>
          <w:szCs w:val="30"/>
          <w:u w:val="single"/>
        </w:rPr>
        <w:t xml:space="preserve"> </w:t>
      </w:r>
      <w:r>
        <w:rPr>
          <w:rFonts w:hint="eastAsia" w:ascii="仿宋_GB2312" w:hAnsi="仿宋" w:eastAsia="仿宋_GB2312" w:cs="仿宋_GB2312"/>
          <w:sz w:val="30"/>
          <w:szCs w:val="30"/>
          <w:u w:val="single"/>
          <w:lang w:val="en-US" w:eastAsia="zh-CN"/>
        </w:rPr>
        <w:t>何增光</w:t>
      </w:r>
      <w:r>
        <w:rPr>
          <w:rFonts w:hint="eastAsia" w:ascii="仿宋_GB2312" w:hAnsi="仿宋" w:eastAsia="仿宋_GB2312" w:cs="仿宋_GB2312"/>
          <w:sz w:val="30"/>
          <w:szCs w:val="30"/>
        </w:rPr>
        <w:t>（身份证件号码</w:t>
      </w:r>
      <w:r>
        <w:rPr>
          <w:rFonts w:hint="eastAsia" w:ascii="仿宋_GB2312" w:hAnsi="仿宋" w:eastAsia="仿宋_GB2312" w:cs="仿宋_GB2312"/>
          <w:sz w:val="30"/>
          <w:szCs w:val="30"/>
          <w:lang w:val="en-US" w:eastAsia="zh-CN"/>
        </w:rPr>
        <w:t xml:space="preserve">                   </w:t>
      </w:r>
      <w:r>
        <w:rPr>
          <w:rFonts w:hint="eastAsia" w:ascii="仿宋_GB2312" w:hAnsi="仿宋" w:eastAsia="仿宋_GB2312" w:cs="仿宋_GB2312"/>
          <w:sz w:val="30"/>
          <w:szCs w:val="30"/>
        </w:rPr>
        <w:t>）郑重承诺：本人在</w:t>
      </w:r>
      <w:r>
        <w:rPr>
          <w:rFonts w:hint="eastAsia" w:ascii="仿宋_GB2312" w:hAnsi="仿宋" w:eastAsia="仿宋_GB2312" w:cs="仿宋_GB2312"/>
          <w:sz w:val="30"/>
          <w:szCs w:val="30"/>
          <w:u w:val="single"/>
        </w:rPr>
        <w:t>秦皇岛意航工程技术有限公司</w:t>
      </w:r>
      <w:r>
        <w:rPr>
          <w:rFonts w:hint="eastAsia" w:ascii="仿宋_GB2312" w:hAnsi="仿宋" w:eastAsia="仿宋_GB2312" w:cs="仿宋_GB2312"/>
          <w:sz w:val="30"/>
          <w:szCs w:val="30"/>
        </w:rPr>
        <w:t>单位（统一社会信用代码</w:t>
      </w:r>
      <w:r>
        <w:rPr>
          <w:rFonts w:hint="eastAsia" w:ascii="仿宋_GB2312" w:hAnsi="仿宋" w:eastAsia="仿宋_GB2312" w:cs="仿宋_GB2312"/>
          <w:sz w:val="30"/>
          <w:szCs w:val="30"/>
          <w:u w:val="single"/>
        </w:rPr>
        <w:t>91130301MACKBD0P7K</w:t>
      </w:r>
      <w:r>
        <w:rPr>
          <w:rFonts w:hint="eastAsia" w:ascii="仿宋_GB2312" w:hAnsi="仿宋" w:eastAsia="仿宋_GB2312" w:cs="仿宋_GB2312"/>
          <w:sz w:val="30"/>
          <w:szCs w:val="30"/>
        </w:rPr>
        <w:t>）全职工作，本次在环境影响评价信用平台提交的下列第</w:t>
      </w:r>
      <w:r>
        <w:rPr>
          <w:rFonts w:ascii="仿宋_GB2312" w:hAnsi="仿宋" w:eastAsia="仿宋_GB2312" w:cs="仿宋_GB2312"/>
          <w:sz w:val="30"/>
          <w:szCs w:val="30"/>
          <w:u w:val="single"/>
        </w:rPr>
        <w:t>2</w:t>
      </w:r>
      <w:r>
        <w:rPr>
          <w:rFonts w:hint="eastAsia" w:ascii="仿宋_GB2312" w:hAnsi="仿宋" w:eastAsia="仿宋_GB2312" w:cs="仿宋_GB2312"/>
          <w:sz w:val="30"/>
          <w:szCs w:val="30"/>
        </w:rPr>
        <w:t>项相关情况信息真实准确、完整有效。</w:t>
      </w:r>
    </w:p>
    <w:p w14:paraId="563251D0">
      <w:pPr>
        <w:adjustRightInd w:val="0"/>
        <w:spacing w:line="600" w:lineRule="exact"/>
        <w:rPr>
          <w:rFonts w:ascii="仿宋" w:hAnsi="仿宋" w:eastAsia="仿宋"/>
        </w:rPr>
      </w:pPr>
    </w:p>
    <w:p w14:paraId="152D1F0B">
      <w:pPr>
        <w:adjustRightInd w:val="0"/>
        <w:spacing w:line="360" w:lineRule="auto"/>
        <w:rPr>
          <w:rFonts w:ascii="仿宋" w:hAnsi="仿宋" w:eastAsia="仿宋" w:cs="仿宋"/>
          <w:sz w:val="30"/>
          <w:szCs w:val="30"/>
        </w:rPr>
      </w:pPr>
      <w:r>
        <w:rPr>
          <w:rFonts w:hint="eastAsia" w:eastAsia="宋体"/>
          <w:lang w:eastAsia="zh-CN"/>
        </w:rPr>
        <w:drawing>
          <wp:anchor distT="0" distB="0" distL="114300" distR="114300" simplePos="0" relativeHeight="251701248" behindDoc="0" locked="0" layoutInCell="1" allowOverlap="1">
            <wp:simplePos x="0" y="0"/>
            <wp:positionH relativeFrom="column">
              <wp:posOffset>3696970</wp:posOffset>
            </wp:positionH>
            <wp:positionV relativeFrom="paragraph">
              <wp:posOffset>41275</wp:posOffset>
            </wp:positionV>
            <wp:extent cx="862965" cy="341630"/>
            <wp:effectExtent l="0" t="0" r="13335" b="1270"/>
            <wp:wrapNone/>
            <wp:docPr id="151" name="图片 6" descr="dfed3034d1aaa472b1bcebdc6f2c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6" descr="dfed3034d1aaa472b1bcebdc6f2c972"/>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862965" cy="341630"/>
                    </a:xfrm>
                    <a:prstGeom prst="rect">
                      <a:avLst/>
                    </a:prstGeom>
                    <a:noFill/>
                    <a:ln>
                      <a:noFill/>
                    </a:ln>
                  </pic:spPr>
                </pic:pic>
              </a:graphicData>
            </a:graphic>
          </wp:anchor>
        </w:drawing>
      </w:r>
      <w:r>
        <w:rPr>
          <w:rFonts w:ascii="仿宋" w:hAnsi="仿宋" w:eastAsia="仿宋" w:cs="仿宋"/>
          <w:sz w:val="30"/>
          <w:szCs w:val="30"/>
        </w:rPr>
        <w:t xml:space="preserve">                         </w:t>
      </w:r>
      <w:r>
        <w:rPr>
          <w:rFonts w:hint="eastAsia" w:ascii="仿宋" w:hAnsi="仿宋" w:eastAsia="仿宋" w:cs="仿宋"/>
          <w:sz w:val="30"/>
          <w:szCs w:val="30"/>
        </w:rPr>
        <w:t>承诺人</w:t>
      </w:r>
      <w:r>
        <w:rPr>
          <w:rFonts w:ascii="仿宋" w:hAnsi="仿宋" w:eastAsia="仿宋" w:cs="仿宋"/>
          <w:sz w:val="30"/>
          <w:szCs w:val="30"/>
        </w:rPr>
        <w:t>(</w:t>
      </w:r>
      <w:r>
        <w:rPr>
          <w:rFonts w:hint="eastAsia" w:ascii="仿宋" w:hAnsi="仿宋" w:eastAsia="仿宋" w:cs="仿宋"/>
          <w:sz w:val="30"/>
          <w:szCs w:val="30"/>
        </w:rPr>
        <w:t>签字</w:t>
      </w:r>
      <w:r>
        <w:rPr>
          <w:rFonts w:ascii="仿宋" w:hAnsi="仿宋" w:eastAsia="仿宋" w:cs="仿宋"/>
          <w:sz w:val="30"/>
          <w:szCs w:val="30"/>
        </w:rPr>
        <w:t>)</w:t>
      </w:r>
      <w:r>
        <w:rPr>
          <w:rFonts w:hint="eastAsia" w:ascii="仿宋" w:hAnsi="仿宋" w:eastAsia="仿宋" w:cs="仿宋"/>
          <w:sz w:val="30"/>
          <w:szCs w:val="30"/>
        </w:rPr>
        <w:t>：</w:t>
      </w:r>
      <w:r>
        <w:rPr>
          <w:rFonts w:ascii="仿宋" w:hAnsi="仿宋" w:eastAsia="仿宋" w:cs="仿宋"/>
          <w:sz w:val="30"/>
          <w:szCs w:val="30"/>
        </w:rPr>
        <w:t xml:space="preserve">    </w:t>
      </w:r>
    </w:p>
    <w:p w14:paraId="1733DC69">
      <w:pPr>
        <w:adjustRightInd w:val="0"/>
        <w:spacing w:line="360" w:lineRule="auto"/>
        <w:rPr>
          <w:rFonts w:ascii="仿宋" w:hAnsi="仿宋" w:eastAsia="仿宋" w:cs="仿宋"/>
          <w:sz w:val="30"/>
          <w:szCs w:val="30"/>
        </w:rPr>
      </w:pPr>
      <w:r>
        <w:rPr>
          <w:rFonts w:ascii="仿宋" w:hAnsi="仿宋" w:eastAsia="仿宋" w:cs="仿宋"/>
          <w:sz w:val="30"/>
          <w:szCs w:val="30"/>
        </w:rPr>
        <w:t xml:space="preserve">                       </w:t>
      </w:r>
    </w:p>
    <w:p w14:paraId="46CD3D77">
      <w:pPr>
        <w:adjustRightInd w:val="0"/>
        <w:jc w:val="left"/>
        <w:rPr>
          <w:rFonts w:ascii="仿宋_GB2312" w:eastAsia="仿宋_GB2312"/>
          <w:sz w:val="30"/>
          <w:szCs w:val="30"/>
        </w:rPr>
      </w:pPr>
      <w:r>
        <w:rPr>
          <w:rFonts w:ascii="仿宋" w:hAnsi="仿宋" w:eastAsia="仿宋" w:cs="仿宋"/>
          <w:sz w:val="30"/>
          <w:szCs w:val="30"/>
        </w:rPr>
        <w:t xml:space="preserve">                                       </w:t>
      </w:r>
      <w:r>
        <w:rPr>
          <w:rFonts w:hint="eastAsia" w:ascii="仿宋" w:hAnsi="仿宋" w:eastAsia="仿宋" w:cs="仿宋"/>
          <w:sz w:val="30"/>
          <w:szCs w:val="30"/>
          <w:lang w:val="en-US" w:eastAsia="zh-CN"/>
        </w:rPr>
        <w:t>2025</w:t>
      </w:r>
      <w:r>
        <w:rPr>
          <w:rFonts w:hint="eastAsia" w:ascii="仿宋" w:hAnsi="仿宋" w:eastAsia="仿宋" w:cs="仿宋"/>
          <w:sz w:val="30"/>
          <w:szCs w:val="30"/>
        </w:rPr>
        <w:t>年</w:t>
      </w:r>
      <w:r>
        <w:rPr>
          <w:rFonts w:hint="eastAsia" w:ascii="仿宋" w:hAnsi="仿宋" w:eastAsia="仿宋" w:cs="仿宋"/>
          <w:sz w:val="30"/>
          <w:szCs w:val="30"/>
          <w:lang w:val="en-US" w:eastAsia="zh-CN"/>
        </w:rPr>
        <w:t>9</w:t>
      </w:r>
      <w:r>
        <w:rPr>
          <w:rFonts w:hint="eastAsia" w:ascii="仿宋" w:hAnsi="仿宋" w:eastAsia="仿宋" w:cs="仿宋"/>
          <w:sz w:val="30"/>
          <w:szCs w:val="30"/>
        </w:rPr>
        <w:t>月</w:t>
      </w:r>
      <w:r>
        <w:rPr>
          <w:rFonts w:hint="eastAsia" w:ascii="仿宋" w:hAnsi="仿宋" w:eastAsia="仿宋" w:cs="仿宋"/>
          <w:sz w:val="30"/>
          <w:szCs w:val="30"/>
          <w:lang w:val="en-US" w:eastAsia="zh-CN"/>
        </w:rPr>
        <w:t>5</w:t>
      </w:r>
      <w:r>
        <w:rPr>
          <w:rFonts w:hint="eastAsia" w:ascii="仿宋" w:hAnsi="仿宋" w:eastAsia="仿宋" w:cs="仿宋"/>
          <w:sz w:val="30"/>
          <w:szCs w:val="30"/>
        </w:rPr>
        <w:t>日</w:t>
      </w:r>
    </w:p>
    <w:p w14:paraId="5C021EDC"/>
    <w:p w14:paraId="56FACEC6">
      <w:pPr>
        <w:rPr>
          <w:sz w:val="28"/>
          <w:szCs w:val="28"/>
        </w:rPr>
        <w:sectPr>
          <w:footerReference r:id="rId5" w:type="default"/>
          <w:pgSz w:w="11906" w:h="16838"/>
          <w:pgMar w:top="1440" w:right="1800" w:bottom="1440" w:left="1800" w:header="851" w:footer="992" w:gutter="0"/>
          <w:cols w:space="720" w:num="1"/>
          <w:docGrid w:type="lines" w:linePitch="312" w:charSpace="0"/>
        </w:sectPr>
      </w:pPr>
    </w:p>
    <w:p w14:paraId="152719AD">
      <w:pPr>
        <w:jc w:val="center"/>
        <w:rPr>
          <w:rFonts w:hint="eastAsia" w:ascii="仿宋" w:hAnsi="仿宋" w:eastAsia="仿宋"/>
          <w:b/>
          <w:sz w:val="44"/>
          <w:szCs w:val="44"/>
        </w:rPr>
      </w:pPr>
    </w:p>
    <w:p w14:paraId="4A0D770C">
      <w:pPr>
        <w:adjustRightInd w:val="0"/>
        <w:jc w:val="center"/>
        <w:rPr>
          <w:rFonts w:ascii="方正小标宋" w:hAnsi="华文中宋" w:eastAsia="方正小标宋"/>
          <w:sz w:val="38"/>
          <w:szCs w:val="38"/>
        </w:rPr>
      </w:pPr>
      <w:r>
        <w:rPr>
          <w:rFonts w:hint="eastAsia" w:ascii="方正小标宋" w:hAnsi="华文中宋" w:eastAsia="方正小标宋" w:cs="方正小标宋_GBK"/>
          <w:sz w:val="38"/>
          <w:szCs w:val="38"/>
        </w:rPr>
        <w:t>编 制 人 员 承 诺 书</w:t>
      </w:r>
    </w:p>
    <w:p w14:paraId="0C95E5E7">
      <w:pPr>
        <w:adjustRightInd w:val="0"/>
        <w:spacing w:line="408" w:lineRule="auto"/>
        <w:jc w:val="left"/>
        <w:rPr>
          <w:rFonts w:ascii="黑体" w:hAnsi="黑体" w:eastAsia="黑体"/>
        </w:rPr>
      </w:pPr>
    </w:p>
    <w:p w14:paraId="18D66505">
      <w:pPr>
        <w:adjustRightInd w:val="0"/>
        <w:spacing w:line="360" w:lineRule="auto"/>
        <w:ind w:firstLine="420" w:firstLineChars="200"/>
        <w:rPr>
          <w:rFonts w:ascii="仿宋_GB2312" w:hAnsi="仿宋" w:eastAsia="仿宋_GB2312"/>
          <w:sz w:val="30"/>
          <w:szCs w:val="30"/>
        </w:rPr>
      </w:pPr>
      <w:r>
        <w:rPr>
          <w:sz w:val="21"/>
        </w:rPr>
        <mc:AlternateContent>
          <mc:Choice Requires="wps">
            <w:drawing>
              <wp:anchor distT="0" distB="0" distL="114300" distR="114300" simplePos="0" relativeHeight="251715584" behindDoc="0" locked="0" layoutInCell="1" allowOverlap="1">
                <wp:simplePos x="0" y="0"/>
                <wp:positionH relativeFrom="column">
                  <wp:posOffset>217805</wp:posOffset>
                </wp:positionH>
                <wp:positionV relativeFrom="paragraph">
                  <wp:posOffset>858520</wp:posOffset>
                </wp:positionV>
                <wp:extent cx="2119630" cy="209550"/>
                <wp:effectExtent l="0" t="0" r="13970" b="0"/>
                <wp:wrapNone/>
                <wp:docPr id="116" name="文本框 116"/>
                <wp:cNvGraphicFramePr/>
                <a:graphic xmlns:a="http://schemas.openxmlformats.org/drawingml/2006/main">
                  <a:graphicData uri="http://schemas.microsoft.com/office/word/2010/wordprocessingShape">
                    <wps:wsp>
                      <wps:cNvSpPr txBox="1"/>
                      <wps:spPr>
                        <a:xfrm>
                          <a:off x="0" y="0"/>
                          <a:ext cx="2119630" cy="209550"/>
                        </a:xfrm>
                        <a:prstGeom prst="rect">
                          <a:avLst/>
                        </a:prstGeom>
                        <a:gradFill flip="none">
                          <a:gsLst>
                            <a:gs pos="0">
                              <a:schemeClr val="bg1">
                                <a:lumMod val="95000"/>
                              </a:schemeClr>
                            </a:gs>
                            <a:gs pos="53000">
                              <a:schemeClr val="bg1">
                                <a:lumMod val="85000"/>
                              </a:schemeClr>
                            </a:gs>
                            <a:gs pos="100000">
                              <a:schemeClr val="bg1">
                                <a:lumMod val="75000"/>
                              </a:schemeClr>
                            </a:gs>
                          </a:gsLst>
                          <a:lin ang="5400000" scaled="1"/>
                        </a:gradFill>
                        <a:ln w="6350">
                          <a:noFill/>
                        </a:ln>
                      </wps:spPr>
                      <wps:style>
                        <a:lnRef idx="0">
                          <a:schemeClr val="accent1"/>
                        </a:lnRef>
                        <a:fillRef idx="0">
                          <a:schemeClr val="accent1"/>
                        </a:fillRef>
                        <a:effectRef idx="0">
                          <a:schemeClr val="accent1"/>
                        </a:effectRef>
                        <a:fontRef idx="minor">
                          <a:schemeClr val="dk1"/>
                        </a:fontRef>
                      </wps:style>
                      <wps:txbx>
                        <w:txbxContent>
                          <w:p w14:paraId="3729804E"/>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15pt;margin-top:67.6pt;height:16.5pt;width:166.9pt;z-index:251715584;mso-width-relative:page;mso-height-relative:page;" fillcolor="#B7E8BD [3052]" filled="t" stroked="f" coordsize="21600,21600" o:gfxdata="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MwPcqdgAAAAKAQAADwAAAAAAAAABACAAAAAi&#10;AAAAZHJzL2Rvd25yZXYueG1sUEsBAhQAFAAAAAgAh07iQLnGl+O1AgAAsQUAAA4AAAAAAAAAAQAg&#10;AAAAJwEAAGRycy9lMm9Eb2MueG1sUEsFBgAAAAAGAAYAWQEAAE4GAAAAAA==&#10;">
                <v:fill type="gradient" on="t" color2="#75D281 [2412]" colors="0f #B7E8BD;34734f #96DD9F;65536f #75D281" focus="100%" focussize="0,0" rotate="t"/>
                <v:stroke on="f" weight="0.5pt"/>
                <v:imagedata o:title=""/>
                <o:lock v:ext="edit" aspectratio="f"/>
                <v:textbox>
                  <w:txbxContent>
                    <w:p w14:paraId="3729804E"/>
                  </w:txbxContent>
                </v:textbox>
              </v:shape>
            </w:pict>
          </mc:Fallback>
        </mc:AlternateContent>
      </w:r>
      <w:r>
        <w:rPr>
          <w:sz w:val="21"/>
        </w:rPr>
        <mc:AlternateContent>
          <mc:Choice Requires="wps">
            <w:drawing>
              <wp:anchor distT="0" distB="0" distL="114300" distR="114300" simplePos="0" relativeHeight="251712512" behindDoc="0" locked="0" layoutInCell="1" allowOverlap="1">
                <wp:simplePos x="0" y="0"/>
                <wp:positionH relativeFrom="column">
                  <wp:posOffset>2644775</wp:posOffset>
                </wp:positionH>
                <wp:positionV relativeFrom="paragraph">
                  <wp:posOffset>71120</wp:posOffset>
                </wp:positionV>
                <wp:extent cx="1873885" cy="209550"/>
                <wp:effectExtent l="0" t="0" r="12065" b="0"/>
                <wp:wrapNone/>
                <wp:docPr id="113" name="文本框 113"/>
                <wp:cNvGraphicFramePr/>
                <a:graphic xmlns:a="http://schemas.openxmlformats.org/drawingml/2006/main">
                  <a:graphicData uri="http://schemas.microsoft.com/office/word/2010/wordprocessingShape">
                    <wps:wsp>
                      <wps:cNvSpPr txBox="1"/>
                      <wps:spPr>
                        <a:xfrm>
                          <a:off x="0" y="0"/>
                          <a:ext cx="1873885" cy="209550"/>
                        </a:xfrm>
                        <a:prstGeom prst="rect">
                          <a:avLst/>
                        </a:prstGeom>
                        <a:gradFill flip="none">
                          <a:gsLst>
                            <a:gs pos="0">
                              <a:schemeClr val="bg1">
                                <a:lumMod val="95000"/>
                              </a:schemeClr>
                            </a:gs>
                            <a:gs pos="53000">
                              <a:schemeClr val="bg1">
                                <a:lumMod val="85000"/>
                              </a:schemeClr>
                            </a:gs>
                            <a:gs pos="100000">
                              <a:schemeClr val="bg1">
                                <a:lumMod val="75000"/>
                              </a:schemeClr>
                            </a:gs>
                          </a:gsLst>
                          <a:lin ang="5400000" scaled="1"/>
                        </a:gradFill>
                        <a:ln w="6350">
                          <a:noFill/>
                        </a:ln>
                      </wps:spPr>
                      <wps:style>
                        <a:lnRef idx="0">
                          <a:schemeClr val="accent1"/>
                        </a:lnRef>
                        <a:fillRef idx="0">
                          <a:schemeClr val="accent1"/>
                        </a:fillRef>
                        <a:effectRef idx="0">
                          <a:schemeClr val="accent1"/>
                        </a:effectRef>
                        <a:fontRef idx="minor">
                          <a:schemeClr val="dk1"/>
                        </a:fontRef>
                      </wps:style>
                      <wps:txbx>
                        <w:txbxContent>
                          <w:p w14:paraId="707A1274"/>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25pt;margin-top:5.6pt;height:16.5pt;width:147.55pt;z-index:251712512;mso-width-relative:page;mso-height-relative:page;" fillcolor="#B7E8BD [3052]" filled="t" stroked="f" coordsize="21600,21600" o:gfxdata="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Sxrb2tYAAAAJAQAADwAAAAAAAAABACAAAAAi&#10;AAAAZHJzL2Rvd25yZXYueG1sUEsBAhQAFAAAAAgAh07iQFGY9TW3AgAAsQUAAA4AAAAAAAAAAQAg&#10;AAAAJQEAAGRycy9lMm9Eb2MueG1sUEsFBgAAAAAGAAYAWQEAAE4GAAAAAA==&#10;">
                <v:fill type="gradient" on="t" color2="#75D281 [2412]" colors="0f #B7E8BD;34734f #96DD9F;65536f #75D281" focus="100%" focussize="0,0" rotate="t"/>
                <v:stroke on="f" weight="0.5pt"/>
                <v:imagedata o:title=""/>
                <o:lock v:ext="edit" aspectratio="f"/>
                <v:textbox>
                  <w:txbxContent>
                    <w:p w14:paraId="707A1274"/>
                  </w:txbxContent>
                </v:textbox>
              </v:shape>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0</wp:posOffset>
                </wp:positionH>
                <wp:positionV relativeFrom="paragraph">
                  <wp:posOffset>1649730</wp:posOffset>
                </wp:positionV>
                <wp:extent cx="5649595" cy="2903220"/>
                <wp:effectExtent l="4445" t="4445" r="22860" b="6985"/>
                <wp:wrapSquare wrapText="bothSides"/>
                <wp:docPr id="27" name="文本框 27"/>
                <wp:cNvGraphicFramePr/>
                <a:graphic xmlns:a="http://schemas.openxmlformats.org/drawingml/2006/main">
                  <a:graphicData uri="http://schemas.microsoft.com/office/word/2010/wordprocessingShape">
                    <wps:wsp>
                      <wps:cNvSpPr txBox="1"/>
                      <wps:spPr>
                        <a:xfrm>
                          <a:off x="0" y="0"/>
                          <a:ext cx="5649595" cy="290322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2845BED3">
                            <w:pPr>
                              <w:adjustRightInd w:val="0"/>
                              <w:spacing w:line="360" w:lineRule="auto"/>
                              <w:rPr>
                                <w:rFonts w:ascii="仿宋" w:hAnsi="仿宋" w:eastAsia="仿宋"/>
                                <w:sz w:val="30"/>
                                <w:szCs w:val="30"/>
                              </w:rPr>
                            </w:pPr>
                            <w:r>
                              <w:rPr>
                                <w:rFonts w:ascii="仿宋" w:hAnsi="仿宋" w:eastAsia="仿宋" w:cs="仿宋"/>
                                <w:sz w:val="30"/>
                                <w:szCs w:val="30"/>
                              </w:rPr>
                              <w:t>1.</w:t>
                            </w:r>
                            <w:r>
                              <w:rPr>
                                <w:rFonts w:hint="eastAsia" w:ascii="仿宋" w:hAnsi="仿宋" w:eastAsia="仿宋" w:cs="仿宋"/>
                                <w:sz w:val="30"/>
                                <w:szCs w:val="30"/>
                              </w:rPr>
                              <w:t>首次提交基本情况信息</w:t>
                            </w:r>
                          </w:p>
                          <w:p w14:paraId="45CBC4D1">
                            <w:pPr>
                              <w:adjustRightInd w:val="0"/>
                              <w:spacing w:line="348" w:lineRule="auto"/>
                              <w:rPr>
                                <w:rFonts w:ascii="仿宋" w:hAnsi="仿宋" w:eastAsia="仿宋"/>
                                <w:sz w:val="30"/>
                                <w:szCs w:val="30"/>
                              </w:rPr>
                            </w:pPr>
                            <w:r>
                              <w:rPr>
                                <w:rFonts w:ascii="仿宋" w:hAnsi="仿宋" w:eastAsia="仿宋" w:cs="仿宋"/>
                                <w:sz w:val="30"/>
                                <w:szCs w:val="30"/>
                              </w:rPr>
                              <w:t>2.</w:t>
                            </w:r>
                            <w:r>
                              <w:rPr>
                                <w:rFonts w:hint="eastAsia" w:ascii="仿宋" w:hAnsi="仿宋" w:eastAsia="仿宋" w:cs="仿宋"/>
                                <w:sz w:val="30"/>
                                <w:szCs w:val="30"/>
                              </w:rPr>
                              <w:t>从业单位变更的</w:t>
                            </w:r>
                          </w:p>
                          <w:p w14:paraId="1B9480B5">
                            <w:pPr>
                              <w:adjustRightInd w:val="0"/>
                              <w:spacing w:line="348" w:lineRule="auto"/>
                              <w:rPr>
                                <w:rFonts w:ascii="仿宋" w:hAnsi="仿宋" w:eastAsia="仿宋"/>
                                <w:sz w:val="30"/>
                                <w:szCs w:val="30"/>
                              </w:rPr>
                            </w:pPr>
                            <w:r>
                              <w:rPr>
                                <w:rFonts w:ascii="仿宋" w:hAnsi="仿宋" w:eastAsia="仿宋" w:cs="仿宋"/>
                                <w:sz w:val="30"/>
                                <w:szCs w:val="30"/>
                              </w:rPr>
                              <w:t>3.</w:t>
                            </w:r>
                            <w:r>
                              <w:rPr>
                                <w:rFonts w:hint="eastAsia" w:ascii="仿宋" w:hAnsi="仿宋" w:eastAsia="仿宋" w:cs="仿宋"/>
                                <w:sz w:val="30"/>
                                <w:szCs w:val="30"/>
                              </w:rPr>
                              <w:t>调离从业单位的</w:t>
                            </w:r>
                          </w:p>
                          <w:p w14:paraId="0717C365">
                            <w:pPr>
                              <w:adjustRightInd w:val="0"/>
                              <w:spacing w:line="348" w:lineRule="auto"/>
                              <w:rPr>
                                <w:rFonts w:ascii="仿宋" w:hAnsi="仿宋" w:eastAsia="仿宋"/>
                                <w:sz w:val="30"/>
                                <w:szCs w:val="30"/>
                              </w:rPr>
                            </w:pPr>
                            <w:r>
                              <w:rPr>
                                <w:rFonts w:ascii="仿宋" w:hAnsi="仿宋" w:eastAsia="仿宋" w:cs="仿宋"/>
                                <w:sz w:val="30"/>
                                <w:szCs w:val="30"/>
                              </w:rPr>
                              <w:t>4.</w:t>
                            </w:r>
                            <w:r>
                              <w:rPr>
                                <w:rFonts w:hint="eastAsia" w:ascii="仿宋" w:hAnsi="仿宋" w:eastAsia="仿宋" w:cs="仿宋"/>
                                <w:sz w:val="30"/>
                                <w:szCs w:val="30"/>
                              </w:rPr>
                              <w:t>建立诚信档案后取得环境影响评价工程师职业资格证书的</w:t>
                            </w:r>
                          </w:p>
                          <w:p w14:paraId="6DEECC02">
                            <w:pPr>
                              <w:adjustRightInd w:val="0"/>
                              <w:spacing w:line="348" w:lineRule="auto"/>
                              <w:rPr>
                                <w:rFonts w:ascii="仿宋" w:hAnsi="仿宋" w:eastAsia="仿宋"/>
                                <w:sz w:val="30"/>
                                <w:szCs w:val="30"/>
                              </w:rPr>
                            </w:pPr>
                            <w:r>
                              <w:rPr>
                                <w:rFonts w:hint="eastAsia" w:ascii="仿宋" w:hAnsi="仿宋" w:eastAsia="仿宋" w:cs="仿宋"/>
                                <w:sz w:val="30"/>
                                <w:szCs w:val="30"/>
                              </w:rPr>
                              <w:t>5</w:t>
                            </w:r>
                            <w:r>
                              <w:rPr>
                                <w:rFonts w:ascii="仿宋" w:hAnsi="仿宋" w:eastAsia="仿宋" w:cs="仿宋"/>
                                <w:sz w:val="30"/>
                                <w:szCs w:val="30"/>
                              </w:rPr>
                              <w:t>.</w:t>
                            </w:r>
                            <w:r>
                              <w:rPr>
                                <w:rFonts w:hint="eastAsia" w:ascii="仿宋" w:hAnsi="仿宋" w:eastAsia="仿宋" w:cs="仿宋"/>
                                <w:sz w:val="30"/>
                                <w:szCs w:val="30"/>
                              </w:rPr>
                              <w:t>被注销后从业单位变更的</w:t>
                            </w:r>
                          </w:p>
                          <w:p w14:paraId="33AFFC7A">
                            <w:pPr>
                              <w:adjustRightInd w:val="0"/>
                              <w:spacing w:line="348" w:lineRule="auto"/>
                              <w:rPr>
                                <w:rFonts w:ascii="仿宋" w:hAnsi="仿宋" w:eastAsia="仿宋" w:cs="仿宋"/>
                                <w:sz w:val="30"/>
                                <w:szCs w:val="30"/>
                              </w:rPr>
                            </w:pPr>
                            <w:r>
                              <w:rPr>
                                <w:rFonts w:hint="eastAsia" w:ascii="仿宋" w:hAnsi="仿宋" w:eastAsia="仿宋" w:cs="仿宋"/>
                                <w:sz w:val="30"/>
                                <w:szCs w:val="30"/>
                              </w:rPr>
                              <w:t>6.被注销后调回原从业单位的</w:t>
                            </w:r>
                          </w:p>
                          <w:p w14:paraId="5441ADC7">
                            <w:pPr>
                              <w:adjustRightInd w:val="0"/>
                              <w:spacing w:line="348" w:lineRule="auto"/>
                              <w:rPr>
                                <w:rFonts w:ascii="仿宋" w:hAnsi="仿宋" w:eastAsia="仿宋"/>
                                <w:sz w:val="30"/>
                                <w:szCs w:val="30"/>
                              </w:rPr>
                            </w:pPr>
                            <w:r>
                              <w:rPr>
                                <w:rFonts w:hint="eastAsia" w:ascii="仿宋" w:hAnsi="仿宋" w:eastAsia="仿宋" w:cs="仿宋"/>
                                <w:sz w:val="30"/>
                                <w:szCs w:val="30"/>
                              </w:rPr>
                              <w:t>7</w:t>
                            </w:r>
                            <w:r>
                              <w:rPr>
                                <w:rFonts w:ascii="仿宋" w:hAnsi="仿宋" w:eastAsia="仿宋" w:cs="仿宋"/>
                                <w:sz w:val="30"/>
                                <w:szCs w:val="30"/>
                              </w:rPr>
                              <w:t>.</w:t>
                            </w:r>
                            <w:r>
                              <w:rPr>
                                <w:rFonts w:hint="eastAsia" w:ascii="仿宋" w:hAnsi="仿宋" w:eastAsia="仿宋" w:cs="仿宋"/>
                                <w:sz w:val="30"/>
                                <w:szCs w:val="30"/>
                              </w:rPr>
                              <w:t>编制单位终止的</w:t>
                            </w:r>
                          </w:p>
                          <w:p w14:paraId="6D3A26A2">
                            <w:pPr>
                              <w:adjustRightInd w:val="0"/>
                              <w:spacing w:line="348" w:lineRule="auto"/>
                              <w:rPr>
                                <w:rFonts w:ascii="仿宋" w:hAnsi="仿宋" w:eastAsia="仿宋"/>
                                <w:sz w:val="30"/>
                                <w:szCs w:val="30"/>
                              </w:rPr>
                            </w:pPr>
                            <w:r>
                              <w:rPr>
                                <w:rFonts w:hint="eastAsia" w:ascii="仿宋" w:hAnsi="仿宋" w:eastAsia="仿宋" w:cs="仿宋"/>
                                <w:sz w:val="30"/>
                                <w:szCs w:val="30"/>
                              </w:rPr>
                              <w:t>8.补正基本情况信息</w:t>
                            </w:r>
                          </w:p>
                        </w:txbxContent>
                      </wps:txbx>
                      <wps:bodyPr upright="1"/>
                    </wps:wsp>
                  </a:graphicData>
                </a:graphic>
              </wp:anchor>
            </w:drawing>
          </mc:Choice>
          <mc:Fallback>
            <w:pict>
              <v:shape id="_x0000_s1026" o:spid="_x0000_s1026" o:spt="202" type="#_x0000_t202" style="position:absolute;left:0pt;margin-left:0pt;margin-top:129.9pt;height:228.6pt;width:444.85pt;mso-wrap-distance-bottom:0pt;mso-wrap-distance-left:9pt;mso-wrap-distance-right:9pt;mso-wrap-distance-top:0pt;z-index:251675648;mso-width-relative:page;mso-height-relative:page;" fillcolor="#FFFFFF" filled="t" stroked="t" coordsize="21600,21600" o:gfxdata="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KflfjrYAAAACAEAAA8AAAAA&#10;AAAAAQAgAAAAIgAAAGRycy9kb3ducmV2LnhtbFBLAQIUABQAAAAIAIdO4kDaA1vpFAIAAEcEAAAO&#10;AAAAAAAAAAEAIAAAACcBAABkcnMvZTJvRG9jLnhtbFBLBQYAAAAABgAGAFkBAACtBQAAAAA=&#10;">
                <v:fill on="t" focussize="0,0"/>
                <v:stroke color="#000000" joinstyle="miter"/>
                <v:imagedata o:title=""/>
                <o:lock v:ext="edit" aspectratio="f"/>
                <v:textbox>
                  <w:txbxContent>
                    <w:p w14:paraId="2845BED3">
                      <w:pPr>
                        <w:adjustRightInd w:val="0"/>
                        <w:spacing w:line="360" w:lineRule="auto"/>
                        <w:rPr>
                          <w:rFonts w:ascii="仿宋" w:hAnsi="仿宋" w:eastAsia="仿宋"/>
                          <w:sz w:val="30"/>
                          <w:szCs w:val="30"/>
                        </w:rPr>
                      </w:pPr>
                      <w:r>
                        <w:rPr>
                          <w:rFonts w:ascii="仿宋" w:hAnsi="仿宋" w:eastAsia="仿宋" w:cs="仿宋"/>
                          <w:sz w:val="30"/>
                          <w:szCs w:val="30"/>
                        </w:rPr>
                        <w:t>1.</w:t>
                      </w:r>
                      <w:r>
                        <w:rPr>
                          <w:rFonts w:hint="eastAsia" w:ascii="仿宋" w:hAnsi="仿宋" w:eastAsia="仿宋" w:cs="仿宋"/>
                          <w:sz w:val="30"/>
                          <w:szCs w:val="30"/>
                        </w:rPr>
                        <w:t>首次提交基本情况信息</w:t>
                      </w:r>
                    </w:p>
                    <w:p w14:paraId="45CBC4D1">
                      <w:pPr>
                        <w:adjustRightInd w:val="0"/>
                        <w:spacing w:line="348" w:lineRule="auto"/>
                        <w:rPr>
                          <w:rFonts w:ascii="仿宋" w:hAnsi="仿宋" w:eastAsia="仿宋"/>
                          <w:sz w:val="30"/>
                          <w:szCs w:val="30"/>
                        </w:rPr>
                      </w:pPr>
                      <w:r>
                        <w:rPr>
                          <w:rFonts w:ascii="仿宋" w:hAnsi="仿宋" w:eastAsia="仿宋" w:cs="仿宋"/>
                          <w:sz w:val="30"/>
                          <w:szCs w:val="30"/>
                        </w:rPr>
                        <w:t>2.</w:t>
                      </w:r>
                      <w:r>
                        <w:rPr>
                          <w:rFonts w:hint="eastAsia" w:ascii="仿宋" w:hAnsi="仿宋" w:eastAsia="仿宋" w:cs="仿宋"/>
                          <w:sz w:val="30"/>
                          <w:szCs w:val="30"/>
                        </w:rPr>
                        <w:t>从业单位变更的</w:t>
                      </w:r>
                    </w:p>
                    <w:p w14:paraId="1B9480B5">
                      <w:pPr>
                        <w:adjustRightInd w:val="0"/>
                        <w:spacing w:line="348" w:lineRule="auto"/>
                        <w:rPr>
                          <w:rFonts w:ascii="仿宋" w:hAnsi="仿宋" w:eastAsia="仿宋"/>
                          <w:sz w:val="30"/>
                          <w:szCs w:val="30"/>
                        </w:rPr>
                      </w:pPr>
                      <w:r>
                        <w:rPr>
                          <w:rFonts w:ascii="仿宋" w:hAnsi="仿宋" w:eastAsia="仿宋" w:cs="仿宋"/>
                          <w:sz w:val="30"/>
                          <w:szCs w:val="30"/>
                        </w:rPr>
                        <w:t>3.</w:t>
                      </w:r>
                      <w:r>
                        <w:rPr>
                          <w:rFonts w:hint="eastAsia" w:ascii="仿宋" w:hAnsi="仿宋" w:eastAsia="仿宋" w:cs="仿宋"/>
                          <w:sz w:val="30"/>
                          <w:szCs w:val="30"/>
                        </w:rPr>
                        <w:t>调离从业单位的</w:t>
                      </w:r>
                    </w:p>
                    <w:p w14:paraId="0717C365">
                      <w:pPr>
                        <w:adjustRightInd w:val="0"/>
                        <w:spacing w:line="348" w:lineRule="auto"/>
                        <w:rPr>
                          <w:rFonts w:ascii="仿宋" w:hAnsi="仿宋" w:eastAsia="仿宋"/>
                          <w:sz w:val="30"/>
                          <w:szCs w:val="30"/>
                        </w:rPr>
                      </w:pPr>
                      <w:r>
                        <w:rPr>
                          <w:rFonts w:ascii="仿宋" w:hAnsi="仿宋" w:eastAsia="仿宋" w:cs="仿宋"/>
                          <w:sz w:val="30"/>
                          <w:szCs w:val="30"/>
                        </w:rPr>
                        <w:t>4.</w:t>
                      </w:r>
                      <w:r>
                        <w:rPr>
                          <w:rFonts w:hint="eastAsia" w:ascii="仿宋" w:hAnsi="仿宋" w:eastAsia="仿宋" w:cs="仿宋"/>
                          <w:sz w:val="30"/>
                          <w:szCs w:val="30"/>
                        </w:rPr>
                        <w:t>建立诚信档案后取得环境影响评价工程师职业资格证书的</w:t>
                      </w:r>
                    </w:p>
                    <w:p w14:paraId="6DEECC02">
                      <w:pPr>
                        <w:adjustRightInd w:val="0"/>
                        <w:spacing w:line="348" w:lineRule="auto"/>
                        <w:rPr>
                          <w:rFonts w:ascii="仿宋" w:hAnsi="仿宋" w:eastAsia="仿宋"/>
                          <w:sz w:val="30"/>
                          <w:szCs w:val="30"/>
                        </w:rPr>
                      </w:pPr>
                      <w:r>
                        <w:rPr>
                          <w:rFonts w:hint="eastAsia" w:ascii="仿宋" w:hAnsi="仿宋" w:eastAsia="仿宋" w:cs="仿宋"/>
                          <w:sz w:val="30"/>
                          <w:szCs w:val="30"/>
                        </w:rPr>
                        <w:t>5</w:t>
                      </w:r>
                      <w:r>
                        <w:rPr>
                          <w:rFonts w:ascii="仿宋" w:hAnsi="仿宋" w:eastAsia="仿宋" w:cs="仿宋"/>
                          <w:sz w:val="30"/>
                          <w:szCs w:val="30"/>
                        </w:rPr>
                        <w:t>.</w:t>
                      </w:r>
                      <w:r>
                        <w:rPr>
                          <w:rFonts w:hint="eastAsia" w:ascii="仿宋" w:hAnsi="仿宋" w:eastAsia="仿宋" w:cs="仿宋"/>
                          <w:sz w:val="30"/>
                          <w:szCs w:val="30"/>
                        </w:rPr>
                        <w:t>被注销后从业单位变更的</w:t>
                      </w:r>
                    </w:p>
                    <w:p w14:paraId="33AFFC7A">
                      <w:pPr>
                        <w:adjustRightInd w:val="0"/>
                        <w:spacing w:line="348" w:lineRule="auto"/>
                        <w:rPr>
                          <w:rFonts w:ascii="仿宋" w:hAnsi="仿宋" w:eastAsia="仿宋" w:cs="仿宋"/>
                          <w:sz w:val="30"/>
                          <w:szCs w:val="30"/>
                        </w:rPr>
                      </w:pPr>
                      <w:r>
                        <w:rPr>
                          <w:rFonts w:hint="eastAsia" w:ascii="仿宋" w:hAnsi="仿宋" w:eastAsia="仿宋" w:cs="仿宋"/>
                          <w:sz w:val="30"/>
                          <w:szCs w:val="30"/>
                        </w:rPr>
                        <w:t>6.被注销后调回原从业单位的</w:t>
                      </w:r>
                    </w:p>
                    <w:p w14:paraId="5441ADC7">
                      <w:pPr>
                        <w:adjustRightInd w:val="0"/>
                        <w:spacing w:line="348" w:lineRule="auto"/>
                        <w:rPr>
                          <w:rFonts w:ascii="仿宋" w:hAnsi="仿宋" w:eastAsia="仿宋"/>
                          <w:sz w:val="30"/>
                          <w:szCs w:val="30"/>
                        </w:rPr>
                      </w:pPr>
                      <w:r>
                        <w:rPr>
                          <w:rFonts w:hint="eastAsia" w:ascii="仿宋" w:hAnsi="仿宋" w:eastAsia="仿宋" w:cs="仿宋"/>
                          <w:sz w:val="30"/>
                          <w:szCs w:val="30"/>
                        </w:rPr>
                        <w:t>7</w:t>
                      </w:r>
                      <w:r>
                        <w:rPr>
                          <w:rFonts w:ascii="仿宋" w:hAnsi="仿宋" w:eastAsia="仿宋" w:cs="仿宋"/>
                          <w:sz w:val="30"/>
                          <w:szCs w:val="30"/>
                        </w:rPr>
                        <w:t>.</w:t>
                      </w:r>
                      <w:r>
                        <w:rPr>
                          <w:rFonts w:hint="eastAsia" w:ascii="仿宋" w:hAnsi="仿宋" w:eastAsia="仿宋" w:cs="仿宋"/>
                          <w:sz w:val="30"/>
                          <w:szCs w:val="30"/>
                        </w:rPr>
                        <w:t>编制单位终止的</w:t>
                      </w:r>
                    </w:p>
                    <w:p w14:paraId="6D3A26A2">
                      <w:pPr>
                        <w:adjustRightInd w:val="0"/>
                        <w:spacing w:line="348" w:lineRule="auto"/>
                        <w:rPr>
                          <w:rFonts w:ascii="仿宋" w:hAnsi="仿宋" w:eastAsia="仿宋"/>
                          <w:sz w:val="30"/>
                          <w:szCs w:val="30"/>
                        </w:rPr>
                      </w:pPr>
                      <w:r>
                        <w:rPr>
                          <w:rFonts w:hint="eastAsia" w:ascii="仿宋" w:hAnsi="仿宋" w:eastAsia="仿宋" w:cs="仿宋"/>
                          <w:sz w:val="30"/>
                          <w:szCs w:val="30"/>
                        </w:rPr>
                        <w:t>8.补正基本情况信息</w:t>
                      </w:r>
                    </w:p>
                  </w:txbxContent>
                </v:textbox>
                <w10:wrap type="square"/>
              </v:shape>
            </w:pict>
          </mc:Fallback>
        </mc:AlternateContent>
      </w:r>
      <w:r>
        <w:rPr>
          <w:rFonts w:hint="eastAsia" w:ascii="仿宋_GB2312" w:hAnsi="仿宋" w:eastAsia="仿宋_GB2312" w:cs="仿宋_GB2312"/>
          <w:sz w:val="30"/>
          <w:szCs w:val="30"/>
        </w:rPr>
        <w:t>本人</w:t>
      </w:r>
      <w:r>
        <w:rPr>
          <w:rFonts w:ascii="仿宋_GB2312" w:hAnsi="仿宋" w:eastAsia="仿宋_GB2312" w:cs="仿宋_GB2312"/>
          <w:sz w:val="30"/>
          <w:szCs w:val="30"/>
          <w:u w:val="single"/>
        </w:rPr>
        <w:t xml:space="preserve"> </w:t>
      </w:r>
      <w:r>
        <w:rPr>
          <w:rFonts w:hint="eastAsia" w:ascii="仿宋_GB2312" w:hAnsi="仿宋" w:eastAsia="仿宋_GB2312" w:cs="仿宋_GB2312"/>
          <w:sz w:val="30"/>
          <w:szCs w:val="30"/>
          <w:u w:val="single"/>
          <w:lang w:val="en-US" w:eastAsia="zh-CN"/>
        </w:rPr>
        <w:t>张玲娣</w:t>
      </w:r>
      <w:r>
        <w:rPr>
          <w:rFonts w:hint="eastAsia" w:ascii="仿宋_GB2312" w:hAnsi="仿宋" w:eastAsia="仿宋_GB2312" w:cs="仿宋_GB2312"/>
          <w:sz w:val="30"/>
          <w:szCs w:val="30"/>
        </w:rPr>
        <w:t>（身份证件号码</w:t>
      </w:r>
      <w:r>
        <w:rPr>
          <w:rFonts w:hint="eastAsia" w:ascii="仿宋_GB2312" w:hAnsi="仿宋" w:eastAsia="仿宋_GB2312" w:cs="仿宋_GB2312"/>
          <w:sz w:val="30"/>
          <w:szCs w:val="30"/>
          <w:u w:val="single"/>
        </w:rPr>
        <w:t>130</w:t>
      </w:r>
      <w:r>
        <w:rPr>
          <w:rFonts w:hint="eastAsia" w:ascii="仿宋_GB2312" w:hAnsi="仿宋" w:eastAsia="仿宋_GB2312" w:cs="仿宋_GB2312"/>
          <w:sz w:val="30"/>
          <w:szCs w:val="30"/>
          <w:u w:val="single"/>
          <w:lang w:val="en-US" w:eastAsia="zh-CN"/>
        </w:rPr>
        <w:t>930198707092125</w:t>
      </w:r>
      <w:r>
        <w:rPr>
          <w:rFonts w:hint="eastAsia" w:ascii="仿宋_GB2312" w:hAnsi="仿宋" w:eastAsia="仿宋_GB2312" w:cs="仿宋_GB2312"/>
          <w:sz w:val="30"/>
          <w:szCs w:val="30"/>
        </w:rPr>
        <w:t>）郑重承诺：本人在</w:t>
      </w:r>
      <w:r>
        <w:rPr>
          <w:rFonts w:hint="eastAsia" w:ascii="仿宋_GB2312" w:hAnsi="仿宋" w:eastAsia="仿宋_GB2312" w:cs="仿宋_GB2312"/>
          <w:sz w:val="30"/>
          <w:szCs w:val="30"/>
          <w:u w:val="single"/>
        </w:rPr>
        <w:t>秦皇岛意航工程技术有限公司</w:t>
      </w:r>
      <w:r>
        <w:rPr>
          <w:rFonts w:hint="eastAsia" w:ascii="仿宋_GB2312" w:hAnsi="仿宋" w:eastAsia="仿宋_GB2312" w:cs="仿宋_GB2312"/>
          <w:sz w:val="30"/>
          <w:szCs w:val="30"/>
        </w:rPr>
        <w:t>单位（统一社会信用代码</w:t>
      </w:r>
      <w:r>
        <w:rPr>
          <w:rFonts w:hint="eastAsia" w:ascii="仿宋_GB2312" w:hAnsi="仿宋" w:eastAsia="仿宋_GB2312" w:cs="仿宋_GB2312"/>
          <w:sz w:val="30"/>
          <w:szCs w:val="30"/>
          <w:u w:val="single"/>
        </w:rPr>
        <w:t>91130301MACKBD0P7K</w:t>
      </w:r>
      <w:r>
        <w:rPr>
          <w:rFonts w:hint="eastAsia" w:ascii="仿宋_GB2312" w:hAnsi="仿宋" w:eastAsia="仿宋_GB2312" w:cs="仿宋_GB2312"/>
          <w:sz w:val="30"/>
          <w:szCs w:val="30"/>
        </w:rPr>
        <w:t>）全职工作，本次在环境影响评价信用平台提交的下列第</w:t>
      </w:r>
      <w:r>
        <w:rPr>
          <w:rFonts w:ascii="仿宋_GB2312" w:hAnsi="仿宋" w:eastAsia="仿宋_GB2312" w:cs="仿宋_GB2312"/>
          <w:sz w:val="30"/>
          <w:szCs w:val="30"/>
          <w:u w:val="single"/>
        </w:rPr>
        <w:t>2</w:t>
      </w:r>
      <w:r>
        <w:rPr>
          <w:rFonts w:hint="eastAsia" w:ascii="仿宋_GB2312" w:hAnsi="仿宋" w:eastAsia="仿宋_GB2312" w:cs="仿宋_GB2312"/>
          <w:sz w:val="30"/>
          <w:szCs w:val="30"/>
        </w:rPr>
        <w:t>项相关情况信息真实准确、完整有效。</w:t>
      </w:r>
    </w:p>
    <w:p w14:paraId="1E5350A6">
      <w:pPr>
        <w:adjustRightInd w:val="0"/>
        <w:spacing w:line="600" w:lineRule="exact"/>
        <w:rPr>
          <w:rFonts w:ascii="仿宋" w:hAnsi="仿宋" w:eastAsia="仿宋"/>
        </w:rPr>
      </w:pPr>
    </w:p>
    <w:p w14:paraId="05A63371">
      <w:pPr>
        <w:adjustRightInd w:val="0"/>
        <w:spacing w:line="360" w:lineRule="auto"/>
        <w:rPr>
          <w:rFonts w:ascii="仿宋" w:hAnsi="仿宋" w:eastAsia="仿宋" w:cs="仿宋"/>
          <w:sz w:val="30"/>
          <w:szCs w:val="30"/>
        </w:rPr>
      </w:pPr>
      <w:r>
        <w:rPr>
          <w:position w:val="-38"/>
        </w:rPr>
        <w:drawing>
          <wp:anchor distT="0" distB="0" distL="0" distR="0" simplePos="0" relativeHeight="251702272" behindDoc="0" locked="0" layoutInCell="1" allowOverlap="1">
            <wp:simplePos x="0" y="0"/>
            <wp:positionH relativeFrom="column">
              <wp:posOffset>3794760</wp:posOffset>
            </wp:positionH>
            <wp:positionV relativeFrom="paragraph">
              <wp:posOffset>44450</wp:posOffset>
            </wp:positionV>
            <wp:extent cx="635635" cy="379095"/>
            <wp:effectExtent l="0" t="0" r="12065" b="1905"/>
            <wp:wrapNone/>
            <wp:docPr id="103" name="IM 2"/>
            <wp:cNvGraphicFramePr/>
            <a:graphic xmlns:a="http://schemas.openxmlformats.org/drawingml/2006/main">
              <a:graphicData uri="http://schemas.openxmlformats.org/drawingml/2006/picture">
                <pic:pic xmlns:pic="http://schemas.openxmlformats.org/drawingml/2006/picture">
                  <pic:nvPicPr>
                    <pic:cNvPr id="103" name="IM 2"/>
                    <pic:cNvPicPr/>
                  </pic:nvPicPr>
                  <pic:blipFill>
                    <a:blip r:embed="rId12"/>
                    <a:stretch>
                      <a:fillRect/>
                    </a:stretch>
                  </pic:blipFill>
                  <pic:spPr>
                    <a:xfrm>
                      <a:off x="0" y="0"/>
                      <a:ext cx="635635" cy="379095"/>
                    </a:xfrm>
                    <a:prstGeom prst="rect">
                      <a:avLst/>
                    </a:prstGeom>
                  </pic:spPr>
                </pic:pic>
              </a:graphicData>
            </a:graphic>
          </wp:anchor>
        </w:drawing>
      </w:r>
      <w:r>
        <w:rPr>
          <w:rFonts w:ascii="仿宋" w:hAnsi="仿宋" w:eastAsia="仿宋" w:cs="仿宋"/>
          <w:sz w:val="30"/>
          <w:szCs w:val="30"/>
        </w:rPr>
        <w:t xml:space="preserve">                         </w:t>
      </w:r>
      <w:r>
        <w:rPr>
          <w:rFonts w:hint="eastAsia" w:ascii="仿宋" w:hAnsi="仿宋" w:eastAsia="仿宋" w:cs="仿宋"/>
          <w:sz w:val="30"/>
          <w:szCs w:val="30"/>
        </w:rPr>
        <w:t>承诺人</w:t>
      </w:r>
      <w:r>
        <w:rPr>
          <w:rFonts w:ascii="仿宋" w:hAnsi="仿宋" w:eastAsia="仿宋" w:cs="仿宋"/>
          <w:sz w:val="30"/>
          <w:szCs w:val="30"/>
        </w:rPr>
        <w:t>(</w:t>
      </w:r>
      <w:r>
        <w:rPr>
          <w:rFonts w:hint="eastAsia" w:ascii="仿宋" w:hAnsi="仿宋" w:eastAsia="仿宋" w:cs="仿宋"/>
          <w:sz w:val="30"/>
          <w:szCs w:val="30"/>
        </w:rPr>
        <w:t>签字</w:t>
      </w:r>
      <w:r>
        <w:rPr>
          <w:rFonts w:ascii="仿宋" w:hAnsi="仿宋" w:eastAsia="仿宋" w:cs="仿宋"/>
          <w:sz w:val="30"/>
          <w:szCs w:val="30"/>
        </w:rPr>
        <w:t>)</w:t>
      </w:r>
      <w:r>
        <w:rPr>
          <w:rFonts w:hint="eastAsia" w:ascii="仿宋" w:hAnsi="仿宋" w:eastAsia="仿宋" w:cs="仿宋"/>
          <w:sz w:val="30"/>
          <w:szCs w:val="30"/>
        </w:rPr>
        <w:t>：</w:t>
      </w:r>
      <w:r>
        <w:rPr>
          <w:rFonts w:ascii="仿宋" w:hAnsi="仿宋" w:eastAsia="仿宋" w:cs="仿宋"/>
          <w:sz w:val="30"/>
          <w:szCs w:val="30"/>
        </w:rPr>
        <w:t xml:space="preserve">    </w:t>
      </w:r>
    </w:p>
    <w:p w14:paraId="423E689E">
      <w:pPr>
        <w:adjustRightInd w:val="0"/>
        <w:spacing w:line="360" w:lineRule="auto"/>
        <w:rPr>
          <w:rFonts w:ascii="仿宋" w:hAnsi="仿宋" w:eastAsia="仿宋" w:cs="仿宋"/>
          <w:sz w:val="30"/>
          <w:szCs w:val="30"/>
        </w:rPr>
      </w:pPr>
      <w:r>
        <w:rPr>
          <w:rFonts w:ascii="仿宋" w:hAnsi="仿宋" w:eastAsia="仿宋" w:cs="仿宋"/>
          <w:sz w:val="30"/>
          <w:szCs w:val="30"/>
        </w:rPr>
        <w:t xml:space="preserve">                       </w:t>
      </w:r>
    </w:p>
    <w:p w14:paraId="6FA66138">
      <w:pPr>
        <w:adjustRightInd w:val="0"/>
        <w:jc w:val="left"/>
        <w:rPr>
          <w:rFonts w:ascii="仿宋_GB2312" w:eastAsia="仿宋_GB2312"/>
          <w:sz w:val="30"/>
          <w:szCs w:val="30"/>
        </w:rPr>
      </w:pPr>
      <w:r>
        <w:rPr>
          <w:rFonts w:ascii="仿宋" w:hAnsi="仿宋" w:eastAsia="仿宋" w:cs="仿宋"/>
          <w:sz w:val="30"/>
          <w:szCs w:val="30"/>
        </w:rPr>
        <w:t xml:space="preserve">                                        </w:t>
      </w:r>
      <w:r>
        <w:rPr>
          <w:rFonts w:hint="eastAsia" w:ascii="仿宋" w:hAnsi="仿宋" w:eastAsia="仿宋" w:cs="仿宋"/>
          <w:sz w:val="30"/>
          <w:szCs w:val="30"/>
          <w:lang w:val="en-US" w:eastAsia="zh-CN"/>
        </w:rPr>
        <w:t>2025</w:t>
      </w:r>
      <w:r>
        <w:rPr>
          <w:rFonts w:hint="eastAsia" w:ascii="仿宋" w:hAnsi="仿宋" w:eastAsia="仿宋" w:cs="仿宋"/>
          <w:sz w:val="30"/>
          <w:szCs w:val="30"/>
        </w:rPr>
        <w:t>年</w:t>
      </w:r>
      <w:r>
        <w:rPr>
          <w:rFonts w:hint="eastAsia" w:ascii="仿宋" w:hAnsi="仿宋" w:eastAsia="仿宋" w:cs="仿宋"/>
          <w:sz w:val="30"/>
          <w:szCs w:val="30"/>
          <w:lang w:val="en-US" w:eastAsia="zh-CN"/>
        </w:rPr>
        <w:t>9</w:t>
      </w:r>
      <w:r>
        <w:rPr>
          <w:rFonts w:hint="eastAsia" w:ascii="仿宋" w:hAnsi="仿宋" w:eastAsia="仿宋" w:cs="仿宋"/>
          <w:sz w:val="30"/>
          <w:szCs w:val="30"/>
        </w:rPr>
        <w:t>月</w:t>
      </w:r>
      <w:r>
        <w:rPr>
          <w:rFonts w:hint="eastAsia" w:ascii="仿宋" w:hAnsi="仿宋" w:eastAsia="仿宋" w:cs="仿宋"/>
          <w:sz w:val="30"/>
          <w:szCs w:val="30"/>
          <w:lang w:val="en-US" w:eastAsia="zh-CN"/>
        </w:rPr>
        <w:t>5</w:t>
      </w:r>
      <w:r>
        <w:rPr>
          <w:rFonts w:hint="eastAsia" w:ascii="仿宋" w:hAnsi="仿宋" w:eastAsia="仿宋" w:cs="仿宋"/>
          <w:sz w:val="30"/>
          <w:szCs w:val="30"/>
        </w:rPr>
        <w:t>日</w:t>
      </w:r>
    </w:p>
    <w:p w14:paraId="729C6B12">
      <w:pPr>
        <w:jc w:val="center"/>
        <w:rPr>
          <w:rFonts w:hint="eastAsia" w:ascii="仿宋" w:hAnsi="仿宋" w:eastAsia="仿宋"/>
          <w:b/>
          <w:sz w:val="44"/>
          <w:szCs w:val="44"/>
        </w:rPr>
      </w:pPr>
    </w:p>
    <w:p w14:paraId="60D8DCA0">
      <w:pPr>
        <w:jc w:val="center"/>
        <w:rPr>
          <w:rFonts w:hint="eastAsia" w:ascii="仿宋" w:hAnsi="仿宋" w:eastAsia="仿宋"/>
          <w:b/>
          <w:sz w:val="44"/>
          <w:szCs w:val="44"/>
        </w:rPr>
      </w:pPr>
    </w:p>
    <w:p w14:paraId="66DB7842">
      <w:pPr>
        <w:jc w:val="center"/>
        <w:rPr>
          <w:rFonts w:hint="eastAsia" w:ascii="仿宋" w:hAnsi="仿宋" w:eastAsia="仿宋"/>
          <w:b/>
          <w:sz w:val="44"/>
          <w:szCs w:val="44"/>
        </w:rPr>
      </w:pPr>
    </w:p>
    <w:p w14:paraId="63DCE2F7">
      <w:pPr>
        <w:jc w:val="center"/>
        <w:rPr>
          <w:rFonts w:hint="eastAsia" w:ascii="仿宋" w:hAnsi="仿宋" w:eastAsia="仿宋"/>
          <w:b/>
          <w:sz w:val="44"/>
          <w:szCs w:val="44"/>
        </w:rPr>
      </w:pPr>
    </w:p>
    <w:p w14:paraId="4F9DC3F6">
      <w:pPr>
        <w:jc w:val="center"/>
        <w:rPr>
          <w:rFonts w:hint="eastAsia" w:ascii="仿宋" w:hAnsi="仿宋" w:eastAsia="仿宋"/>
          <w:b/>
          <w:sz w:val="44"/>
          <w:szCs w:val="44"/>
        </w:rPr>
      </w:pPr>
    </w:p>
    <w:p w14:paraId="63B5F907">
      <w:pPr>
        <w:jc w:val="center"/>
        <w:rPr>
          <w:rFonts w:hint="eastAsia" w:ascii="仿宋" w:hAnsi="仿宋" w:eastAsia="仿宋"/>
          <w:b/>
          <w:sz w:val="44"/>
          <w:szCs w:val="44"/>
        </w:rPr>
      </w:pPr>
      <w:r>
        <w:rPr>
          <w:rFonts w:hint="eastAsia" w:ascii="仿宋" w:hAnsi="仿宋" w:eastAsia="仿宋"/>
          <w:b/>
          <w:sz w:val="44"/>
          <w:szCs w:val="44"/>
        </w:rPr>
        <w:t>委  托  书</w:t>
      </w:r>
    </w:p>
    <w:p w14:paraId="08388379">
      <w:pPr>
        <w:rPr>
          <w:rFonts w:hint="eastAsia" w:ascii="仿宋" w:hAnsi="仿宋" w:eastAsia="仿宋"/>
          <w:sz w:val="32"/>
          <w:szCs w:val="32"/>
        </w:rPr>
      </w:pPr>
    </w:p>
    <w:p w14:paraId="0E23D1EA">
      <w:pPr>
        <w:spacing w:before="624" w:beforeLines="200" w:after="312" w:afterLines="100" w:line="540" w:lineRule="exact"/>
        <w:rPr>
          <w:rFonts w:hint="eastAsia" w:ascii="仿宋" w:hAnsi="仿宋" w:eastAsia="仿宋"/>
          <w:sz w:val="30"/>
          <w:szCs w:val="30"/>
        </w:rPr>
      </w:pPr>
      <w:r>
        <w:rPr>
          <w:rFonts w:hint="eastAsia" w:ascii="仿宋" w:hAnsi="仿宋" w:eastAsia="仿宋"/>
          <w:sz w:val="30"/>
          <w:szCs w:val="30"/>
          <w:u w:val="single"/>
        </w:rPr>
        <w:t xml:space="preserve">秦皇岛意航工程技术有限公司 </w:t>
      </w:r>
      <w:r>
        <w:rPr>
          <w:rFonts w:hint="eastAsia" w:ascii="仿宋" w:hAnsi="仿宋" w:eastAsia="仿宋"/>
          <w:sz w:val="30"/>
          <w:szCs w:val="30"/>
        </w:rPr>
        <w:t>：</w:t>
      </w:r>
    </w:p>
    <w:p w14:paraId="1ABBC18F">
      <w:pPr>
        <w:wordWrap w:val="0"/>
        <w:autoSpaceDE w:val="0"/>
        <w:autoSpaceDN w:val="0"/>
        <w:ind w:firstLine="600" w:firstLineChars="200"/>
        <w:jc w:val="left"/>
        <w:textAlignment w:val="top"/>
        <w:rPr>
          <w:rFonts w:hint="eastAsia" w:ascii="仿宋" w:hAnsi="仿宋" w:eastAsia="仿宋"/>
          <w:sz w:val="30"/>
          <w:szCs w:val="30"/>
        </w:rPr>
      </w:pPr>
      <w:r>
        <w:rPr>
          <w:rFonts w:hint="eastAsia" w:ascii="仿宋" w:hAnsi="仿宋" w:eastAsia="仿宋"/>
          <w:sz w:val="30"/>
          <w:szCs w:val="30"/>
        </w:rPr>
        <w:t>根据</w:t>
      </w:r>
      <w:r>
        <w:rPr>
          <w:rFonts w:ascii="仿宋" w:hAnsi="仿宋" w:eastAsia="仿宋"/>
          <w:sz w:val="30"/>
          <w:szCs w:val="30"/>
        </w:rPr>
        <w:t>《中华人民共和国环境影响评价法》</w:t>
      </w:r>
      <w:r>
        <w:rPr>
          <w:rFonts w:hint="eastAsia" w:ascii="仿宋" w:hAnsi="仿宋" w:eastAsia="仿宋"/>
          <w:sz w:val="30"/>
          <w:szCs w:val="30"/>
        </w:rPr>
        <w:t>及相关环境保护管理的规定，现委托贵公司承担</w:t>
      </w:r>
      <w:r>
        <w:rPr>
          <w:rFonts w:hint="eastAsia" w:ascii="仿宋" w:hAnsi="仿宋" w:eastAsia="仿宋"/>
          <w:sz w:val="30"/>
          <w:szCs w:val="30"/>
          <w:u w:val="single"/>
        </w:rPr>
        <w:t>“</w:t>
      </w:r>
      <w:r>
        <w:rPr>
          <w:rFonts w:hint="eastAsia" w:ascii="仿宋" w:hAnsi="仿宋" w:eastAsia="仿宋" w:cs="仿宋"/>
          <w:color w:val="000000"/>
          <w:sz w:val="30"/>
          <w:szCs w:val="30"/>
          <w:highlight w:val="none"/>
          <w:u w:val="single"/>
          <w:lang w:eastAsia="zh-CN"/>
        </w:rPr>
        <w:t>秦皇岛万邦零部件加工有限公司新建二车间</w:t>
      </w:r>
      <w:r>
        <w:rPr>
          <w:rFonts w:hint="eastAsia" w:ascii="仿宋" w:hAnsi="仿宋" w:eastAsia="仿宋"/>
          <w:sz w:val="30"/>
          <w:szCs w:val="30"/>
          <w:u w:val="single"/>
        </w:rPr>
        <w:t>”</w:t>
      </w:r>
      <w:r>
        <w:rPr>
          <w:rFonts w:hint="eastAsia" w:ascii="仿宋" w:hAnsi="仿宋" w:eastAsia="仿宋"/>
          <w:sz w:val="30"/>
          <w:szCs w:val="30"/>
        </w:rPr>
        <w:t>的环境影响评价</w:t>
      </w:r>
      <w:r>
        <w:rPr>
          <w:rFonts w:hint="eastAsia" w:ascii="仿宋" w:hAnsi="仿宋" w:eastAsia="仿宋"/>
          <w:sz w:val="30"/>
          <w:szCs w:val="30"/>
          <w:lang w:eastAsia="zh-CN"/>
        </w:rPr>
        <w:t>报告</w:t>
      </w:r>
      <w:r>
        <w:rPr>
          <w:rFonts w:hint="eastAsia" w:ascii="仿宋" w:hAnsi="仿宋" w:eastAsia="仿宋"/>
          <w:sz w:val="30"/>
          <w:szCs w:val="30"/>
          <w:lang w:val="en-US" w:eastAsia="zh-CN"/>
        </w:rPr>
        <w:t>表</w:t>
      </w:r>
      <w:r>
        <w:rPr>
          <w:rFonts w:hint="eastAsia" w:ascii="仿宋" w:hAnsi="仿宋" w:eastAsia="仿宋"/>
          <w:sz w:val="30"/>
          <w:szCs w:val="30"/>
        </w:rPr>
        <w:t>的工作。</w:t>
      </w:r>
    </w:p>
    <w:p w14:paraId="6815ED2F">
      <w:pPr>
        <w:wordWrap w:val="0"/>
        <w:autoSpaceDE w:val="0"/>
        <w:autoSpaceDN w:val="0"/>
        <w:ind w:firstLine="600" w:firstLineChars="200"/>
        <w:jc w:val="left"/>
        <w:textAlignment w:val="top"/>
        <w:rPr>
          <w:rFonts w:hint="eastAsia" w:ascii="仿宋" w:hAnsi="仿宋" w:eastAsia="仿宋"/>
          <w:sz w:val="30"/>
          <w:szCs w:val="30"/>
        </w:rPr>
      </w:pPr>
      <w:r>
        <w:rPr>
          <w:rFonts w:hint="eastAsia" w:ascii="仿宋" w:hAnsi="仿宋" w:eastAsia="仿宋"/>
          <w:sz w:val="30"/>
          <w:szCs w:val="30"/>
        </w:rPr>
        <w:t>请贵公司接收委托后按国家环境影响评价的相关工作程序，正式开展编制工作，具体事宜待双方签订书面合同时商定。</w:t>
      </w:r>
    </w:p>
    <w:p w14:paraId="6BF41C6F">
      <w:pPr>
        <w:wordWrap w:val="0"/>
        <w:autoSpaceDE w:val="0"/>
        <w:autoSpaceDN w:val="0"/>
        <w:ind w:firstLine="600" w:firstLineChars="200"/>
        <w:jc w:val="left"/>
        <w:textAlignment w:val="top"/>
        <w:rPr>
          <w:rFonts w:hint="eastAsia" w:ascii="仿宋" w:hAnsi="仿宋" w:eastAsia="仿宋"/>
          <w:sz w:val="30"/>
          <w:szCs w:val="30"/>
        </w:rPr>
      </w:pPr>
      <w:r>
        <w:rPr>
          <w:rFonts w:hint="eastAsia" w:ascii="仿宋" w:hAnsi="仿宋" w:eastAsia="仿宋"/>
          <w:sz w:val="30"/>
          <w:szCs w:val="30"/>
        </w:rPr>
        <w:t>特此委托。</w:t>
      </w:r>
    </w:p>
    <w:p w14:paraId="71714DA6">
      <w:pPr>
        <w:wordWrap w:val="0"/>
        <w:autoSpaceDE w:val="0"/>
        <w:autoSpaceDN w:val="0"/>
        <w:ind w:firstLine="600" w:firstLineChars="200"/>
        <w:jc w:val="left"/>
        <w:textAlignment w:val="top"/>
        <w:rPr>
          <w:rFonts w:hint="eastAsia" w:ascii="仿宋" w:hAnsi="仿宋" w:eastAsia="仿宋"/>
          <w:sz w:val="30"/>
          <w:szCs w:val="30"/>
        </w:rPr>
      </w:pPr>
    </w:p>
    <w:p w14:paraId="3076620E">
      <w:pPr>
        <w:jc w:val="left"/>
        <w:rPr>
          <w:rFonts w:hint="eastAsia" w:ascii="仿宋" w:hAnsi="仿宋" w:eastAsia="仿宋"/>
          <w:sz w:val="30"/>
          <w:szCs w:val="30"/>
        </w:rPr>
      </w:pPr>
    </w:p>
    <w:p w14:paraId="60742F2F">
      <w:pPr>
        <w:jc w:val="left"/>
        <w:rPr>
          <w:rFonts w:hint="eastAsia" w:ascii="仿宋" w:hAnsi="仿宋" w:eastAsia="仿宋"/>
          <w:sz w:val="30"/>
          <w:szCs w:val="30"/>
        </w:rPr>
      </w:pPr>
      <w:r>
        <w:drawing>
          <wp:anchor distT="0" distB="0" distL="0" distR="0" simplePos="0" relativeHeight="251689984" behindDoc="1" locked="0" layoutInCell="1" allowOverlap="1">
            <wp:simplePos x="0" y="0"/>
            <wp:positionH relativeFrom="column">
              <wp:posOffset>3590925</wp:posOffset>
            </wp:positionH>
            <wp:positionV relativeFrom="paragraph">
              <wp:posOffset>41910</wp:posOffset>
            </wp:positionV>
            <wp:extent cx="1250950" cy="1231900"/>
            <wp:effectExtent l="0" t="0" r="6350" b="6350"/>
            <wp:wrapNone/>
            <wp:docPr id="91" name="IM 4"/>
            <wp:cNvGraphicFramePr/>
            <a:graphic xmlns:a="http://schemas.openxmlformats.org/drawingml/2006/main">
              <a:graphicData uri="http://schemas.openxmlformats.org/drawingml/2006/picture">
                <pic:pic xmlns:pic="http://schemas.openxmlformats.org/drawingml/2006/picture">
                  <pic:nvPicPr>
                    <pic:cNvPr id="91" name="IM 4"/>
                    <pic:cNvPicPr/>
                  </pic:nvPicPr>
                  <pic:blipFill>
                    <a:blip r:embed="rId10"/>
                    <a:stretch>
                      <a:fillRect/>
                    </a:stretch>
                  </pic:blipFill>
                  <pic:spPr>
                    <a:xfrm>
                      <a:off x="0" y="0"/>
                      <a:ext cx="1250950" cy="1231900"/>
                    </a:xfrm>
                    <a:prstGeom prst="rect">
                      <a:avLst/>
                    </a:prstGeom>
                  </pic:spPr>
                </pic:pic>
              </a:graphicData>
            </a:graphic>
          </wp:anchor>
        </w:drawing>
      </w:r>
    </w:p>
    <w:p w14:paraId="0BA5DCB0">
      <w:pPr>
        <w:wordWrap w:val="0"/>
        <w:jc w:val="right"/>
        <w:rPr>
          <w:rFonts w:hint="eastAsia" w:ascii="仿宋" w:hAnsi="仿宋" w:eastAsia="仿宋"/>
          <w:sz w:val="30"/>
          <w:szCs w:val="30"/>
          <w:u w:val="single"/>
        </w:rPr>
      </w:pPr>
      <w:r>
        <w:rPr>
          <w:rFonts w:hint="eastAsia" w:ascii="仿宋" w:hAnsi="仿宋" w:eastAsia="仿宋"/>
          <w:sz w:val="30"/>
          <w:szCs w:val="30"/>
        </w:rPr>
        <w:t xml:space="preserve">     </w:t>
      </w:r>
      <w:r>
        <w:rPr>
          <w:rFonts w:ascii="仿宋" w:hAnsi="仿宋" w:eastAsia="仿宋"/>
          <w:sz w:val="30"/>
          <w:szCs w:val="30"/>
        </w:rPr>
        <w:t xml:space="preserve">    </w:t>
      </w:r>
      <w:r>
        <w:rPr>
          <w:rFonts w:hint="eastAsia" w:ascii="仿宋" w:hAnsi="仿宋" w:eastAsia="仿宋"/>
          <w:sz w:val="30"/>
          <w:szCs w:val="30"/>
        </w:rPr>
        <w:t>委托单位：</w:t>
      </w:r>
      <w:r>
        <w:rPr>
          <w:rFonts w:hint="eastAsia" w:ascii="仿宋" w:hAnsi="仿宋" w:eastAsia="仿宋" w:cs="仿宋"/>
          <w:color w:val="000000"/>
          <w:sz w:val="30"/>
          <w:szCs w:val="30"/>
          <w:highlight w:val="none"/>
          <w:u w:val="single"/>
          <w:lang w:eastAsia="zh-CN"/>
        </w:rPr>
        <w:t>秦皇岛万邦零部件加工有限公司</w:t>
      </w:r>
      <w:r>
        <w:rPr>
          <w:rFonts w:hint="eastAsia" w:ascii="仿宋" w:hAnsi="仿宋" w:eastAsia="仿宋"/>
          <w:sz w:val="30"/>
          <w:szCs w:val="30"/>
          <w:u w:val="single"/>
        </w:rPr>
        <w:t>（公章）</w:t>
      </w:r>
    </w:p>
    <w:p w14:paraId="20B249ED">
      <w:pPr>
        <w:wordWrap w:val="0"/>
        <w:jc w:val="right"/>
        <w:rPr>
          <w:rFonts w:hint="eastAsia" w:ascii="仿宋" w:hAnsi="仿宋" w:eastAsia="仿宋"/>
          <w:sz w:val="30"/>
          <w:szCs w:val="30"/>
        </w:rPr>
      </w:pPr>
      <w:r>
        <w:rPr>
          <w:rFonts w:hint="eastAsia" w:ascii="仿宋" w:hAnsi="仿宋" w:eastAsia="仿宋"/>
          <w:sz w:val="30"/>
          <w:szCs w:val="30"/>
        </w:rPr>
        <w:t xml:space="preserve">                  委托日期：</w:t>
      </w:r>
      <w:r>
        <w:rPr>
          <w:rFonts w:hint="eastAsia" w:ascii="仿宋" w:hAnsi="仿宋" w:eastAsia="仿宋"/>
          <w:sz w:val="30"/>
          <w:szCs w:val="30"/>
          <w:lang w:val="en-US" w:eastAsia="zh-CN"/>
        </w:rPr>
        <w:t>2025</w:t>
      </w:r>
      <w:r>
        <w:rPr>
          <w:rFonts w:ascii="仿宋" w:hAnsi="仿宋" w:eastAsia="仿宋"/>
          <w:sz w:val="30"/>
          <w:szCs w:val="30"/>
        </w:rPr>
        <w:t xml:space="preserve"> </w:t>
      </w:r>
      <w:r>
        <w:rPr>
          <w:rFonts w:hint="eastAsia" w:ascii="仿宋" w:hAnsi="仿宋" w:eastAsia="仿宋"/>
          <w:sz w:val="30"/>
          <w:szCs w:val="30"/>
        </w:rPr>
        <w:t>年</w:t>
      </w:r>
      <w:r>
        <w:rPr>
          <w:rFonts w:hint="eastAsia" w:ascii="仿宋" w:hAnsi="仿宋" w:eastAsia="仿宋"/>
          <w:sz w:val="30"/>
          <w:szCs w:val="30"/>
          <w:lang w:val="en-US" w:eastAsia="zh-CN"/>
        </w:rPr>
        <w:t>6</w:t>
      </w:r>
      <w:r>
        <w:rPr>
          <w:rFonts w:hint="eastAsia" w:ascii="仿宋" w:hAnsi="仿宋" w:eastAsia="仿宋"/>
          <w:sz w:val="30"/>
          <w:szCs w:val="30"/>
        </w:rPr>
        <w:t>月</w:t>
      </w:r>
      <w:r>
        <w:rPr>
          <w:rFonts w:hint="eastAsia" w:ascii="仿宋" w:hAnsi="仿宋" w:eastAsia="仿宋"/>
          <w:sz w:val="30"/>
          <w:szCs w:val="30"/>
          <w:lang w:val="en-US" w:eastAsia="zh-CN"/>
        </w:rPr>
        <w:t>10</w:t>
      </w:r>
      <w:r>
        <w:rPr>
          <w:rFonts w:hint="eastAsia" w:ascii="仿宋" w:hAnsi="仿宋" w:eastAsia="仿宋"/>
          <w:sz w:val="30"/>
          <w:szCs w:val="30"/>
        </w:rPr>
        <w:t>日</w:t>
      </w:r>
    </w:p>
    <w:p w14:paraId="7298150E">
      <w:pPr>
        <w:rPr>
          <w:sz w:val="28"/>
          <w:szCs w:val="28"/>
        </w:rPr>
        <w:sectPr>
          <w:footerReference r:id="rId6" w:type="default"/>
          <w:pgSz w:w="11906" w:h="16838"/>
          <w:pgMar w:top="1440" w:right="1800" w:bottom="1440" w:left="1800" w:header="851" w:footer="992" w:gutter="0"/>
          <w:cols w:space="720" w:num="1"/>
          <w:docGrid w:type="lines" w:linePitch="312" w:charSpace="0"/>
        </w:sectPr>
      </w:pPr>
    </w:p>
    <w:p w14:paraId="04E62698">
      <w:pPr>
        <w:pStyle w:val="34"/>
      </w:pPr>
    </w:p>
    <w:p w14:paraId="63A5C512">
      <w:pPr>
        <w:pStyle w:val="34"/>
      </w:pPr>
    </w:p>
    <w:p w14:paraId="549EACBE">
      <w:pPr>
        <w:pStyle w:val="34"/>
        <w:rPr>
          <w:rFonts w:hint="eastAsia"/>
        </w:rPr>
      </w:pPr>
    </w:p>
    <w:p w14:paraId="5A24ABEE">
      <w:pPr>
        <w:jc w:val="center"/>
        <w:rPr>
          <w:b/>
          <w:bCs/>
          <w:color w:val="000000"/>
          <w:sz w:val="40"/>
          <w:szCs w:val="40"/>
        </w:rPr>
      </w:pPr>
      <w:r>
        <w:rPr>
          <w:b/>
          <w:bCs/>
          <w:color w:val="000000"/>
          <w:sz w:val="40"/>
          <w:szCs w:val="40"/>
        </w:rPr>
        <w:t>承诺书</w:t>
      </w:r>
    </w:p>
    <w:p w14:paraId="6451B66E">
      <w:pPr>
        <w:pStyle w:val="34"/>
      </w:pPr>
    </w:p>
    <w:p w14:paraId="0B4F1ABE">
      <w:pPr>
        <w:spacing w:line="480" w:lineRule="exact"/>
        <w:rPr>
          <w:color w:val="000000"/>
          <w:sz w:val="24"/>
        </w:rPr>
      </w:pPr>
    </w:p>
    <w:p w14:paraId="71FEC254">
      <w:pPr>
        <w:spacing w:line="600" w:lineRule="exact"/>
        <w:ind w:firstLine="600" w:firstLineChars="200"/>
        <w:rPr>
          <w:rFonts w:hint="eastAsia"/>
          <w:color w:val="000000"/>
          <w:sz w:val="30"/>
          <w:szCs w:val="30"/>
        </w:rPr>
      </w:pPr>
      <w:r>
        <w:rPr>
          <w:color w:val="000000"/>
          <w:sz w:val="30"/>
          <w:szCs w:val="30"/>
        </w:rPr>
        <w:t>我单位郑重承诺</w:t>
      </w:r>
      <w:r>
        <w:rPr>
          <w:rFonts w:hint="eastAsia"/>
          <w:color w:val="000000"/>
          <w:sz w:val="30"/>
          <w:szCs w:val="30"/>
        </w:rPr>
        <w:t>，</w:t>
      </w:r>
      <w:r>
        <w:rPr>
          <w:color w:val="000000"/>
          <w:sz w:val="30"/>
          <w:szCs w:val="30"/>
          <w:u w:val="single"/>
        </w:rPr>
        <w:t>《</w:t>
      </w:r>
      <w:r>
        <w:rPr>
          <w:rFonts w:hint="eastAsia" w:ascii="Calibri" w:hAnsi="Calibri" w:eastAsia="宋体" w:cs="Times New Roman"/>
          <w:color w:val="000000"/>
          <w:sz w:val="30"/>
          <w:szCs w:val="30"/>
          <w:u w:val="single"/>
          <w:lang w:eastAsia="zh-CN"/>
        </w:rPr>
        <w:t>秦皇岛万邦零部件加工有限公司新建二车间</w:t>
      </w:r>
      <w:r>
        <w:rPr>
          <w:rFonts w:hint="eastAsia"/>
          <w:color w:val="000000"/>
          <w:sz w:val="30"/>
          <w:szCs w:val="30"/>
          <w:u w:val="single"/>
          <w:lang w:eastAsia="zh-CN"/>
        </w:rPr>
        <w:t>环境影响报告表</w:t>
      </w:r>
      <w:r>
        <w:rPr>
          <w:color w:val="000000"/>
          <w:sz w:val="30"/>
          <w:szCs w:val="30"/>
          <w:u w:val="single"/>
        </w:rPr>
        <w:t>》</w:t>
      </w:r>
      <w:r>
        <w:rPr>
          <w:color w:val="000000"/>
          <w:sz w:val="30"/>
          <w:szCs w:val="30"/>
        </w:rPr>
        <w:t>中</w:t>
      </w:r>
      <w:r>
        <w:rPr>
          <w:rFonts w:hint="eastAsia"/>
          <w:color w:val="000000"/>
          <w:sz w:val="30"/>
          <w:szCs w:val="30"/>
        </w:rPr>
        <w:t>涉及到的相关数据、图纸、文件等资料均由我公司提供，</w:t>
      </w:r>
      <w:r>
        <w:rPr>
          <w:color w:val="000000"/>
          <w:sz w:val="30"/>
          <w:szCs w:val="30"/>
        </w:rPr>
        <w:t>内容、附件均真实有效，本单位自愿承担相应责任。</w:t>
      </w:r>
      <w:r>
        <w:rPr>
          <w:rFonts w:hint="eastAsia"/>
          <w:color w:val="000000"/>
          <w:sz w:val="30"/>
          <w:szCs w:val="30"/>
        </w:rPr>
        <w:t>该</w:t>
      </w:r>
      <w:r>
        <w:rPr>
          <w:rFonts w:hint="eastAsia"/>
          <w:color w:val="000000"/>
          <w:sz w:val="30"/>
          <w:szCs w:val="30"/>
          <w:lang w:eastAsia="zh-CN"/>
        </w:rPr>
        <w:t>环境影响报告表</w:t>
      </w:r>
      <w:r>
        <w:rPr>
          <w:color w:val="000000"/>
          <w:sz w:val="30"/>
          <w:szCs w:val="30"/>
        </w:rPr>
        <w:t>公示版</w:t>
      </w:r>
      <w:r>
        <w:rPr>
          <w:rFonts w:hint="eastAsia"/>
          <w:color w:val="000000"/>
          <w:sz w:val="30"/>
          <w:szCs w:val="30"/>
        </w:rPr>
        <w:t>（已删除</w:t>
      </w:r>
      <w:r>
        <w:rPr>
          <w:color w:val="000000"/>
          <w:sz w:val="30"/>
          <w:szCs w:val="30"/>
        </w:rPr>
        <w:t>涉及国家机密、商业秘密</w:t>
      </w:r>
      <w:r>
        <w:rPr>
          <w:rFonts w:hint="eastAsia"/>
          <w:color w:val="000000"/>
          <w:sz w:val="30"/>
          <w:szCs w:val="30"/>
        </w:rPr>
        <w:t>等内容），</w:t>
      </w:r>
      <w:r>
        <w:rPr>
          <w:color w:val="000000"/>
          <w:sz w:val="30"/>
          <w:szCs w:val="30"/>
        </w:rPr>
        <w:t>不涉及国家机密</w:t>
      </w:r>
      <w:r>
        <w:rPr>
          <w:rFonts w:hint="eastAsia"/>
          <w:color w:val="000000"/>
          <w:sz w:val="30"/>
          <w:szCs w:val="30"/>
        </w:rPr>
        <w:t>、</w:t>
      </w:r>
      <w:r>
        <w:rPr>
          <w:color w:val="000000"/>
          <w:sz w:val="30"/>
          <w:szCs w:val="30"/>
        </w:rPr>
        <w:t>商业秘密和个人隐私，同意</w:t>
      </w:r>
      <w:r>
        <w:rPr>
          <w:rFonts w:hint="eastAsia"/>
          <w:color w:val="000000"/>
          <w:sz w:val="30"/>
          <w:szCs w:val="30"/>
        </w:rPr>
        <w:t>该项目</w:t>
      </w:r>
      <w:r>
        <w:rPr>
          <w:rFonts w:hint="eastAsia"/>
          <w:color w:val="000000"/>
          <w:sz w:val="30"/>
          <w:szCs w:val="30"/>
          <w:lang w:eastAsia="zh-CN"/>
        </w:rPr>
        <w:t>环境影响报告表</w:t>
      </w:r>
      <w:r>
        <w:rPr>
          <w:color w:val="000000"/>
          <w:sz w:val="30"/>
          <w:szCs w:val="30"/>
        </w:rPr>
        <w:t>公示版内容公开。</w:t>
      </w:r>
    </w:p>
    <w:p w14:paraId="7768D773">
      <w:pPr>
        <w:spacing w:line="600" w:lineRule="exact"/>
        <w:ind w:firstLine="600" w:firstLineChars="200"/>
        <w:rPr>
          <w:color w:val="000000"/>
          <w:sz w:val="30"/>
          <w:szCs w:val="30"/>
        </w:rPr>
      </w:pPr>
      <w:r>
        <w:rPr>
          <w:color w:val="000000"/>
          <w:sz w:val="30"/>
          <w:szCs w:val="30"/>
        </w:rPr>
        <w:t>特此承诺</w:t>
      </w:r>
    </w:p>
    <w:p w14:paraId="7171D8CB">
      <w:pPr>
        <w:spacing w:line="700" w:lineRule="exact"/>
        <w:ind w:firstLine="482"/>
        <w:rPr>
          <w:color w:val="000000"/>
          <w:sz w:val="30"/>
          <w:szCs w:val="30"/>
        </w:rPr>
      </w:pPr>
    </w:p>
    <w:p w14:paraId="2A8D926C">
      <w:pPr>
        <w:spacing w:line="700" w:lineRule="exact"/>
        <w:ind w:firstLine="482"/>
        <w:rPr>
          <w:color w:val="000000"/>
          <w:sz w:val="30"/>
          <w:szCs w:val="30"/>
        </w:rPr>
      </w:pPr>
    </w:p>
    <w:p w14:paraId="6BC52E22">
      <w:pPr>
        <w:spacing w:line="700" w:lineRule="exact"/>
        <w:ind w:firstLine="482"/>
        <w:rPr>
          <w:color w:val="000000"/>
          <w:sz w:val="30"/>
          <w:szCs w:val="30"/>
        </w:rPr>
      </w:pPr>
      <w:r>
        <w:drawing>
          <wp:anchor distT="0" distB="0" distL="0" distR="0" simplePos="0" relativeHeight="251691008" behindDoc="1" locked="0" layoutInCell="1" allowOverlap="1">
            <wp:simplePos x="0" y="0"/>
            <wp:positionH relativeFrom="column">
              <wp:posOffset>3528060</wp:posOffset>
            </wp:positionH>
            <wp:positionV relativeFrom="paragraph">
              <wp:posOffset>173990</wp:posOffset>
            </wp:positionV>
            <wp:extent cx="1250950" cy="1231900"/>
            <wp:effectExtent l="0" t="0" r="6350" b="6350"/>
            <wp:wrapNone/>
            <wp:docPr id="92" name="IM 4"/>
            <wp:cNvGraphicFramePr/>
            <a:graphic xmlns:a="http://schemas.openxmlformats.org/drawingml/2006/main">
              <a:graphicData uri="http://schemas.openxmlformats.org/drawingml/2006/picture">
                <pic:pic xmlns:pic="http://schemas.openxmlformats.org/drawingml/2006/picture">
                  <pic:nvPicPr>
                    <pic:cNvPr id="92" name="IM 4"/>
                    <pic:cNvPicPr/>
                  </pic:nvPicPr>
                  <pic:blipFill>
                    <a:blip r:embed="rId10"/>
                    <a:stretch>
                      <a:fillRect/>
                    </a:stretch>
                  </pic:blipFill>
                  <pic:spPr>
                    <a:xfrm>
                      <a:off x="0" y="0"/>
                      <a:ext cx="1250950" cy="1231900"/>
                    </a:xfrm>
                    <a:prstGeom prst="rect">
                      <a:avLst/>
                    </a:prstGeom>
                  </pic:spPr>
                </pic:pic>
              </a:graphicData>
            </a:graphic>
          </wp:anchor>
        </w:drawing>
      </w:r>
    </w:p>
    <w:p w14:paraId="763AAB48">
      <w:pPr>
        <w:wordWrap w:val="0"/>
        <w:spacing w:line="700" w:lineRule="exact"/>
        <w:ind w:firstLine="482"/>
        <w:jc w:val="right"/>
        <w:rPr>
          <w:rFonts w:hint="eastAsia" w:eastAsia="宋体"/>
          <w:color w:val="000000"/>
          <w:sz w:val="30"/>
          <w:szCs w:val="30"/>
          <w:lang w:eastAsia="zh-CN"/>
        </w:rPr>
      </w:pPr>
      <w:r>
        <w:rPr>
          <w:color w:val="000000"/>
          <w:sz w:val="30"/>
          <w:szCs w:val="30"/>
        </w:rPr>
        <w:t xml:space="preserve">             单位：</w:t>
      </w:r>
      <w:r>
        <w:rPr>
          <w:rFonts w:hint="eastAsia" w:ascii="Calibri" w:hAnsi="Calibri" w:eastAsia="宋体" w:cs="Times New Roman"/>
          <w:color w:val="000000"/>
          <w:sz w:val="30"/>
          <w:szCs w:val="30"/>
          <w:u w:val="none"/>
          <w:lang w:eastAsia="zh-CN"/>
        </w:rPr>
        <w:t>秦皇岛万邦零部件加工有限公司</w:t>
      </w:r>
    </w:p>
    <w:p w14:paraId="3F56773B">
      <w:pPr>
        <w:wordWrap w:val="0"/>
        <w:spacing w:line="700" w:lineRule="exact"/>
        <w:ind w:firstLine="482"/>
        <w:jc w:val="right"/>
        <w:rPr>
          <w:color w:val="000000"/>
          <w:sz w:val="30"/>
          <w:szCs w:val="30"/>
        </w:rPr>
      </w:pPr>
      <w:r>
        <w:rPr>
          <w:color w:val="000000"/>
          <w:sz w:val="30"/>
          <w:szCs w:val="30"/>
        </w:rPr>
        <w:t xml:space="preserve">  </w:t>
      </w:r>
      <w:r>
        <w:rPr>
          <w:rFonts w:hint="eastAsia"/>
          <w:color w:val="000000"/>
          <w:sz w:val="30"/>
          <w:szCs w:val="30"/>
          <w:lang w:val="en-US" w:eastAsia="zh-CN"/>
        </w:rPr>
        <w:t>2025</w:t>
      </w:r>
      <w:r>
        <w:rPr>
          <w:color w:val="000000"/>
          <w:sz w:val="30"/>
          <w:szCs w:val="30"/>
        </w:rPr>
        <w:t>年</w:t>
      </w:r>
      <w:r>
        <w:rPr>
          <w:rFonts w:hint="eastAsia"/>
          <w:color w:val="000000"/>
          <w:sz w:val="30"/>
          <w:szCs w:val="30"/>
          <w:lang w:val="en-US" w:eastAsia="zh-CN"/>
        </w:rPr>
        <w:t>9</w:t>
      </w:r>
      <w:r>
        <w:rPr>
          <w:color w:val="000000"/>
          <w:sz w:val="30"/>
          <w:szCs w:val="30"/>
        </w:rPr>
        <w:t>月</w:t>
      </w:r>
      <w:r>
        <w:rPr>
          <w:rFonts w:hint="eastAsia"/>
          <w:color w:val="000000"/>
          <w:sz w:val="30"/>
          <w:szCs w:val="30"/>
          <w:lang w:val="en-US" w:eastAsia="zh-CN"/>
        </w:rPr>
        <w:t>5</w:t>
      </w:r>
      <w:r>
        <w:rPr>
          <w:color w:val="000000"/>
          <w:sz w:val="30"/>
          <w:szCs w:val="30"/>
        </w:rPr>
        <w:t>日</w:t>
      </w:r>
    </w:p>
    <w:p w14:paraId="729DEC2A">
      <w:pPr>
        <w:jc w:val="center"/>
        <w:rPr>
          <w:rFonts w:eastAsia="黑体"/>
          <w:color w:val="000000"/>
          <w:sz w:val="36"/>
        </w:rPr>
      </w:pPr>
    </w:p>
    <w:p w14:paraId="0F0BE6E4">
      <w:pPr>
        <w:jc w:val="center"/>
        <w:rPr>
          <w:rFonts w:eastAsia="黑体"/>
          <w:color w:val="000000"/>
          <w:sz w:val="36"/>
        </w:rPr>
      </w:pPr>
    </w:p>
    <w:p w14:paraId="1CA7F607">
      <w:pPr>
        <w:jc w:val="center"/>
        <w:rPr>
          <w:rFonts w:eastAsia="黑体"/>
          <w:color w:val="000000"/>
          <w:sz w:val="36"/>
        </w:rPr>
      </w:pPr>
    </w:p>
    <w:p w14:paraId="01F96AB3">
      <w:pPr>
        <w:jc w:val="center"/>
        <w:rPr>
          <w:rFonts w:eastAsia="黑体"/>
          <w:color w:val="000000"/>
          <w:sz w:val="36"/>
        </w:rPr>
      </w:pPr>
    </w:p>
    <w:p w14:paraId="3A1820E0"/>
    <w:p w14:paraId="5DDAC42F">
      <w:pPr>
        <w:rPr>
          <w:sz w:val="28"/>
          <w:szCs w:val="28"/>
        </w:rPr>
        <w:sectPr>
          <w:pgSz w:w="11906" w:h="16838"/>
          <w:pgMar w:top="1440" w:right="1800" w:bottom="1440" w:left="1800" w:header="851" w:footer="992" w:gutter="0"/>
          <w:cols w:space="720" w:num="1"/>
          <w:docGrid w:type="lines" w:linePitch="312" w:charSpace="0"/>
        </w:sectPr>
      </w:pPr>
    </w:p>
    <w:p w14:paraId="30293694">
      <w:pPr>
        <w:pStyle w:val="34"/>
        <w:ind w:left="5250"/>
      </w:pPr>
    </w:p>
    <w:p w14:paraId="3EC70BFE">
      <w:pPr>
        <w:pStyle w:val="34"/>
        <w:ind w:left="5250"/>
      </w:pPr>
    </w:p>
    <w:p w14:paraId="0CEBD85E">
      <w:pPr>
        <w:pStyle w:val="34"/>
        <w:ind w:left="5250"/>
        <w:rPr>
          <w:rFonts w:hint="eastAsia"/>
        </w:rPr>
      </w:pPr>
    </w:p>
    <w:p w14:paraId="4352BCCA">
      <w:pPr>
        <w:jc w:val="center"/>
        <w:rPr>
          <w:b/>
          <w:bCs/>
          <w:color w:val="000000"/>
          <w:sz w:val="40"/>
          <w:szCs w:val="40"/>
        </w:rPr>
      </w:pPr>
      <w:r>
        <w:rPr>
          <w:b/>
          <w:bCs/>
          <w:color w:val="000000"/>
          <w:sz w:val="40"/>
          <w:szCs w:val="40"/>
        </w:rPr>
        <w:t>承诺书</w:t>
      </w:r>
    </w:p>
    <w:p w14:paraId="7DCAEB1F">
      <w:pPr>
        <w:pStyle w:val="34"/>
        <w:ind w:left="5250"/>
      </w:pPr>
    </w:p>
    <w:p w14:paraId="23468CCC">
      <w:pPr>
        <w:spacing w:line="480" w:lineRule="exact"/>
        <w:rPr>
          <w:color w:val="000000"/>
          <w:sz w:val="24"/>
        </w:rPr>
      </w:pPr>
    </w:p>
    <w:p w14:paraId="1DC84B83">
      <w:pPr>
        <w:spacing w:line="600" w:lineRule="exact"/>
        <w:ind w:firstLine="600" w:firstLineChars="200"/>
        <w:rPr>
          <w:rFonts w:hint="eastAsia" w:ascii="仿宋" w:hAnsi="仿宋" w:eastAsia="仿宋"/>
          <w:snapToGrid w:val="0"/>
          <w:kern w:val="0"/>
          <w:sz w:val="30"/>
          <w:szCs w:val="30"/>
        </w:rPr>
      </w:pPr>
      <w:r>
        <w:rPr>
          <w:rFonts w:hint="eastAsia" w:ascii="仿宋" w:hAnsi="仿宋" w:eastAsia="仿宋"/>
          <w:snapToGrid w:val="0"/>
          <w:kern w:val="0"/>
          <w:sz w:val="30"/>
          <w:szCs w:val="30"/>
        </w:rPr>
        <w:t>我公司郑重承诺，</w:t>
      </w:r>
      <w:r>
        <w:rPr>
          <w:rFonts w:ascii="仿宋" w:hAnsi="仿宋" w:eastAsia="仿宋"/>
          <w:snapToGrid w:val="0"/>
          <w:kern w:val="0"/>
          <w:sz w:val="30"/>
          <w:szCs w:val="30"/>
          <w:u w:val="single"/>
        </w:rPr>
        <w:t>《</w:t>
      </w:r>
      <w:r>
        <w:rPr>
          <w:rFonts w:hint="eastAsia" w:ascii="仿宋" w:hAnsi="仿宋" w:eastAsia="仿宋" w:cs="Times New Roman"/>
          <w:snapToGrid w:val="0"/>
          <w:kern w:val="0"/>
          <w:sz w:val="30"/>
          <w:szCs w:val="30"/>
          <w:u w:val="single"/>
          <w:lang w:eastAsia="zh-CN"/>
        </w:rPr>
        <w:t>秦皇岛万邦零部件加工有限公司新建二车间环境影响报告表</w:t>
      </w:r>
      <w:r>
        <w:rPr>
          <w:rFonts w:ascii="仿宋" w:hAnsi="仿宋" w:eastAsia="仿宋"/>
          <w:snapToGrid w:val="0"/>
          <w:kern w:val="0"/>
          <w:sz w:val="30"/>
          <w:szCs w:val="30"/>
          <w:u w:val="single"/>
        </w:rPr>
        <w:t>》</w:t>
      </w:r>
      <w:r>
        <w:rPr>
          <w:rFonts w:hint="eastAsia" w:ascii="仿宋" w:hAnsi="仿宋" w:eastAsia="仿宋"/>
          <w:snapToGrid w:val="0"/>
          <w:kern w:val="0"/>
          <w:sz w:val="30"/>
          <w:szCs w:val="30"/>
        </w:rPr>
        <w:t>中的评价内容真实有效，我公司自愿承担相应责任。该项目环境影响评价报告内容不涉及国家机密、商业秘密和个人隐私，同意全本内容公开。</w:t>
      </w:r>
    </w:p>
    <w:p w14:paraId="55C6B62B">
      <w:pPr>
        <w:spacing w:line="600" w:lineRule="exact"/>
        <w:ind w:firstLine="600" w:firstLineChars="200"/>
        <w:rPr>
          <w:rFonts w:ascii="仿宋" w:hAnsi="仿宋" w:eastAsia="仿宋"/>
          <w:snapToGrid w:val="0"/>
          <w:kern w:val="0"/>
          <w:sz w:val="30"/>
          <w:szCs w:val="30"/>
        </w:rPr>
      </w:pPr>
      <w:r>
        <w:rPr>
          <w:rFonts w:hint="eastAsia" w:ascii="仿宋" w:hAnsi="仿宋" w:eastAsia="仿宋"/>
          <w:snapToGrid w:val="0"/>
          <w:kern w:val="0"/>
          <w:sz w:val="30"/>
          <w:szCs w:val="30"/>
        </w:rPr>
        <w:t>特此承诺</w:t>
      </w:r>
    </w:p>
    <w:p w14:paraId="73163965">
      <w:pPr>
        <w:pStyle w:val="34"/>
        <w:ind w:left="5250" w:firstLine="600"/>
        <w:rPr>
          <w:rFonts w:hint="eastAsia" w:ascii="仿宋" w:hAnsi="仿宋" w:eastAsia="仿宋"/>
          <w:snapToGrid w:val="0"/>
          <w:kern w:val="0"/>
          <w:sz w:val="30"/>
          <w:szCs w:val="30"/>
        </w:rPr>
      </w:pPr>
    </w:p>
    <w:p w14:paraId="7C00F1F5">
      <w:pPr>
        <w:spacing w:line="700" w:lineRule="exact"/>
        <w:ind w:firstLine="482"/>
        <w:rPr>
          <w:rFonts w:ascii="仿宋" w:hAnsi="仿宋" w:eastAsia="仿宋"/>
          <w:snapToGrid w:val="0"/>
          <w:kern w:val="0"/>
          <w:sz w:val="30"/>
          <w:szCs w:val="30"/>
        </w:rPr>
      </w:pPr>
      <w:r>
        <w:rPr>
          <w:rFonts w:hint="eastAsia" w:ascii="仿宋" w:hAnsi="仿宋" w:eastAsia="仿宋"/>
          <w:snapToGrid w:val="0"/>
          <w:kern w:val="0"/>
          <w:sz w:val="30"/>
          <w:szCs w:val="30"/>
        </w:rPr>
        <w:drawing>
          <wp:anchor distT="0" distB="0" distL="114300" distR="114300" simplePos="0" relativeHeight="251672576" behindDoc="1" locked="0" layoutInCell="1" allowOverlap="1">
            <wp:simplePos x="0" y="0"/>
            <wp:positionH relativeFrom="column">
              <wp:posOffset>3268345</wp:posOffset>
            </wp:positionH>
            <wp:positionV relativeFrom="paragraph">
              <wp:posOffset>345440</wp:posOffset>
            </wp:positionV>
            <wp:extent cx="1475740" cy="1496060"/>
            <wp:effectExtent l="0" t="0" r="10160" b="8890"/>
            <wp:wrapNone/>
            <wp:docPr id="28" name="图片 3" descr="169225511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descr="1692255117345"/>
                    <pic:cNvPicPr>
                      <a:picLocks noChangeAspect="1"/>
                    </pic:cNvPicPr>
                  </pic:nvPicPr>
                  <pic:blipFill>
                    <a:blip r:embed="rId11"/>
                    <a:stretch>
                      <a:fillRect/>
                    </a:stretch>
                  </pic:blipFill>
                  <pic:spPr>
                    <a:xfrm>
                      <a:off x="0" y="0"/>
                      <a:ext cx="1475740" cy="1496060"/>
                    </a:xfrm>
                    <a:prstGeom prst="rect">
                      <a:avLst/>
                    </a:prstGeom>
                    <a:noFill/>
                    <a:ln>
                      <a:noFill/>
                    </a:ln>
                  </pic:spPr>
                </pic:pic>
              </a:graphicData>
            </a:graphic>
          </wp:anchor>
        </w:drawing>
      </w:r>
    </w:p>
    <w:p w14:paraId="04BF022F">
      <w:pPr>
        <w:spacing w:line="700" w:lineRule="exact"/>
        <w:ind w:firstLine="482"/>
        <w:rPr>
          <w:rFonts w:hint="eastAsia" w:ascii="仿宋" w:hAnsi="仿宋" w:eastAsia="仿宋"/>
          <w:snapToGrid w:val="0"/>
          <w:kern w:val="0"/>
          <w:sz w:val="30"/>
          <w:szCs w:val="30"/>
        </w:rPr>
      </w:pPr>
    </w:p>
    <w:p w14:paraId="786D8A13">
      <w:pPr>
        <w:wordWrap w:val="0"/>
        <w:spacing w:line="700" w:lineRule="exact"/>
        <w:ind w:firstLine="482"/>
        <w:jc w:val="right"/>
        <w:rPr>
          <w:rFonts w:ascii="仿宋" w:hAnsi="仿宋" w:eastAsia="仿宋"/>
          <w:snapToGrid w:val="0"/>
          <w:kern w:val="0"/>
          <w:sz w:val="30"/>
          <w:szCs w:val="30"/>
        </w:rPr>
      </w:pPr>
      <w:r>
        <w:rPr>
          <w:rFonts w:ascii="仿宋" w:hAnsi="仿宋" w:eastAsia="仿宋"/>
          <w:snapToGrid w:val="0"/>
          <w:kern w:val="0"/>
          <w:sz w:val="30"/>
          <w:szCs w:val="30"/>
        </w:rPr>
        <w:t xml:space="preserve">             单位：</w:t>
      </w:r>
      <w:r>
        <w:rPr>
          <w:rFonts w:hint="eastAsia" w:ascii="仿宋" w:hAnsi="仿宋" w:eastAsia="仿宋"/>
          <w:snapToGrid w:val="0"/>
          <w:kern w:val="0"/>
          <w:sz w:val="30"/>
          <w:szCs w:val="30"/>
        </w:rPr>
        <w:t>秦皇岛意航工程技术有限公司</w:t>
      </w:r>
    </w:p>
    <w:p w14:paraId="16679884">
      <w:pPr>
        <w:wordWrap w:val="0"/>
        <w:spacing w:line="700" w:lineRule="exact"/>
        <w:ind w:firstLine="482"/>
        <w:jc w:val="right"/>
        <w:rPr>
          <w:rFonts w:ascii="仿宋" w:hAnsi="仿宋" w:eastAsia="仿宋"/>
          <w:snapToGrid w:val="0"/>
          <w:kern w:val="0"/>
          <w:sz w:val="30"/>
          <w:szCs w:val="30"/>
        </w:rPr>
      </w:pPr>
      <w:r>
        <w:rPr>
          <w:rFonts w:ascii="仿宋" w:hAnsi="仿宋" w:eastAsia="仿宋"/>
          <w:snapToGrid w:val="0"/>
          <w:kern w:val="0"/>
          <w:sz w:val="30"/>
          <w:szCs w:val="30"/>
        </w:rPr>
        <w:t xml:space="preserve">  </w:t>
      </w:r>
      <w:r>
        <w:rPr>
          <w:rFonts w:hint="eastAsia" w:ascii="仿宋" w:hAnsi="仿宋" w:eastAsia="仿宋"/>
          <w:snapToGrid w:val="0"/>
          <w:kern w:val="0"/>
          <w:sz w:val="30"/>
          <w:szCs w:val="30"/>
          <w:lang w:val="en-US" w:eastAsia="zh-CN"/>
        </w:rPr>
        <w:t>2025</w:t>
      </w:r>
      <w:r>
        <w:rPr>
          <w:rFonts w:ascii="仿宋" w:hAnsi="仿宋" w:eastAsia="仿宋"/>
          <w:snapToGrid w:val="0"/>
          <w:kern w:val="0"/>
          <w:sz w:val="30"/>
          <w:szCs w:val="30"/>
        </w:rPr>
        <w:t>年</w:t>
      </w:r>
      <w:r>
        <w:rPr>
          <w:rFonts w:hint="eastAsia" w:ascii="仿宋" w:hAnsi="仿宋" w:eastAsia="仿宋"/>
          <w:snapToGrid w:val="0"/>
          <w:kern w:val="0"/>
          <w:sz w:val="30"/>
          <w:szCs w:val="30"/>
          <w:lang w:val="en-US" w:eastAsia="zh-CN"/>
        </w:rPr>
        <w:t>9</w:t>
      </w:r>
      <w:r>
        <w:rPr>
          <w:rFonts w:ascii="仿宋" w:hAnsi="仿宋" w:eastAsia="仿宋"/>
          <w:snapToGrid w:val="0"/>
          <w:kern w:val="0"/>
          <w:sz w:val="30"/>
          <w:szCs w:val="30"/>
        </w:rPr>
        <w:t>月</w:t>
      </w:r>
      <w:r>
        <w:rPr>
          <w:rFonts w:hint="eastAsia" w:ascii="仿宋" w:hAnsi="仿宋" w:eastAsia="仿宋"/>
          <w:snapToGrid w:val="0"/>
          <w:kern w:val="0"/>
          <w:sz w:val="30"/>
          <w:szCs w:val="30"/>
          <w:lang w:val="en-US" w:eastAsia="zh-CN"/>
        </w:rPr>
        <w:t>5</w:t>
      </w:r>
      <w:r>
        <w:rPr>
          <w:rFonts w:ascii="仿宋" w:hAnsi="仿宋" w:eastAsia="仿宋"/>
          <w:snapToGrid w:val="0"/>
          <w:kern w:val="0"/>
          <w:sz w:val="30"/>
          <w:szCs w:val="30"/>
        </w:rPr>
        <w:t>日</w:t>
      </w:r>
    </w:p>
    <w:p w14:paraId="33E32A29">
      <w:pPr>
        <w:jc w:val="center"/>
        <w:rPr>
          <w:rFonts w:eastAsia="黑体"/>
          <w:color w:val="000000"/>
          <w:sz w:val="36"/>
        </w:rPr>
      </w:pPr>
    </w:p>
    <w:p w14:paraId="16D245C8">
      <w:pPr>
        <w:jc w:val="center"/>
        <w:rPr>
          <w:rFonts w:eastAsia="黑体"/>
          <w:color w:val="000000"/>
          <w:sz w:val="36"/>
        </w:rPr>
      </w:pPr>
    </w:p>
    <w:p w14:paraId="2BDFC95C">
      <w:pPr>
        <w:jc w:val="center"/>
        <w:rPr>
          <w:rFonts w:eastAsia="黑体"/>
          <w:color w:val="000000"/>
          <w:sz w:val="36"/>
        </w:rPr>
      </w:pPr>
    </w:p>
    <w:p w14:paraId="373D71AA">
      <w:pPr>
        <w:jc w:val="center"/>
        <w:rPr>
          <w:rFonts w:eastAsia="黑体"/>
          <w:color w:val="000000"/>
          <w:sz w:val="36"/>
        </w:rPr>
      </w:pPr>
    </w:p>
    <w:p w14:paraId="10BBB6C0">
      <w:pPr>
        <w:rPr>
          <w:sz w:val="28"/>
          <w:szCs w:val="28"/>
        </w:rPr>
        <w:sectPr>
          <w:pgSz w:w="11906" w:h="16838"/>
          <w:pgMar w:top="1440" w:right="1800" w:bottom="1440" w:left="1800" w:header="851" w:footer="992" w:gutter="0"/>
          <w:cols w:space="720" w:num="1"/>
          <w:docGrid w:type="lines" w:linePitch="312" w:charSpace="0"/>
        </w:sectPr>
      </w:pPr>
    </w:p>
    <w:p w14:paraId="024A5514">
      <w:pPr>
        <w:jc w:val="both"/>
        <w:rPr>
          <w:rFonts w:hint="eastAsia"/>
          <w:b/>
          <w:bCs/>
          <w:sz w:val="32"/>
          <w:szCs w:val="40"/>
        </w:rPr>
      </w:pPr>
    </w:p>
    <w:p w14:paraId="7B012D3C">
      <w:pPr>
        <w:jc w:val="center"/>
        <w:rPr>
          <w:rFonts w:hint="eastAsia"/>
          <w:b/>
          <w:bCs/>
          <w:sz w:val="32"/>
          <w:szCs w:val="40"/>
        </w:rPr>
      </w:pPr>
      <w:r>
        <w:rPr>
          <w:rFonts w:hint="eastAsia"/>
          <w:b/>
          <w:bCs/>
          <w:sz w:val="32"/>
          <w:szCs w:val="40"/>
        </w:rPr>
        <w:t>确认证明</w:t>
      </w:r>
    </w:p>
    <w:p w14:paraId="7977B4FE">
      <w:pPr>
        <w:spacing w:line="360" w:lineRule="auto"/>
        <w:ind w:firstLine="560" w:firstLineChars="200"/>
        <w:rPr>
          <w:rFonts w:hint="eastAsia" w:ascii="宋体" w:hAnsi="宋体" w:cs="宋体"/>
          <w:sz w:val="28"/>
          <w:szCs w:val="36"/>
        </w:rPr>
      </w:pPr>
    </w:p>
    <w:p w14:paraId="6829E5C7">
      <w:pPr>
        <w:spacing w:line="360" w:lineRule="auto"/>
        <w:ind w:firstLine="560" w:firstLineChars="200"/>
        <w:rPr>
          <w:rFonts w:hint="eastAsia" w:ascii="宋体" w:hAnsi="宋体" w:cs="宋体"/>
          <w:sz w:val="28"/>
          <w:szCs w:val="36"/>
        </w:rPr>
      </w:pPr>
      <w:r>
        <w:rPr>
          <w:rFonts w:hint="eastAsia" w:ascii="宋体" w:hAnsi="宋体" w:cs="宋体"/>
          <w:sz w:val="28"/>
          <w:szCs w:val="36"/>
        </w:rPr>
        <w:t>秦皇岛意航工程技术有限公司编制的</w:t>
      </w:r>
      <w:r>
        <w:rPr>
          <w:rFonts w:hint="eastAsia" w:ascii="宋体" w:hAnsi="宋体" w:eastAsia="宋体" w:cs="宋体"/>
          <w:sz w:val="28"/>
          <w:szCs w:val="36"/>
          <w:u w:val="single"/>
          <w:lang w:eastAsia="zh-CN"/>
        </w:rPr>
        <w:t>秦皇岛万邦零部件加工有限公司新建二车间</w:t>
      </w:r>
      <w:r>
        <w:rPr>
          <w:rFonts w:hint="eastAsia" w:ascii="宋体" w:hAnsi="宋体" w:cs="宋体"/>
          <w:sz w:val="28"/>
          <w:szCs w:val="36"/>
          <w:lang w:eastAsia="zh-CN"/>
        </w:rPr>
        <w:t>环境影响报告表</w:t>
      </w:r>
      <w:r>
        <w:rPr>
          <w:rFonts w:hint="eastAsia" w:ascii="宋体" w:hAnsi="宋体" w:cs="宋体"/>
          <w:sz w:val="28"/>
          <w:szCs w:val="36"/>
        </w:rPr>
        <w:t>，我单位负责人已认真阅读，并对报告中的项目名称、单位名称、项目基本概况、生产工艺流程、生产设备及环保治理措施表示认同，报告中的评价内容符合我单位的实际情况。我单位对报告中的评价内容和评价结论表示认同。</w:t>
      </w:r>
    </w:p>
    <w:p w14:paraId="1F18A26F">
      <w:pPr>
        <w:spacing w:line="360" w:lineRule="auto"/>
        <w:ind w:firstLine="560" w:firstLineChars="200"/>
        <w:rPr>
          <w:rFonts w:hint="eastAsia" w:ascii="宋体" w:hAnsi="宋体" w:cs="宋体"/>
          <w:sz w:val="28"/>
          <w:szCs w:val="36"/>
        </w:rPr>
      </w:pPr>
      <w:r>
        <w:rPr>
          <w:rFonts w:hint="eastAsia" w:ascii="宋体" w:hAnsi="宋体" w:cs="宋体"/>
          <w:sz w:val="28"/>
          <w:szCs w:val="36"/>
        </w:rPr>
        <w:t>特此证明。</w:t>
      </w:r>
    </w:p>
    <w:p w14:paraId="735ED997">
      <w:pPr>
        <w:rPr>
          <w:rFonts w:hint="eastAsia" w:ascii="宋体" w:hAnsi="宋体" w:cs="宋体"/>
          <w:b/>
          <w:bCs/>
          <w:sz w:val="28"/>
          <w:szCs w:val="36"/>
        </w:rPr>
      </w:pPr>
    </w:p>
    <w:p w14:paraId="51351DC8">
      <w:pPr>
        <w:rPr>
          <w:rFonts w:hint="eastAsia" w:ascii="宋体" w:hAnsi="宋体" w:cs="宋体"/>
          <w:b/>
          <w:bCs/>
          <w:sz w:val="28"/>
          <w:szCs w:val="36"/>
        </w:rPr>
      </w:pPr>
    </w:p>
    <w:p w14:paraId="74923023">
      <w:pPr>
        <w:rPr>
          <w:rFonts w:hint="eastAsia" w:ascii="宋体" w:hAnsi="宋体" w:cs="宋体"/>
          <w:b/>
          <w:bCs/>
          <w:sz w:val="28"/>
          <w:szCs w:val="36"/>
        </w:rPr>
      </w:pPr>
      <w:r>
        <w:drawing>
          <wp:anchor distT="0" distB="0" distL="0" distR="0" simplePos="0" relativeHeight="251692032" behindDoc="1" locked="0" layoutInCell="1" allowOverlap="1">
            <wp:simplePos x="0" y="0"/>
            <wp:positionH relativeFrom="column">
              <wp:posOffset>3535680</wp:posOffset>
            </wp:positionH>
            <wp:positionV relativeFrom="paragraph">
              <wp:posOffset>2540</wp:posOffset>
            </wp:positionV>
            <wp:extent cx="1250950" cy="1231900"/>
            <wp:effectExtent l="0" t="0" r="6350" b="6350"/>
            <wp:wrapNone/>
            <wp:docPr id="93" name="IM 4"/>
            <wp:cNvGraphicFramePr/>
            <a:graphic xmlns:a="http://schemas.openxmlformats.org/drawingml/2006/main">
              <a:graphicData uri="http://schemas.openxmlformats.org/drawingml/2006/picture">
                <pic:pic xmlns:pic="http://schemas.openxmlformats.org/drawingml/2006/picture">
                  <pic:nvPicPr>
                    <pic:cNvPr id="93" name="IM 4"/>
                    <pic:cNvPicPr/>
                  </pic:nvPicPr>
                  <pic:blipFill>
                    <a:blip r:embed="rId10"/>
                    <a:stretch>
                      <a:fillRect/>
                    </a:stretch>
                  </pic:blipFill>
                  <pic:spPr>
                    <a:xfrm>
                      <a:off x="0" y="0"/>
                      <a:ext cx="1250950" cy="1231900"/>
                    </a:xfrm>
                    <a:prstGeom prst="rect">
                      <a:avLst/>
                    </a:prstGeom>
                  </pic:spPr>
                </pic:pic>
              </a:graphicData>
            </a:graphic>
          </wp:anchor>
        </w:drawing>
      </w:r>
    </w:p>
    <w:p w14:paraId="156092FA">
      <w:pPr>
        <w:wordWrap w:val="0"/>
        <w:jc w:val="right"/>
        <w:rPr>
          <w:rFonts w:ascii="宋体" w:hAnsi="宋体" w:cs="宋体"/>
          <w:sz w:val="28"/>
          <w:szCs w:val="36"/>
        </w:rPr>
      </w:pPr>
      <w:r>
        <w:rPr>
          <w:rFonts w:hint="eastAsia" w:ascii="宋体" w:hAnsi="宋体" w:cs="宋体"/>
          <w:sz w:val="28"/>
          <w:szCs w:val="36"/>
        </w:rPr>
        <w:t>单位（公章）</w:t>
      </w:r>
      <w:r>
        <w:rPr>
          <w:rFonts w:hint="eastAsia" w:ascii="宋体" w:hAnsi="宋体" w:cs="宋体"/>
          <w:sz w:val="28"/>
          <w:szCs w:val="36"/>
          <w:u w:val="none"/>
        </w:rPr>
        <w:t>：</w:t>
      </w:r>
      <w:r>
        <w:rPr>
          <w:rFonts w:hint="eastAsia" w:ascii="宋体" w:hAnsi="宋体" w:eastAsia="宋体" w:cs="宋体"/>
          <w:sz w:val="28"/>
          <w:szCs w:val="36"/>
          <w:u w:val="none"/>
          <w:lang w:eastAsia="zh-CN"/>
        </w:rPr>
        <w:t>秦皇岛万邦零部件加工有限公司</w:t>
      </w:r>
      <w:r>
        <w:rPr>
          <w:rFonts w:hint="eastAsia" w:ascii="宋体" w:hAnsi="宋体" w:cs="宋体"/>
          <w:sz w:val="28"/>
          <w:szCs w:val="36"/>
          <w:u w:val="none"/>
        </w:rPr>
        <w:t xml:space="preserve"> </w:t>
      </w:r>
    </w:p>
    <w:p w14:paraId="3E7BF0D6">
      <w:pPr>
        <w:wordWrap w:val="0"/>
        <w:jc w:val="right"/>
        <w:rPr>
          <w:rFonts w:ascii="宋体" w:hAnsi="宋体" w:cs="宋体"/>
          <w:sz w:val="28"/>
          <w:szCs w:val="36"/>
        </w:rPr>
      </w:pPr>
      <w:r>
        <w:rPr>
          <w:rFonts w:hint="eastAsia" w:ascii="宋体" w:hAnsi="宋体" w:cs="宋体"/>
          <w:sz w:val="28"/>
          <w:szCs w:val="36"/>
          <w:lang w:val="en-US" w:eastAsia="zh-CN"/>
        </w:rPr>
        <w:t>2025</w:t>
      </w:r>
      <w:r>
        <w:rPr>
          <w:rFonts w:hint="eastAsia" w:ascii="宋体" w:hAnsi="宋体" w:cs="宋体"/>
          <w:sz w:val="28"/>
          <w:szCs w:val="36"/>
        </w:rPr>
        <w:t>年</w:t>
      </w:r>
      <w:r>
        <w:rPr>
          <w:rFonts w:hint="eastAsia" w:ascii="宋体" w:hAnsi="宋体" w:cs="宋体"/>
          <w:sz w:val="28"/>
          <w:szCs w:val="36"/>
          <w:lang w:val="en-US" w:eastAsia="zh-CN"/>
        </w:rPr>
        <w:t>9</w:t>
      </w:r>
      <w:r>
        <w:rPr>
          <w:rFonts w:hint="eastAsia" w:ascii="宋体" w:hAnsi="宋体" w:cs="宋体"/>
          <w:sz w:val="28"/>
          <w:szCs w:val="36"/>
        </w:rPr>
        <w:t>月</w:t>
      </w:r>
      <w:r>
        <w:rPr>
          <w:rFonts w:hint="eastAsia" w:ascii="宋体" w:hAnsi="宋体" w:cs="宋体"/>
          <w:sz w:val="28"/>
          <w:szCs w:val="36"/>
          <w:lang w:val="en-US" w:eastAsia="zh-CN"/>
        </w:rPr>
        <w:t>5</w:t>
      </w:r>
      <w:r>
        <w:rPr>
          <w:rFonts w:hint="eastAsia" w:ascii="宋体" w:hAnsi="宋体" w:cs="宋体"/>
          <w:sz w:val="28"/>
          <w:szCs w:val="36"/>
        </w:rPr>
        <w:t xml:space="preserve">日 </w:t>
      </w:r>
    </w:p>
    <w:p w14:paraId="0C9EB1DE">
      <w:pPr>
        <w:rPr>
          <w:sz w:val="28"/>
          <w:szCs w:val="28"/>
        </w:rPr>
        <w:sectPr>
          <w:pgSz w:w="11906" w:h="16838"/>
          <w:pgMar w:top="1440" w:right="1800" w:bottom="1440" w:left="1800" w:header="851" w:footer="992" w:gutter="0"/>
          <w:cols w:space="720" w:num="1"/>
          <w:docGrid w:type="lines" w:linePitch="312" w:charSpace="0"/>
        </w:sectPr>
      </w:pPr>
    </w:p>
    <w:p w14:paraId="04C183C5">
      <w:pPr>
        <w:pStyle w:val="34"/>
      </w:pPr>
    </w:p>
    <w:p w14:paraId="7D302D7E">
      <w:pPr>
        <w:pStyle w:val="34"/>
      </w:pPr>
    </w:p>
    <w:p w14:paraId="425176E6">
      <w:pPr>
        <w:jc w:val="center"/>
        <w:rPr>
          <w:rFonts w:hint="eastAsia"/>
          <w:b/>
          <w:bCs/>
          <w:color w:val="000000"/>
          <w:sz w:val="36"/>
          <w:szCs w:val="32"/>
        </w:rPr>
      </w:pPr>
      <w:r>
        <w:rPr>
          <w:rFonts w:hint="eastAsia"/>
          <w:b/>
          <w:bCs/>
          <w:color w:val="000000"/>
          <w:sz w:val="36"/>
          <w:szCs w:val="32"/>
        </w:rPr>
        <w:t>无环境违法情况的</w:t>
      </w:r>
      <w:r>
        <w:rPr>
          <w:b/>
          <w:bCs/>
          <w:color w:val="000000"/>
          <w:sz w:val="36"/>
          <w:szCs w:val="32"/>
        </w:rPr>
        <w:t>说明</w:t>
      </w:r>
    </w:p>
    <w:p w14:paraId="6DB9794A">
      <w:pPr>
        <w:pStyle w:val="34"/>
      </w:pPr>
    </w:p>
    <w:p w14:paraId="77147351">
      <w:pPr>
        <w:spacing w:line="480" w:lineRule="exact"/>
        <w:rPr>
          <w:color w:val="000000"/>
          <w:sz w:val="24"/>
        </w:rPr>
      </w:pPr>
    </w:p>
    <w:p w14:paraId="1CBE006E">
      <w:pPr>
        <w:spacing w:line="700" w:lineRule="exact"/>
        <w:ind w:firstLine="482"/>
        <w:rPr>
          <w:rFonts w:hint="eastAsia"/>
          <w:color w:val="000000"/>
          <w:sz w:val="28"/>
          <w:szCs w:val="28"/>
        </w:rPr>
      </w:pPr>
      <w:r>
        <w:rPr>
          <w:rFonts w:hint="eastAsia"/>
          <w:color w:val="000000"/>
          <w:sz w:val="28"/>
          <w:szCs w:val="28"/>
        </w:rPr>
        <w:t>我公司严格按照环评法律法规及行政审批部门的要求开展</w:t>
      </w:r>
      <w:r>
        <w:rPr>
          <w:rFonts w:hint="eastAsia" w:ascii="宋体" w:hAnsi="宋体" w:eastAsia="宋体" w:cs="宋体"/>
          <w:sz w:val="28"/>
          <w:szCs w:val="36"/>
          <w:u w:val="single"/>
          <w:lang w:eastAsia="zh-CN"/>
        </w:rPr>
        <w:t>秦皇岛万邦零部件加工有限公司新建二车间</w:t>
      </w:r>
      <w:r>
        <w:rPr>
          <w:rFonts w:hint="eastAsia"/>
          <w:color w:val="000000"/>
          <w:sz w:val="28"/>
          <w:szCs w:val="28"/>
        </w:rPr>
        <w:t>环境影响评价的各项工作，不存在未批先建等情况。向行政审批部门和环境影响评价单位提供的相关资料、文件等均真实有效，不存在弄虚作假行为。我公司在开展</w:t>
      </w:r>
      <w:r>
        <w:rPr>
          <w:rFonts w:hint="eastAsia" w:ascii="宋体" w:hAnsi="宋体" w:eastAsia="宋体" w:cs="宋体"/>
          <w:sz w:val="28"/>
          <w:szCs w:val="36"/>
          <w:u w:val="single"/>
          <w:lang w:eastAsia="zh-CN"/>
        </w:rPr>
        <w:t>秦皇岛万邦零部件加工有限公司新建二车间</w:t>
      </w:r>
      <w:r>
        <w:rPr>
          <w:rFonts w:hint="eastAsia"/>
          <w:color w:val="000000"/>
          <w:sz w:val="28"/>
          <w:szCs w:val="28"/>
        </w:rPr>
        <w:t>环境影响评价过程中不存在环评违法行为。</w:t>
      </w:r>
    </w:p>
    <w:p w14:paraId="6042B9E2">
      <w:pPr>
        <w:spacing w:line="700" w:lineRule="exact"/>
        <w:ind w:firstLine="482"/>
        <w:rPr>
          <w:color w:val="000000"/>
          <w:sz w:val="28"/>
          <w:szCs w:val="28"/>
        </w:rPr>
      </w:pPr>
      <w:r>
        <w:rPr>
          <w:rFonts w:hint="eastAsia"/>
          <w:color w:val="000000"/>
          <w:sz w:val="28"/>
          <w:szCs w:val="28"/>
        </w:rPr>
        <w:t>特此说明！</w:t>
      </w:r>
    </w:p>
    <w:p w14:paraId="0362098F">
      <w:pPr>
        <w:spacing w:line="700" w:lineRule="exact"/>
        <w:ind w:firstLine="482"/>
        <w:rPr>
          <w:color w:val="000000"/>
          <w:sz w:val="24"/>
        </w:rPr>
      </w:pPr>
      <w:r>
        <w:drawing>
          <wp:anchor distT="0" distB="0" distL="0" distR="0" simplePos="0" relativeHeight="251693056" behindDoc="1" locked="0" layoutInCell="1" allowOverlap="1">
            <wp:simplePos x="0" y="0"/>
            <wp:positionH relativeFrom="column">
              <wp:posOffset>3472180</wp:posOffset>
            </wp:positionH>
            <wp:positionV relativeFrom="paragraph">
              <wp:posOffset>210185</wp:posOffset>
            </wp:positionV>
            <wp:extent cx="1250950" cy="1231900"/>
            <wp:effectExtent l="0" t="0" r="6350" b="6350"/>
            <wp:wrapNone/>
            <wp:docPr id="94" name="IM 4"/>
            <wp:cNvGraphicFramePr/>
            <a:graphic xmlns:a="http://schemas.openxmlformats.org/drawingml/2006/main">
              <a:graphicData uri="http://schemas.openxmlformats.org/drawingml/2006/picture">
                <pic:pic xmlns:pic="http://schemas.openxmlformats.org/drawingml/2006/picture">
                  <pic:nvPicPr>
                    <pic:cNvPr id="94" name="IM 4"/>
                    <pic:cNvPicPr/>
                  </pic:nvPicPr>
                  <pic:blipFill>
                    <a:blip r:embed="rId10"/>
                    <a:stretch>
                      <a:fillRect/>
                    </a:stretch>
                  </pic:blipFill>
                  <pic:spPr>
                    <a:xfrm>
                      <a:off x="0" y="0"/>
                      <a:ext cx="1250950" cy="1231900"/>
                    </a:xfrm>
                    <a:prstGeom prst="rect">
                      <a:avLst/>
                    </a:prstGeom>
                  </pic:spPr>
                </pic:pic>
              </a:graphicData>
            </a:graphic>
          </wp:anchor>
        </w:drawing>
      </w:r>
    </w:p>
    <w:p w14:paraId="2ABFF021">
      <w:pPr>
        <w:spacing w:line="700" w:lineRule="exact"/>
        <w:ind w:firstLine="482"/>
        <w:jc w:val="right"/>
        <w:rPr>
          <w:color w:val="000000"/>
          <w:sz w:val="28"/>
          <w:szCs w:val="28"/>
        </w:rPr>
      </w:pPr>
      <w:r>
        <w:rPr>
          <w:color w:val="000000"/>
          <w:sz w:val="28"/>
          <w:szCs w:val="28"/>
        </w:rPr>
        <w:t xml:space="preserve">             单位：</w:t>
      </w:r>
      <w:r>
        <w:rPr>
          <w:rFonts w:hint="eastAsia" w:ascii="宋体" w:hAnsi="宋体" w:eastAsia="宋体" w:cs="宋体"/>
          <w:sz w:val="28"/>
          <w:szCs w:val="36"/>
          <w:u w:val="none"/>
          <w:lang w:eastAsia="zh-CN"/>
        </w:rPr>
        <w:t>秦皇岛万邦零部件加工有限公司</w:t>
      </w:r>
      <w:r>
        <w:rPr>
          <w:rFonts w:hint="eastAsia"/>
          <w:color w:val="000000"/>
          <w:sz w:val="28"/>
          <w:szCs w:val="28"/>
          <w:u w:val="none"/>
        </w:rPr>
        <w:t xml:space="preserve"> </w:t>
      </w:r>
      <w:r>
        <w:rPr>
          <w:rFonts w:hint="eastAsia"/>
          <w:color w:val="000000"/>
          <w:sz w:val="28"/>
          <w:szCs w:val="28"/>
        </w:rPr>
        <w:t xml:space="preserve">   </w:t>
      </w:r>
    </w:p>
    <w:p w14:paraId="5BE313D3">
      <w:pPr>
        <w:spacing w:line="700" w:lineRule="exact"/>
        <w:ind w:firstLine="482"/>
        <w:jc w:val="right"/>
        <w:rPr>
          <w:color w:val="000000"/>
          <w:sz w:val="28"/>
          <w:szCs w:val="28"/>
        </w:rPr>
      </w:pPr>
      <w:r>
        <w:rPr>
          <w:rFonts w:hint="eastAsia"/>
          <w:color w:val="000000"/>
          <w:sz w:val="28"/>
          <w:szCs w:val="28"/>
          <w:lang w:val="en-US" w:eastAsia="zh-CN"/>
        </w:rPr>
        <w:t>2025</w:t>
      </w:r>
      <w:r>
        <w:rPr>
          <w:color w:val="000000"/>
          <w:sz w:val="28"/>
          <w:szCs w:val="28"/>
        </w:rPr>
        <w:t>年</w:t>
      </w:r>
      <w:r>
        <w:rPr>
          <w:rFonts w:hint="eastAsia"/>
          <w:color w:val="000000"/>
          <w:sz w:val="28"/>
          <w:szCs w:val="28"/>
          <w:lang w:val="en-US" w:eastAsia="zh-CN"/>
        </w:rPr>
        <w:t>9</w:t>
      </w:r>
      <w:r>
        <w:rPr>
          <w:color w:val="000000"/>
          <w:sz w:val="28"/>
          <w:szCs w:val="28"/>
        </w:rPr>
        <w:t>月</w:t>
      </w:r>
      <w:r>
        <w:rPr>
          <w:rFonts w:hint="eastAsia"/>
          <w:color w:val="000000"/>
          <w:sz w:val="28"/>
          <w:szCs w:val="28"/>
          <w:lang w:val="en-US" w:eastAsia="zh-CN"/>
        </w:rPr>
        <w:t>5</w:t>
      </w:r>
      <w:r>
        <w:rPr>
          <w:color w:val="000000"/>
          <w:sz w:val="28"/>
          <w:szCs w:val="28"/>
        </w:rPr>
        <w:t>日</w:t>
      </w:r>
      <w:r>
        <w:rPr>
          <w:rFonts w:hint="eastAsia"/>
          <w:color w:val="000000"/>
          <w:sz w:val="28"/>
          <w:szCs w:val="28"/>
        </w:rPr>
        <w:t xml:space="preserve"> </w:t>
      </w:r>
      <w:r>
        <w:rPr>
          <w:color w:val="000000"/>
          <w:sz w:val="28"/>
          <w:szCs w:val="28"/>
        </w:rPr>
        <w:t xml:space="preserve">   </w:t>
      </w:r>
    </w:p>
    <w:p w14:paraId="0F7B078C">
      <w:pPr>
        <w:jc w:val="center"/>
        <w:rPr>
          <w:rFonts w:eastAsia="黑体"/>
          <w:color w:val="000000"/>
          <w:sz w:val="24"/>
        </w:rPr>
      </w:pPr>
    </w:p>
    <w:p w14:paraId="71CE3155">
      <w:pPr>
        <w:jc w:val="center"/>
        <w:rPr>
          <w:rFonts w:eastAsia="黑体"/>
          <w:color w:val="000000"/>
          <w:sz w:val="36"/>
        </w:rPr>
      </w:pPr>
    </w:p>
    <w:p w14:paraId="4AD49537">
      <w:pPr>
        <w:jc w:val="center"/>
        <w:rPr>
          <w:rFonts w:eastAsia="黑体"/>
          <w:color w:val="000000"/>
          <w:sz w:val="36"/>
        </w:rPr>
      </w:pPr>
    </w:p>
    <w:p w14:paraId="7B8B53CA">
      <w:pPr>
        <w:jc w:val="center"/>
        <w:rPr>
          <w:rFonts w:eastAsia="黑体"/>
          <w:color w:val="000000"/>
          <w:sz w:val="36"/>
        </w:rPr>
      </w:pPr>
    </w:p>
    <w:p w14:paraId="0DB37371">
      <w:pPr>
        <w:jc w:val="center"/>
        <w:rPr>
          <w:rFonts w:eastAsia="黑体"/>
          <w:color w:val="000000"/>
          <w:sz w:val="36"/>
        </w:rPr>
      </w:pPr>
    </w:p>
    <w:p w14:paraId="118020A2"/>
    <w:p w14:paraId="0320E1B2">
      <w:pPr>
        <w:rPr>
          <w:sz w:val="28"/>
          <w:szCs w:val="28"/>
        </w:rPr>
        <w:sectPr>
          <w:pgSz w:w="11906" w:h="16838"/>
          <w:pgMar w:top="1440" w:right="1800" w:bottom="1440" w:left="1800" w:header="851" w:footer="992" w:gutter="0"/>
          <w:cols w:space="720" w:num="1"/>
          <w:docGrid w:type="lines" w:linePitch="312" w:charSpace="0"/>
        </w:sectPr>
      </w:pPr>
    </w:p>
    <w:p w14:paraId="0FAF1515">
      <w:pPr>
        <w:adjustRightInd w:val="0"/>
        <w:snapToGrid w:val="0"/>
        <w:spacing w:line="360" w:lineRule="auto"/>
        <w:jc w:val="center"/>
        <w:rPr>
          <w:rFonts w:ascii="Times New Roman" w:hAnsi="Times New Roman"/>
          <w:b/>
          <w:sz w:val="44"/>
          <w:szCs w:val="44"/>
        </w:rPr>
      </w:pPr>
    </w:p>
    <w:p w14:paraId="05035C7D">
      <w:pPr>
        <w:adjustRightInd w:val="0"/>
        <w:snapToGrid w:val="0"/>
        <w:spacing w:line="360" w:lineRule="auto"/>
        <w:jc w:val="center"/>
        <w:rPr>
          <w:rFonts w:ascii="Times New Roman" w:hAnsi="Times New Roman"/>
          <w:b/>
          <w:sz w:val="44"/>
          <w:szCs w:val="44"/>
        </w:rPr>
      </w:pPr>
      <w:r>
        <w:rPr>
          <w:rFonts w:ascii="Times New Roman" w:hAnsi="Times New Roman"/>
          <w:b/>
          <w:sz w:val="44"/>
          <w:szCs w:val="44"/>
        </w:rPr>
        <w:t>关于公开</w:t>
      </w:r>
    </w:p>
    <w:p w14:paraId="6F9A30FB">
      <w:pPr>
        <w:adjustRightInd w:val="0"/>
        <w:snapToGrid w:val="0"/>
        <w:spacing w:line="360" w:lineRule="auto"/>
        <w:jc w:val="center"/>
        <w:rPr>
          <w:rFonts w:ascii="Times New Roman" w:hAnsi="Times New Roman"/>
          <w:sz w:val="30"/>
          <w:szCs w:val="30"/>
        </w:rPr>
      </w:pPr>
      <w:r>
        <w:rPr>
          <w:rFonts w:ascii="Times New Roman" w:hAnsi="Times New Roman"/>
          <w:b/>
          <w:sz w:val="44"/>
          <w:szCs w:val="44"/>
        </w:rPr>
        <w:t>环评信息（</w:t>
      </w:r>
      <w:r>
        <w:rPr>
          <w:rFonts w:hint="eastAsia" w:ascii="Times New Roman" w:hAnsi="Times New Roman"/>
          <w:b/>
          <w:sz w:val="44"/>
          <w:szCs w:val="44"/>
          <w:lang w:eastAsia="zh-CN"/>
        </w:rPr>
        <w:t>环境影响报告</w:t>
      </w:r>
      <w:r>
        <w:rPr>
          <w:rFonts w:hint="eastAsia" w:ascii="Times New Roman" w:hAnsi="Times New Roman"/>
          <w:b/>
          <w:sz w:val="44"/>
          <w:szCs w:val="44"/>
          <w:lang w:val="en-US" w:eastAsia="zh-CN"/>
        </w:rPr>
        <w:t>书</w:t>
      </w:r>
      <w:r>
        <w:rPr>
          <w:rFonts w:ascii="Times New Roman" w:hAnsi="Times New Roman"/>
          <w:b/>
          <w:sz w:val="44"/>
          <w:szCs w:val="44"/>
        </w:rPr>
        <w:t>、表）承诺书</w:t>
      </w:r>
    </w:p>
    <w:p w14:paraId="4775B196">
      <w:pPr>
        <w:adjustRightInd w:val="0"/>
        <w:snapToGrid w:val="0"/>
        <w:spacing w:line="360" w:lineRule="auto"/>
        <w:rPr>
          <w:rFonts w:hint="eastAsia" w:ascii="Times New Roman" w:hAnsi="Times New Roman"/>
          <w:sz w:val="32"/>
          <w:szCs w:val="32"/>
        </w:rPr>
      </w:pPr>
    </w:p>
    <w:p w14:paraId="11FD9D59">
      <w:pPr>
        <w:adjustRightInd w:val="0"/>
        <w:snapToGrid w:val="0"/>
        <w:spacing w:line="360" w:lineRule="auto"/>
        <w:ind w:firstLine="640" w:firstLineChars="200"/>
        <w:rPr>
          <w:rFonts w:ascii="Times New Roman" w:hAnsi="Times New Roman"/>
          <w:sz w:val="32"/>
          <w:szCs w:val="32"/>
        </w:rPr>
      </w:pPr>
      <w:r>
        <w:rPr>
          <w:rFonts w:ascii="Times New Roman" w:hAnsi="Times New Roman"/>
          <w:sz w:val="32"/>
          <w:szCs w:val="32"/>
        </w:rPr>
        <w:t>我单位同意</w:t>
      </w:r>
      <w:r>
        <w:rPr>
          <w:rFonts w:hint="eastAsia" w:ascii="宋体" w:hAnsi="宋体" w:eastAsia="宋体" w:cs="宋体"/>
          <w:sz w:val="32"/>
          <w:szCs w:val="32"/>
          <w:u w:val="single"/>
          <w:lang w:eastAsia="zh-CN"/>
        </w:rPr>
        <w:t>秦皇岛万邦零部件加工有限公司新建二车间</w:t>
      </w:r>
      <w:r>
        <w:rPr>
          <w:rFonts w:hint="eastAsia" w:ascii="Times New Roman" w:hAnsi="Times New Roman"/>
          <w:sz w:val="32"/>
          <w:szCs w:val="32"/>
          <w:lang w:eastAsia="zh-CN"/>
        </w:rPr>
        <w:t>环境影响报告表</w:t>
      </w:r>
      <w:r>
        <w:rPr>
          <w:rFonts w:ascii="Times New Roman" w:hAnsi="Times New Roman"/>
          <w:sz w:val="32"/>
          <w:szCs w:val="32"/>
        </w:rPr>
        <w:t>全本（已删除涉及国家秘密、商业等内容）按要求在网络进行公示，并提交如下材料：</w:t>
      </w:r>
    </w:p>
    <w:p w14:paraId="531FD39A">
      <w:pPr>
        <w:adjustRightInd w:val="0"/>
        <w:snapToGrid w:val="0"/>
        <w:spacing w:line="360" w:lineRule="auto"/>
        <w:ind w:firstLine="480" w:firstLineChars="150"/>
        <w:rPr>
          <w:rFonts w:ascii="Times New Roman" w:hAnsi="Times New Roman"/>
          <w:sz w:val="32"/>
          <w:szCs w:val="32"/>
        </w:rPr>
      </w:pPr>
      <w:r>
        <w:rPr>
          <w:rFonts w:ascii="Times New Roman" w:hAnsi="Times New Roman"/>
          <w:sz w:val="32"/>
          <w:szCs w:val="32"/>
        </w:rPr>
        <w:t>1、</w:t>
      </w:r>
      <w:r>
        <w:rPr>
          <w:rFonts w:hint="eastAsia" w:ascii="Times New Roman" w:hAnsi="Times New Roman"/>
          <w:sz w:val="32"/>
          <w:szCs w:val="32"/>
          <w:lang w:eastAsia="zh-CN"/>
        </w:rPr>
        <w:t>环境影响报告表</w:t>
      </w:r>
      <w:r>
        <w:rPr>
          <w:rFonts w:ascii="Times New Roman" w:hAnsi="Times New Roman"/>
          <w:sz w:val="32"/>
          <w:szCs w:val="32"/>
        </w:rPr>
        <w:t>电子文本（已删除涉及国家秘密、商业等内容）；</w:t>
      </w:r>
    </w:p>
    <w:p w14:paraId="00CB38C9">
      <w:pPr>
        <w:adjustRightInd w:val="0"/>
        <w:snapToGrid w:val="0"/>
        <w:spacing w:line="360" w:lineRule="auto"/>
        <w:ind w:firstLine="480" w:firstLineChars="150"/>
        <w:rPr>
          <w:rFonts w:ascii="Times New Roman" w:hAnsi="Times New Roman"/>
          <w:sz w:val="32"/>
          <w:szCs w:val="32"/>
        </w:rPr>
      </w:pPr>
      <w:r>
        <w:rPr>
          <w:rFonts w:ascii="Times New Roman" w:hAnsi="Times New Roman"/>
          <w:sz w:val="32"/>
          <w:szCs w:val="32"/>
        </w:rPr>
        <w:t>2、关于删除涉及国家秘密、商业秘密等内容的依据和理由的报告。</w:t>
      </w:r>
    </w:p>
    <w:p w14:paraId="036D102F">
      <w:pPr>
        <w:adjustRightInd w:val="0"/>
        <w:snapToGrid w:val="0"/>
        <w:spacing w:line="360" w:lineRule="auto"/>
        <w:ind w:firstLine="420" w:firstLineChars="200"/>
        <w:rPr>
          <w:rFonts w:ascii="Times New Roman" w:hAnsi="Times New Roman"/>
          <w:sz w:val="32"/>
          <w:szCs w:val="32"/>
        </w:rPr>
      </w:pPr>
      <w:r>
        <w:drawing>
          <wp:anchor distT="0" distB="0" distL="0" distR="0" simplePos="0" relativeHeight="251694080" behindDoc="1" locked="0" layoutInCell="1" allowOverlap="1">
            <wp:simplePos x="0" y="0"/>
            <wp:positionH relativeFrom="column">
              <wp:posOffset>3543935</wp:posOffset>
            </wp:positionH>
            <wp:positionV relativeFrom="paragraph">
              <wp:posOffset>738505</wp:posOffset>
            </wp:positionV>
            <wp:extent cx="1250950" cy="1231900"/>
            <wp:effectExtent l="0" t="0" r="6350" b="6350"/>
            <wp:wrapNone/>
            <wp:docPr id="95" name="IM 4"/>
            <wp:cNvGraphicFramePr/>
            <a:graphic xmlns:a="http://schemas.openxmlformats.org/drawingml/2006/main">
              <a:graphicData uri="http://schemas.openxmlformats.org/drawingml/2006/picture">
                <pic:pic xmlns:pic="http://schemas.openxmlformats.org/drawingml/2006/picture">
                  <pic:nvPicPr>
                    <pic:cNvPr id="95" name="IM 4"/>
                    <pic:cNvPicPr/>
                  </pic:nvPicPr>
                  <pic:blipFill>
                    <a:blip r:embed="rId10"/>
                    <a:stretch>
                      <a:fillRect/>
                    </a:stretch>
                  </pic:blipFill>
                  <pic:spPr>
                    <a:xfrm>
                      <a:off x="0" y="0"/>
                      <a:ext cx="1250950" cy="1231900"/>
                    </a:xfrm>
                    <a:prstGeom prst="rect">
                      <a:avLst/>
                    </a:prstGeom>
                  </pic:spPr>
                </pic:pic>
              </a:graphicData>
            </a:graphic>
          </wp:anchor>
        </w:drawing>
      </w:r>
      <w:r>
        <w:rPr>
          <w:rFonts w:ascii="Times New Roman" w:hAnsi="Times New Roman"/>
          <w:sz w:val="32"/>
          <w:szCs w:val="32"/>
        </w:rPr>
        <w:t>我单位承诺</w:t>
      </w:r>
      <w:r>
        <w:rPr>
          <w:rFonts w:hint="eastAsia" w:ascii="Times New Roman" w:hAnsi="Times New Roman"/>
          <w:sz w:val="32"/>
          <w:szCs w:val="32"/>
          <w:lang w:eastAsia="zh-CN"/>
        </w:rPr>
        <w:t>报告书</w:t>
      </w:r>
      <w:r>
        <w:rPr>
          <w:rFonts w:ascii="Times New Roman" w:hAnsi="Times New Roman"/>
          <w:sz w:val="32"/>
          <w:szCs w:val="32"/>
        </w:rPr>
        <w:t>内容真实合法有效，并自愿承担公示后产生的后果。</w:t>
      </w:r>
    </w:p>
    <w:p w14:paraId="332D7452">
      <w:pPr>
        <w:adjustRightInd w:val="0"/>
        <w:snapToGrid w:val="0"/>
        <w:spacing w:line="360" w:lineRule="auto"/>
        <w:rPr>
          <w:rFonts w:ascii="Times New Roman" w:hAnsi="Times New Roman"/>
          <w:sz w:val="32"/>
          <w:szCs w:val="32"/>
        </w:rPr>
      </w:pPr>
    </w:p>
    <w:p w14:paraId="180375B3">
      <w:pPr>
        <w:wordWrap w:val="0"/>
        <w:adjustRightInd w:val="0"/>
        <w:snapToGrid w:val="0"/>
        <w:spacing w:line="360" w:lineRule="auto"/>
        <w:jc w:val="right"/>
        <w:rPr>
          <w:rFonts w:hint="eastAsia" w:ascii="Times New Roman" w:hAnsi="Times New Roman" w:eastAsia="宋体"/>
          <w:sz w:val="32"/>
          <w:szCs w:val="32"/>
          <w:lang w:eastAsia="zh-CN"/>
        </w:rPr>
      </w:pPr>
      <w:r>
        <w:rPr>
          <w:rFonts w:ascii="Times New Roman" w:hAnsi="Times New Roman"/>
          <w:sz w:val="32"/>
          <w:szCs w:val="32"/>
        </w:rPr>
        <w:t>单位名称（盖章）：</w:t>
      </w:r>
      <w:r>
        <w:rPr>
          <w:rFonts w:hint="eastAsia" w:ascii="宋体" w:hAnsi="宋体" w:eastAsia="宋体" w:cs="宋体"/>
          <w:sz w:val="32"/>
          <w:szCs w:val="32"/>
          <w:u w:val="none"/>
          <w:lang w:eastAsia="zh-CN"/>
        </w:rPr>
        <w:t>秦皇岛万邦零部件加工有限公司</w:t>
      </w:r>
    </w:p>
    <w:p w14:paraId="55B32319">
      <w:pPr>
        <w:wordWrap w:val="0"/>
        <w:adjustRightInd w:val="0"/>
        <w:snapToGrid w:val="0"/>
        <w:spacing w:line="360" w:lineRule="auto"/>
        <w:jc w:val="right"/>
        <w:rPr>
          <w:rFonts w:ascii="Times New Roman" w:hAnsi="Times New Roman"/>
          <w:sz w:val="32"/>
          <w:szCs w:val="32"/>
        </w:rPr>
      </w:pPr>
      <w:r>
        <w:rPr>
          <w:rFonts w:ascii="Times New Roman" w:hAnsi="Times New Roman"/>
          <w:sz w:val="32"/>
          <w:szCs w:val="32"/>
        </w:rPr>
        <w:t xml:space="preserve">  </w:t>
      </w:r>
      <w:r>
        <w:rPr>
          <w:rFonts w:hint="eastAsia"/>
          <w:sz w:val="32"/>
          <w:szCs w:val="32"/>
          <w:lang w:val="en-US" w:eastAsia="zh-CN"/>
        </w:rPr>
        <w:t>2025</w:t>
      </w:r>
      <w:r>
        <w:rPr>
          <w:rFonts w:ascii="Times New Roman" w:hAnsi="Times New Roman"/>
          <w:sz w:val="32"/>
          <w:szCs w:val="32"/>
        </w:rPr>
        <w:t>年</w:t>
      </w:r>
      <w:r>
        <w:rPr>
          <w:rFonts w:hint="eastAsia"/>
          <w:sz w:val="32"/>
          <w:szCs w:val="32"/>
          <w:lang w:val="en-US" w:eastAsia="zh-CN"/>
        </w:rPr>
        <w:t>9</w:t>
      </w:r>
      <w:r>
        <w:rPr>
          <w:rFonts w:ascii="Times New Roman" w:hAnsi="Times New Roman"/>
          <w:sz w:val="32"/>
          <w:szCs w:val="32"/>
        </w:rPr>
        <w:t>月</w:t>
      </w:r>
      <w:r>
        <w:rPr>
          <w:rFonts w:hint="eastAsia"/>
          <w:sz w:val="32"/>
          <w:szCs w:val="32"/>
          <w:lang w:val="en-US" w:eastAsia="zh-CN"/>
        </w:rPr>
        <w:t>5</w:t>
      </w:r>
      <w:r>
        <w:rPr>
          <w:rFonts w:ascii="Times New Roman" w:hAnsi="Times New Roman"/>
          <w:sz w:val="32"/>
          <w:szCs w:val="32"/>
        </w:rPr>
        <w:t>日</w:t>
      </w:r>
    </w:p>
    <w:p w14:paraId="7E68B115">
      <w:pPr>
        <w:rPr>
          <w:rFonts w:hint="eastAsia" w:ascii="仿宋_GB2312" w:hAnsi="宋体" w:eastAsia="仿宋_GB2312"/>
          <w:sz w:val="30"/>
          <w:szCs w:val="30"/>
        </w:rPr>
      </w:pPr>
    </w:p>
    <w:p w14:paraId="2804FF71">
      <w:pPr>
        <w:rPr>
          <w:rFonts w:hint="eastAsia" w:ascii="仿宋_GB2312" w:hAnsi="宋体" w:eastAsia="仿宋_GB2312"/>
          <w:sz w:val="30"/>
          <w:szCs w:val="30"/>
        </w:rPr>
      </w:pPr>
    </w:p>
    <w:p w14:paraId="75317C81">
      <w:pPr>
        <w:rPr>
          <w:sz w:val="28"/>
          <w:szCs w:val="28"/>
        </w:rPr>
        <w:sectPr>
          <w:pgSz w:w="11906" w:h="16838"/>
          <w:pgMar w:top="1440" w:right="1800" w:bottom="1440" w:left="1800" w:header="851" w:footer="992" w:gutter="0"/>
          <w:cols w:space="720" w:num="1"/>
          <w:docGrid w:type="lines" w:linePitch="312" w:charSpace="0"/>
        </w:sectPr>
      </w:pPr>
    </w:p>
    <w:p w14:paraId="66379E8F">
      <w:pPr>
        <w:rPr>
          <w:rFonts w:hint="eastAsia" w:eastAsia="宋体"/>
          <w:sz w:val="28"/>
          <w:szCs w:val="28"/>
          <w:lang w:eastAsia="zh-CN"/>
        </w:rPr>
      </w:pPr>
      <w:r>
        <w:rPr>
          <w:rFonts w:hint="eastAsia" w:eastAsia="宋体"/>
          <w:sz w:val="28"/>
          <w:szCs w:val="28"/>
          <w:lang w:eastAsia="zh-CN"/>
        </w:rPr>
        <w:drawing>
          <wp:inline distT="0" distB="0" distL="114300" distR="114300">
            <wp:extent cx="8155940" cy="5462270"/>
            <wp:effectExtent l="0" t="0" r="5080" b="16510"/>
            <wp:docPr id="31" name="图片 54" descr="1712104806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4" descr="1712104806138"/>
                    <pic:cNvPicPr>
                      <a:picLocks noChangeAspect="1"/>
                    </pic:cNvPicPr>
                  </pic:nvPicPr>
                  <pic:blipFill>
                    <a:blip r:embed="rId19"/>
                    <a:stretch>
                      <a:fillRect/>
                    </a:stretch>
                  </pic:blipFill>
                  <pic:spPr>
                    <a:xfrm rot="16200000">
                      <a:off x="0" y="0"/>
                      <a:ext cx="8155940" cy="5462270"/>
                    </a:xfrm>
                    <a:prstGeom prst="rect">
                      <a:avLst/>
                    </a:prstGeom>
                    <a:noFill/>
                    <a:ln>
                      <a:noFill/>
                    </a:ln>
                  </pic:spPr>
                </pic:pic>
              </a:graphicData>
            </a:graphic>
          </wp:inline>
        </w:drawing>
      </w:r>
    </w:p>
    <w:p w14:paraId="6249F802">
      <w:pPr>
        <w:pStyle w:val="31"/>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9"/>
        <w:rPr>
          <w:rFonts w:hint="eastAsia" w:ascii="黑体" w:hAnsi="黑体" w:eastAsia="黑体"/>
          <w:snapToGrid w:val="0"/>
          <w:color w:val="auto"/>
          <w:sz w:val="30"/>
          <w:szCs w:val="30"/>
          <w:highlight w:val="none"/>
        </w:rPr>
      </w:pPr>
    </w:p>
    <w:p w14:paraId="45B41A4A">
      <w:pPr>
        <w:pStyle w:val="31"/>
        <w:spacing w:before="0" w:beforeAutospacing="0" w:after="0" w:afterAutospacing="0"/>
        <w:jc w:val="center"/>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一、建设项目基本情况</w:t>
      </w:r>
      <w:bookmarkEnd w:id="2"/>
    </w:p>
    <w:tbl>
      <w:tblPr>
        <w:tblStyle w:val="35"/>
        <w:tblW w:w="906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412"/>
        <w:gridCol w:w="1826"/>
        <w:gridCol w:w="1969"/>
        <w:gridCol w:w="1937"/>
        <w:gridCol w:w="2918"/>
      </w:tblGrid>
      <w:tr w14:paraId="100D58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38" w:type="dxa"/>
            <w:gridSpan w:val="2"/>
            <w:tcMar>
              <w:top w:w="16" w:type="dxa"/>
              <w:left w:w="16" w:type="dxa"/>
              <w:right w:w="16" w:type="dxa"/>
            </w:tcMar>
            <w:vAlign w:val="center"/>
          </w:tcPr>
          <w:p w14:paraId="29615DC7">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建设项目名称</w:t>
            </w:r>
          </w:p>
        </w:tc>
        <w:tc>
          <w:tcPr>
            <w:tcW w:w="6824" w:type="dxa"/>
            <w:gridSpan w:val="3"/>
            <w:vAlign w:val="center"/>
          </w:tcPr>
          <w:p w14:paraId="17576D6B">
            <w:pPr>
              <w:keepNext w:val="0"/>
              <w:keepLines w:val="0"/>
              <w:suppressLineNumbers w:val="0"/>
              <w:adjustRightInd w:val="0"/>
              <w:snapToGrid w:val="0"/>
              <w:spacing w:before="0" w:beforeAutospacing="0" w:after="0" w:afterAutospacing="0"/>
              <w:ind w:left="0" w:right="0"/>
              <w:jc w:val="center"/>
              <w:rPr>
                <w:rFonts w:hint="default"/>
                <w:color w:val="auto"/>
                <w:sz w:val="24"/>
                <w:highlight w:val="none"/>
                <w:lang w:val="en-US"/>
              </w:rPr>
            </w:pPr>
            <w:r>
              <w:rPr>
                <w:rFonts w:hint="eastAsia"/>
                <w:color w:val="auto"/>
                <w:sz w:val="24"/>
                <w:highlight w:val="none"/>
                <w:lang w:val="en-US" w:eastAsia="zh-CN"/>
              </w:rPr>
              <w:t>秦皇岛万邦零部件加工有限公司新建二车间</w:t>
            </w:r>
          </w:p>
        </w:tc>
      </w:tr>
      <w:tr w14:paraId="1964F6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38" w:type="dxa"/>
            <w:gridSpan w:val="2"/>
            <w:tcMar>
              <w:top w:w="16" w:type="dxa"/>
              <w:left w:w="16" w:type="dxa"/>
              <w:right w:w="16" w:type="dxa"/>
            </w:tcMar>
            <w:vAlign w:val="center"/>
          </w:tcPr>
          <w:p w14:paraId="6B0303D4">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项目代码</w:t>
            </w:r>
          </w:p>
        </w:tc>
        <w:tc>
          <w:tcPr>
            <w:tcW w:w="6824" w:type="dxa"/>
            <w:gridSpan w:val="3"/>
            <w:vAlign w:val="center"/>
          </w:tcPr>
          <w:p w14:paraId="6DB6D060">
            <w:pPr>
              <w:keepNext w:val="0"/>
              <w:keepLines w:val="0"/>
              <w:suppressLineNumbers w:val="0"/>
              <w:adjustRightInd w:val="0"/>
              <w:snapToGrid w:val="0"/>
              <w:spacing w:before="0" w:beforeAutospacing="0" w:after="0" w:afterAutospacing="0"/>
              <w:ind w:left="0" w:right="0"/>
              <w:jc w:val="center"/>
              <w:rPr>
                <w:rFonts w:hint="default" w:eastAsia="宋体"/>
                <w:color w:val="auto"/>
                <w:sz w:val="24"/>
                <w:highlight w:val="none"/>
                <w:lang w:val="en-US" w:eastAsia="zh-CN"/>
              </w:rPr>
            </w:pPr>
            <w:r>
              <w:rPr>
                <w:rFonts w:hint="eastAsia"/>
                <w:color w:val="auto"/>
                <w:sz w:val="24"/>
                <w:highlight w:val="none"/>
                <w:lang w:val="en-US" w:eastAsia="zh-CN"/>
              </w:rPr>
              <w:t>2506-130371-89-01-202395</w:t>
            </w:r>
          </w:p>
        </w:tc>
      </w:tr>
      <w:tr w14:paraId="56EC8B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38" w:type="dxa"/>
            <w:gridSpan w:val="2"/>
            <w:tcMar>
              <w:top w:w="16" w:type="dxa"/>
              <w:left w:w="16" w:type="dxa"/>
              <w:right w:w="16" w:type="dxa"/>
            </w:tcMar>
            <w:vAlign w:val="center"/>
          </w:tcPr>
          <w:p w14:paraId="51525210">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建设单位联系人</w:t>
            </w:r>
          </w:p>
        </w:tc>
        <w:tc>
          <w:tcPr>
            <w:tcW w:w="1969" w:type="dxa"/>
            <w:vAlign w:val="center"/>
          </w:tcPr>
          <w:p w14:paraId="5E23126B">
            <w:pPr>
              <w:keepNext w:val="0"/>
              <w:keepLines w:val="0"/>
              <w:suppressLineNumbers w:val="0"/>
              <w:adjustRightInd w:val="0"/>
              <w:snapToGrid w:val="0"/>
              <w:spacing w:before="0" w:beforeAutospacing="0" w:after="0" w:afterAutospacing="0"/>
              <w:ind w:left="0" w:right="0"/>
              <w:jc w:val="center"/>
              <w:rPr>
                <w:rFonts w:hint="default" w:eastAsia="宋体"/>
                <w:color w:val="auto"/>
                <w:sz w:val="24"/>
                <w:highlight w:val="none"/>
                <w:lang w:val="en-US" w:eastAsia="zh-CN"/>
              </w:rPr>
            </w:pPr>
            <w:r>
              <w:rPr>
                <w:rFonts w:hint="default"/>
                <w:sz w:val="21"/>
              </w:rPr>
              <mc:AlternateContent>
                <mc:Choice Requires="wps">
                  <w:drawing>
                    <wp:anchor distT="0" distB="0" distL="114300" distR="114300" simplePos="0" relativeHeight="251714560" behindDoc="0" locked="0" layoutInCell="1" allowOverlap="1">
                      <wp:simplePos x="0" y="0"/>
                      <wp:positionH relativeFrom="column">
                        <wp:posOffset>200025</wp:posOffset>
                      </wp:positionH>
                      <wp:positionV relativeFrom="paragraph">
                        <wp:posOffset>-4445</wp:posOffset>
                      </wp:positionV>
                      <wp:extent cx="913765" cy="209550"/>
                      <wp:effectExtent l="0" t="0" r="635" b="0"/>
                      <wp:wrapNone/>
                      <wp:docPr id="115" name="文本框 115"/>
                      <wp:cNvGraphicFramePr/>
                      <a:graphic xmlns:a="http://schemas.openxmlformats.org/drawingml/2006/main">
                        <a:graphicData uri="http://schemas.microsoft.com/office/word/2010/wordprocessingShape">
                          <wps:wsp>
                            <wps:cNvSpPr txBox="1"/>
                            <wps:spPr>
                              <a:xfrm>
                                <a:off x="0" y="0"/>
                                <a:ext cx="913765" cy="209550"/>
                              </a:xfrm>
                              <a:prstGeom prst="rect">
                                <a:avLst/>
                              </a:prstGeom>
                              <a:gradFill flip="none">
                                <a:gsLst>
                                  <a:gs pos="0">
                                    <a:schemeClr val="bg1">
                                      <a:lumMod val="95000"/>
                                    </a:schemeClr>
                                  </a:gs>
                                  <a:gs pos="53000">
                                    <a:schemeClr val="bg1">
                                      <a:lumMod val="85000"/>
                                    </a:schemeClr>
                                  </a:gs>
                                  <a:gs pos="100000">
                                    <a:schemeClr val="bg1">
                                      <a:lumMod val="75000"/>
                                    </a:schemeClr>
                                  </a:gs>
                                </a:gsLst>
                                <a:lin ang="5400000" scaled="1"/>
                              </a:gradFill>
                              <a:ln w="6350">
                                <a:noFill/>
                              </a:ln>
                            </wps:spPr>
                            <wps:style>
                              <a:lnRef idx="0">
                                <a:schemeClr val="accent1"/>
                              </a:lnRef>
                              <a:fillRef idx="0">
                                <a:schemeClr val="accent1"/>
                              </a:fillRef>
                              <a:effectRef idx="0">
                                <a:schemeClr val="accent1"/>
                              </a:effectRef>
                              <a:fontRef idx="minor">
                                <a:schemeClr val="dk1"/>
                              </a:fontRef>
                            </wps:style>
                            <wps:txbx>
                              <w:txbxContent>
                                <w:p w14:paraId="283A48B4"/>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75pt;margin-top:-0.35pt;height:16.5pt;width:71.95pt;z-index:251714560;mso-width-relative:page;mso-height-relative:page;" fillcolor="#B7E8BD [3052]" filled="t" stroked="f" coordsize="21600,21600" o:gfxdata="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7dAejtYAAAAHAQAADwAAAAAAAAABACAAAAAiAAAA&#10;ZHJzL2Rvd25yZXYueG1sUEsBAhQAFAAAAAgAh07iQIFH9hi0AgAAsAUAAA4AAAAAAAAAAQAgAAAA&#10;JQEAAGRycy9lMm9Eb2MueG1sUEsFBgAAAAAGAAYAWQEAAEsGAAAAAA==&#10;">
                      <v:fill type="gradient" on="t" color2="#75D281 [2412]" colors="0f #B7E8BD;34734f #96DD9F;65536f #75D281" focus="100%" focussize="0,0" rotate="t"/>
                      <v:stroke on="f" weight="0.5pt"/>
                      <v:imagedata o:title=""/>
                      <o:lock v:ext="edit" aspectratio="f"/>
                      <v:textbox>
                        <w:txbxContent>
                          <w:p w14:paraId="283A48B4"/>
                        </w:txbxContent>
                      </v:textbox>
                    </v:shape>
                  </w:pict>
                </mc:Fallback>
              </mc:AlternateContent>
            </w:r>
            <w:r>
              <w:rPr>
                <w:rFonts w:hint="eastAsia"/>
                <w:color w:val="auto"/>
                <w:sz w:val="24"/>
                <w:highlight w:val="none"/>
                <w:lang w:val="en-US" w:eastAsia="zh-CN"/>
              </w:rPr>
              <w:t>尹博</w:t>
            </w:r>
          </w:p>
        </w:tc>
        <w:tc>
          <w:tcPr>
            <w:tcW w:w="1937" w:type="dxa"/>
            <w:vAlign w:val="center"/>
          </w:tcPr>
          <w:p w14:paraId="02866E36">
            <w:pPr>
              <w:keepNext w:val="0"/>
              <w:keepLines w:val="0"/>
              <w:suppressLineNumbers w:val="0"/>
              <w:adjustRightInd w:val="0"/>
              <w:snapToGrid w:val="0"/>
              <w:spacing w:before="0" w:beforeAutospacing="0" w:after="0" w:afterAutospacing="0"/>
              <w:ind w:left="0" w:right="0"/>
              <w:jc w:val="center"/>
              <w:rPr>
                <w:rFonts w:hint="default"/>
                <w:color w:val="auto"/>
                <w:sz w:val="24"/>
                <w:highlight w:val="none"/>
              </w:rPr>
            </w:pPr>
            <w:r>
              <w:rPr>
                <w:rFonts w:hint="default"/>
                <w:b/>
                <w:bCs/>
                <w:color w:val="auto"/>
                <w:sz w:val="24"/>
                <w:highlight w:val="none"/>
              </w:rPr>
              <w:t>联系方式</w:t>
            </w:r>
          </w:p>
        </w:tc>
        <w:tc>
          <w:tcPr>
            <w:tcW w:w="2918" w:type="dxa"/>
            <w:vAlign w:val="center"/>
          </w:tcPr>
          <w:p w14:paraId="7A3ED133">
            <w:pPr>
              <w:keepNext w:val="0"/>
              <w:keepLines w:val="0"/>
              <w:suppressLineNumbers w:val="0"/>
              <w:adjustRightInd w:val="0"/>
              <w:snapToGrid w:val="0"/>
              <w:spacing w:before="0" w:beforeAutospacing="0" w:after="0" w:afterAutospacing="0"/>
              <w:ind w:left="0" w:right="0"/>
              <w:jc w:val="center"/>
              <w:rPr>
                <w:rFonts w:hint="default"/>
                <w:color w:val="auto"/>
                <w:sz w:val="24"/>
                <w:highlight w:val="none"/>
              </w:rPr>
            </w:pPr>
            <w:r>
              <w:rPr>
                <w:rFonts w:hint="default"/>
                <w:sz w:val="21"/>
              </w:rPr>
              <mc:AlternateContent>
                <mc:Choice Requires="wps">
                  <w:drawing>
                    <wp:anchor distT="0" distB="0" distL="114300" distR="114300" simplePos="0" relativeHeight="251713536" behindDoc="0" locked="0" layoutInCell="1" allowOverlap="1">
                      <wp:simplePos x="0" y="0"/>
                      <wp:positionH relativeFrom="column">
                        <wp:posOffset>480060</wp:posOffset>
                      </wp:positionH>
                      <wp:positionV relativeFrom="paragraph">
                        <wp:posOffset>3175</wp:posOffset>
                      </wp:positionV>
                      <wp:extent cx="913765" cy="209550"/>
                      <wp:effectExtent l="0" t="0" r="635" b="0"/>
                      <wp:wrapNone/>
                      <wp:docPr id="114" name="文本框 114"/>
                      <wp:cNvGraphicFramePr/>
                      <a:graphic xmlns:a="http://schemas.openxmlformats.org/drawingml/2006/main">
                        <a:graphicData uri="http://schemas.microsoft.com/office/word/2010/wordprocessingShape">
                          <wps:wsp>
                            <wps:cNvSpPr txBox="1"/>
                            <wps:spPr>
                              <a:xfrm>
                                <a:off x="0" y="0"/>
                                <a:ext cx="913765" cy="209550"/>
                              </a:xfrm>
                              <a:prstGeom prst="rect">
                                <a:avLst/>
                              </a:prstGeom>
                              <a:gradFill flip="none">
                                <a:gsLst>
                                  <a:gs pos="0">
                                    <a:schemeClr val="bg1">
                                      <a:lumMod val="95000"/>
                                    </a:schemeClr>
                                  </a:gs>
                                  <a:gs pos="53000">
                                    <a:schemeClr val="bg1">
                                      <a:lumMod val="85000"/>
                                    </a:schemeClr>
                                  </a:gs>
                                  <a:gs pos="100000">
                                    <a:schemeClr val="bg1">
                                      <a:lumMod val="75000"/>
                                    </a:schemeClr>
                                  </a:gs>
                                </a:gsLst>
                                <a:lin ang="5400000" scaled="1"/>
                              </a:gradFill>
                              <a:ln w="6350">
                                <a:noFill/>
                              </a:ln>
                            </wps:spPr>
                            <wps:style>
                              <a:lnRef idx="0">
                                <a:schemeClr val="accent1"/>
                              </a:lnRef>
                              <a:fillRef idx="0">
                                <a:schemeClr val="accent1"/>
                              </a:fillRef>
                              <a:effectRef idx="0">
                                <a:schemeClr val="accent1"/>
                              </a:effectRef>
                              <a:fontRef idx="minor">
                                <a:schemeClr val="dk1"/>
                              </a:fontRef>
                            </wps:style>
                            <wps:txbx>
                              <w:txbxContent>
                                <w:p w14:paraId="2FF80A2D"/>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8pt;margin-top:0.25pt;height:16.5pt;width:71.95pt;z-index:251713536;mso-width-relative:page;mso-height-relative:page;" fillcolor="#B7E8BD [3052]" filled="t" stroked="f" coordsize="21600,21600" o:gfxdata="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NNWZ8TWAAAABgEAAA8AAAAAAAAAAQAgAAAAIgAA&#10;AGRycy9kb3ducmV2LnhtbFBLAQIUABQAAAAIAIdO4kAcl0iHtQIAALAFAAAOAAAAAAAAAAEAIAAA&#10;ACUBAABkcnMvZTJvRG9jLnhtbFBLBQYAAAAABgAGAFkBAABMBgAAAAA=&#10;">
                      <v:fill type="gradient" on="t" color2="#75D281 [2412]" colors="0f #B7E8BD;34734f #96DD9F;65536f #75D281" focus="100%" focussize="0,0" rotate="t"/>
                      <v:stroke on="f" weight="0.5pt"/>
                      <v:imagedata o:title=""/>
                      <o:lock v:ext="edit" aspectratio="f"/>
                      <v:textbox>
                        <w:txbxContent>
                          <w:p w14:paraId="2FF80A2D"/>
                        </w:txbxContent>
                      </v:textbox>
                    </v:shape>
                  </w:pict>
                </mc:Fallback>
              </mc:AlternateContent>
            </w:r>
            <w:r>
              <w:rPr>
                <w:rFonts w:hint="default"/>
                <w:color w:val="auto"/>
                <w:sz w:val="24"/>
                <w:highlight w:val="none"/>
              </w:rPr>
              <w:t>13171728426</w:t>
            </w:r>
          </w:p>
        </w:tc>
      </w:tr>
      <w:tr w14:paraId="6BC678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38" w:type="dxa"/>
            <w:gridSpan w:val="2"/>
            <w:tcMar>
              <w:top w:w="16" w:type="dxa"/>
              <w:left w:w="16" w:type="dxa"/>
              <w:right w:w="16" w:type="dxa"/>
            </w:tcMar>
            <w:vAlign w:val="center"/>
          </w:tcPr>
          <w:p w14:paraId="4BB3E636">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建设地点</w:t>
            </w:r>
          </w:p>
        </w:tc>
        <w:tc>
          <w:tcPr>
            <w:tcW w:w="6824" w:type="dxa"/>
            <w:gridSpan w:val="3"/>
            <w:vAlign w:val="center"/>
          </w:tcPr>
          <w:p w14:paraId="4F9394F6">
            <w:pPr>
              <w:keepNext w:val="0"/>
              <w:keepLines w:val="0"/>
              <w:suppressLineNumbers w:val="0"/>
              <w:adjustRightInd w:val="0"/>
              <w:snapToGrid w:val="0"/>
              <w:spacing w:before="0" w:beforeAutospacing="0" w:after="0" w:afterAutospacing="0"/>
              <w:ind w:left="0" w:right="0"/>
              <w:jc w:val="center"/>
              <w:rPr>
                <w:rFonts w:hint="default"/>
                <w:color w:val="auto"/>
                <w:sz w:val="24"/>
                <w:highlight w:val="none"/>
              </w:rPr>
            </w:pPr>
            <w:r>
              <w:rPr>
                <w:rFonts w:hint="eastAsia"/>
                <w:color w:val="auto"/>
                <w:sz w:val="24"/>
                <w:highlight w:val="none"/>
                <w:lang w:val="en-US" w:eastAsia="zh-CN"/>
              </w:rPr>
              <w:t>河北省</w:t>
            </w:r>
            <w:r>
              <w:rPr>
                <w:rFonts w:hint="eastAsia"/>
                <w:color w:val="auto"/>
                <w:sz w:val="24"/>
                <w:highlight w:val="none"/>
              </w:rPr>
              <w:t>秦皇岛市开发区龙海道37号戴河国际产业园</w:t>
            </w:r>
            <w:r>
              <w:rPr>
                <w:rFonts w:hint="eastAsia"/>
                <w:color w:val="auto"/>
                <w:sz w:val="24"/>
                <w:highlight w:val="none"/>
                <w:lang w:val="en-US" w:eastAsia="zh-CN"/>
              </w:rPr>
              <w:t>13</w:t>
            </w:r>
            <w:r>
              <w:rPr>
                <w:rFonts w:hint="eastAsia"/>
                <w:color w:val="auto"/>
                <w:sz w:val="24"/>
                <w:highlight w:val="none"/>
              </w:rPr>
              <w:t>号厂房</w:t>
            </w:r>
          </w:p>
        </w:tc>
      </w:tr>
      <w:tr w14:paraId="7F78E3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38" w:type="dxa"/>
            <w:gridSpan w:val="2"/>
            <w:tcMar>
              <w:top w:w="16" w:type="dxa"/>
              <w:left w:w="16" w:type="dxa"/>
              <w:right w:w="16" w:type="dxa"/>
            </w:tcMar>
            <w:vAlign w:val="center"/>
          </w:tcPr>
          <w:p w14:paraId="37F8B75C">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地理坐标</w:t>
            </w:r>
          </w:p>
        </w:tc>
        <w:tc>
          <w:tcPr>
            <w:tcW w:w="6824" w:type="dxa"/>
            <w:gridSpan w:val="3"/>
            <w:vAlign w:val="center"/>
          </w:tcPr>
          <w:p w14:paraId="5B9F0B14">
            <w:pPr>
              <w:keepNext w:val="0"/>
              <w:keepLines w:val="0"/>
              <w:suppressLineNumbers w:val="0"/>
              <w:spacing w:before="0" w:beforeAutospacing="0" w:after="0" w:afterAutospacing="0"/>
              <w:ind w:left="0" w:right="0"/>
              <w:jc w:val="center"/>
              <w:rPr>
                <w:rFonts w:hint="default"/>
                <w:color w:val="auto"/>
                <w:sz w:val="24"/>
                <w:highlight w:val="none"/>
              </w:rPr>
            </w:pPr>
            <w:r>
              <w:rPr>
                <w:rFonts w:hint="default"/>
                <w:color w:val="auto"/>
                <w:sz w:val="24"/>
                <w:highlight w:val="none"/>
              </w:rPr>
              <w:t>东经</w:t>
            </w:r>
            <w:r>
              <w:rPr>
                <w:rFonts w:hint="default"/>
                <w:color w:val="auto"/>
                <w:sz w:val="24"/>
                <w:highlight w:val="none"/>
                <w:u w:val="single"/>
              </w:rPr>
              <w:t>119°</w:t>
            </w:r>
            <w:r>
              <w:rPr>
                <w:rFonts w:hint="eastAsia"/>
                <w:color w:val="auto"/>
                <w:sz w:val="24"/>
                <w:highlight w:val="none"/>
                <w:u w:val="single"/>
                <w:lang w:val="en-US" w:eastAsia="zh-CN"/>
              </w:rPr>
              <w:t>29</w:t>
            </w:r>
            <w:r>
              <w:rPr>
                <w:rFonts w:hint="default"/>
                <w:color w:val="auto"/>
                <w:sz w:val="24"/>
                <w:highlight w:val="none"/>
                <w:u w:val="single"/>
              </w:rPr>
              <w:t>′</w:t>
            </w:r>
            <w:r>
              <w:rPr>
                <w:rFonts w:hint="eastAsia"/>
                <w:color w:val="auto"/>
                <w:sz w:val="24"/>
                <w:highlight w:val="none"/>
                <w:u w:val="single"/>
                <w:lang w:val="en-US" w:eastAsia="zh-CN"/>
              </w:rPr>
              <w:t>22.484</w:t>
            </w:r>
            <w:r>
              <w:rPr>
                <w:rFonts w:hint="default"/>
                <w:color w:val="auto"/>
                <w:sz w:val="24"/>
                <w:highlight w:val="none"/>
                <w:u w:val="single"/>
              </w:rPr>
              <w:t>"</w:t>
            </w:r>
            <w:r>
              <w:rPr>
                <w:rFonts w:hint="eastAsia"/>
                <w:color w:val="auto"/>
                <w:sz w:val="24"/>
                <w:highlight w:val="none"/>
              </w:rPr>
              <w:t>，</w:t>
            </w:r>
            <w:r>
              <w:rPr>
                <w:rFonts w:hint="default"/>
                <w:color w:val="auto"/>
                <w:sz w:val="24"/>
                <w:highlight w:val="none"/>
              </w:rPr>
              <w:t>北纬</w:t>
            </w:r>
            <w:r>
              <w:rPr>
                <w:rFonts w:hint="default"/>
                <w:color w:val="auto"/>
                <w:sz w:val="24"/>
                <w:highlight w:val="none"/>
                <w:u w:val="single"/>
              </w:rPr>
              <w:t>39°</w:t>
            </w:r>
            <w:r>
              <w:rPr>
                <w:rFonts w:hint="eastAsia"/>
                <w:color w:val="auto"/>
                <w:sz w:val="24"/>
                <w:highlight w:val="none"/>
                <w:u w:val="single"/>
              </w:rPr>
              <w:t>5</w:t>
            </w:r>
            <w:r>
              <w:rPr>
                <w:rFonts w:hint="eastAsia"/>
                <w:color w:val="auto"/>
                <w:sz w:val="24"/>
                <w:highlight w:val="none"/>
                <w:u w:val="single"/>
                <w:lang w:val="en-US" w:eastAsia="zh-CN"/>
              </w:rPr>
              <w:t>5</w:t>
            </w:r>
            <w:r>
              <w:rPr>
                <w:rFonts w:hint="default"/>
                <w:color w:val="auto"/>
                <w:sz w:val="24"/>
                <w:highlight w:val="none"/>
                <w:u w:val="single"/>
              </w:rPr>
              <w:t>′</w:t>
            </w:r>
            <w:r>
              <w:rPr>
                <w:rFonts w:hint="eastAsia"/>
                <w:color w:val="auto"/>
                <w:sz w:val="24"/>
                <w:highlight w:val="none"/>
                <w:u w:val="single"/>
                <w:lang w:val="en-US" w:eastAsia="zh-CN"/>
              </w:rPr>
              <w:t>47.625</w:t>
            </w:r>
            <w:r>
              <w:rPr>
                <w:rFonts w:hint="default"/>
                <w:color w:val="auto"/>
                <w:sz w:val="24"/>
                <w:highlight w:val="none"/>
                <w:u w:val="single"/>
              </w:rPr>
              <w:t>"</w:t>
            </w:r>
          </w:p>
        </w:tc>
      </w:tr>
      <w:tr w14:paraId="6E3409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38" w:type="dxa"/>
            <w:gridSpan w:val="2"/>
            <w:tcMar>
              <w:top w:w="16" w:type="dxa"/>
              <w:left w:w="16" w:type="dxa"/>
              <w:right w:w="16" w:type="dxa"/>
            </w:tcMar>
            <w:vAlign w:val="center"/>
          </w:tcPr>
          <w:p w14:paraId="5BADE278">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国民经济</w:t>
            </w:r>
          </w:p>
          <w:p w14:paraId="38D5F714">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行业类别</w:t>
            </w:r>
          </w:p>
        </w:tc>
        <w:tc>
          <w:tcPr>
            <w:tcW w:w="1969" w:type="dxa"/>
            <w:vAlign w:val="center"/>
          </w:tcPr>
          <w:p w14:paraId="037479CF">
            <w:pPr>
              <w:keepNext w:val="0"/>
              <w:keepLines w:val="0"/>
              <w:suppressLineNumbers w:val="0"/>
              <w:adjustRightInd w:val="0"/>
              <w:snapToGrid w:val="0"/>
              <w:spacing w:before="0" w:beforeAutospacing="0" w:after="0" w:afterAutospacing="0"/>
              <w:ind w:left="0" w:right="0"/>
              <w:jc w:val="center"/>
              <w:rPr>
                <w:rFonts w:hint="default"/>
                <w:color w:val="auto"/>
                <w:sz w:val="24"/>
                <w:highlight w:val="none"/>
              </w:rPr>
            </w:pPr>
            <w:r>
              <w:rPr>
                <w:rFonts w:hint="default" w:ascii="Times New Roman" w:hAnsi="Times New Roman" w:eastAsia="Times New Roman" w:cs="Times New Roman"/>
                <w:spacing w:val="-2"/>
                <w:sz w:val="24"/>
                <w:szCs w:val="24"/>
                <w:highlight w:val="none"/>
              </w:rPr>
              <w:t xml:space="preserve">C3670 </w:t>
            </w:r>
            <w:r>
              <w:rPr>
                <w:rFonts w:hint="default"/>
                <w:spacing w:val="-2"/>
                <w:sz w:val="24"/>
                <w:szCs w:val="24"/>
                <w:highlight w:val="none"/>
              </w:rPr>
              <w:t>汽车零部件及</w:t>
            </w:r>
            <w:r>
              <w:rPr>
                <w:rFonts w:hint="default"/>
                <w:spacing w:val="7"/>
                <w:sz w:val="24"/>
                <w:szCs w:val="24"/>
                <w:highlight w:val="none"/>
              </w:rPr>
              <w:t xml:space="preserve"> </w:t>
            </w:r>
            <w:r>
              <w:rPr>
                <w:rFonts w:hint="default"/>
                <w:spacing w:val="-2"/>
                <w:sz w:val="24"/>
                <w:szCs w:val="24"/>
                <w:highlight w:val="none"/>
              </w:rPr>
              <w:t>配件制造</w:t>
            </w:r>
          </w:p>
        </w:tc>
        <w:tc>
          <w:tcPr>
            <w:tcW w:w="1937" w:type="dxa"/>
            <w:vAlign w:val="center"/>
          </w:tcPr>
          <w:p w14:paraId="2671AEE0">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bookmarkStart w:id="3" w:name="_Hlk49843745"/>
            <w:r>
              <w:rPr>
                <w:rFonts w:hint="default"/>
                <w:b/>
                <w:bCs/>
                <w:color w:val="auto"/>
                <w:sz w:val="24"/>
                <w:highlight w:val="none"/>
              </w:rPr>
              <w:t>建设项目</w:t>
            </w:r>
          </w:p>
          <w:p w14:paraId="724E9573">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行业类别</w:t>
            </w:r>
            <w:bookmarkEnd w:id="3"/>
          </w:p>
        </w:tc>
        <w:tc>
          <w:tcPr>
            <w:tcW w:w="2918" w:type="dxa"/>
            <w:vAlign w:val="center"/>
          </w:tcPr>
          <w:p w14:paraId="1041D1FF">
            <w:pPr>
              <w:keepNext w:val="0"/>
              <w:keepLines w:val="0"/>
              <w:suppressLineNumbers w:val="0"/>
              <w:adjustRightInd w:val="0"/>
              <w:snapToGrid w:val="0"/>
              <w:spacing w:before="0" w:beforeAutospacing="0" w:after="0" w:afterAutospacing="0"/>
              <w:ind w:left="0" w:right="0"/>
              <w:jc w:val="center"/>
              <w:rPr>
                <w:rFonts w:hint="eastAsia" w:eastAsia="宋体"/>
                <w:color w:val="auto"/>
                <w:sz w:val="24"/>
                <w:highlight w:val="none"/>
                <w:lang w:eastAsia="zh-CN"/>
              </w:rPr>
            </w:pPr>
            <w:r>
              <w:rPr>
                <w:rFonts w:hint="default" w:ascii="Times New Roman" w:hAnsi="Times New Roman" w:eastAsia="Times New Roman" w:cs="Times New Roman"/>
                <w:spacing w:val="-2"/>
                <w:sz w:val="24"/>
                <w:szCs w:val="24"/>
                <w:highlight w:val="none"/>
              </w:rPr>
              <w:t>三十三、汽车制造业71</w:t>
            </w:r>
            <w:r>
              <w:rPr>
                <w:rFonts w:hint="eastAsia" w:eastAsia="宋体" w:cs="Times New Roman"/>
                <w:spacing w:val="-2"/>
                <w:sz w:val="24"/>
                <w:szCs w:val="24"/>
                <w:highlight w:val="none"/>
                <w:lang w:val="en-US" w:eastAsia="zh-CN"/>
              </w:rPr>
              <w:t>--</w:t>
            </w:r>
            <w:r>
              <w:rPr>
                <w:rFonts w:hint="default" w:ascii="Times New Roman" w:hAnsi="Times New Roman" w:eastAsia="Times New Roman" w:cs="Times New Roman"/>
                <w:spacing w:val="-2"/>
                <w:sz w:val="24"/>
                <w:szCs w:val="24"/>
                <w:highlight w:val="none"/>
              </w:rPr>
              <w:t>汽车零部件及配件制造</w:t>
            </w:r>
            <w:r>
              <w:rPr>
                <w:rFonts w:hint="eastAsia" w:eastAsia="宋体" w:cs="Times New Roman"/>
                <w:spacing w:val="-2"/>
                <w:sz w:val="24"/>
                <w:szCs w:val="24"/>
                <w:highlight w:val="none"/>
                <w:lang w:val="en-US" w:eastAsia="zh-CN"/>
              </w:rPr>
              <w:t>367</w:t>
            </w:r>
            <w:r>
              <w:rPr>
                <w:rFonts w:hint="default" w:ascii="Times New Roman" w:hAnsi="Times New Roman" w:eastAsia="Times New Roman" w:cs="Times New Roman"/>
                <w:spacing w:val="-2"/>
                <w:sz w:val="24"/>
                <w:szCs w:val="24"/>
                <w:highlight w:val="none"/>
              </w:rPr>
              <w:t>-其他</w:t>
            </w:r>
          </w:p>
        </w:tc>
      </w:tr>
      <w:tr w14:paraId="5392BB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38" w:type="dxa"/>
            <w:gridSpan w:val="2"/>
            <w:tcMar>
              <w:top w:w="16" w:type="dxa"/>
              <w:left w:w="16" w:type="dxa"/>
              <w:right w:w="16" w:type="dxa"/>
            </w:tcMar>
            <w:vAlign w:val="center"/>
          </w:tcPr>
          <w:p w14:paraId="5D65628F">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建设性质</w:t>
            </w:r>
          </w:p>
        </w:tc>
        <w:tc>
          <w:tcPr>
            <w:tcW w:w="1969" w:type="dxa"/>
            <w:vAlign w:val="center"/>
          </w:tcPr>
          <w:p w14:paraId="1582E0E4">
            <w:pPr>
              <w:keepNext w:val="0"/>
              <w:keepLines w:val="0"/>
              <w:suppressLineNumbers w:val="0"/>
              <w:spacing w:before="0" w:beforeAutospacing="0" w:after="0" w:afterAutospacing="0"/>
              <w:ind w:left="0" w:right="0"/>
              <w:jc w:val="left"/>
              <w:rPr>
                <w:rFonts w:hint="default"/>
                <w:color w:val="auto"/>
                <w:sz w:val="24"/>
                <w:highlight w:val="none"/>
              </w:rPr>
            </w:pPr>
            <w:r>
              <w:rPr>
                <w:rFonts w:hint="default"/>
                <w:color w:val="auto"/>
                <w:sz w:val="24"/>
                <w:highlight w:val="none"/>
              </w:rPr>
              <w:sym w:font="Wingdings 2" w:char="0052"/>
            </w:r>
            <w:r>
              <w:rPr>
                <w:rFonts w:hint="default"/>
                <w:color w:val="auto"/>
                <w:sz w:val="24"/>
                <w:highlight w:val="none"/>
              </w:rPr>
              <w:t>新建（迁建）</w:t>
            </w:r>
          </w:p>
          <w:p w14:paraId="58FA559B">
            <w:pPr>
              <w:keepNext w:val="0"/>
              <w:keepLines w:val="0"/>
              <w:suppressLineNumbers w:val="0"/>
              <w:spacing w:before="0" w:beforeAutospacing="0" w:after="0" w:afterAutospacing="0"/>
              <w:ind w:left="0" w:right="0"/>
              <w:jc w:val="left"/>
              <w:rPr>
                <w:rFonts w:hint="default"/>
                <w:color w:val="auto"/>
                <w:sz w:val="24"/>
                <w:highlight w:val="none"/>
              </w:rPr>
            </w:pPr>
            <w:r>
              <w:rPr>
                <w:rFonts w:hint="default"/>
                <w:color w:val="auto"/>
                <w:sz w:val="24"/>
                <w:highlight w:val="none"/>
              </w:rPr>
              <w:sym w:font="Wingdings 2" w:char="00A3"/>
            </w:r>
            <w:r>
              <w:rPr>
                <w:rFonts w:hint="default"/>
                <w:color w:val="auto"/>
                <w:sz w:val="24"/>
                <w:highlight w:val="none"/>
              </w:rPr>
              <w:t>改建</w:t>
            </w:r>
          </w:p>
          <w:p w14:paraId="16B2FFCA">
            <w:pPr>
              <w:keepNext w:val="0"/>
              <w:keepLines w:val="0"/>
              <w:suppressLineNumbers w:val="0"/>
              <w:spacing w:before="0" w:beforeAutospacing="0" w:after="0" w:afterAutospacing="0"/>
              <w:ind w:left="0" w:right="0"/>
              <w:jc w:val="left"/>
              <w:rPr>
                <w:rFonts w:hint="default"/>
                <w:color w:val="auto"/>
                <w:sz w:val="24"/>
                <w:highlight w:val="none"/>
              </w:rPr>
            </w:pPr>
            <w:r>
              <w:rPr>
                <w:rFonts w:hint="default"/>
                <w:color w:val="auto"/>
                <w:sz w:val="24"/>
                <w:highlight w:val="none"/>
              </w:rPr>
              <w:sym w:font="Wingdings 2" w:char="00A3"/>
            </w:r>
            <w:r>
              <w:rPr>
                <w:rFonts w:hint="default"/>
                <w:color w:val="auto"/>
                <w:sz w:val="24"/>
                <w:highlight w:val="none"/>
              </w:rPr>
              <w:t>扩建</w:t>
            </w:r>
          </w:p>
          <w:p w14:paraId="6C0BB21C">
            <w:pPr>
              <w:keepNext w:val="0"/>
              <w:keepLines w:val="0"/>
              <w:suppressLineNumbers w:val="0"/>
              <w:spacing w:before="0" w:beforeAutospacing="0" w:after="0" w:afterAutospacing="0"/>
              <w:ind w:left="0" w:right="0"/>
              <w:jc w:val="left"/>
              <w:rPr>
                <w:rFonts w:hint="default"/>
                <w:color w:val="auto"/>
                <w:sz w:val="24"/>
                <w:highlight w:val="none"/>
              </w:rPr>
            </w:pPr>
            <w:r>
              <w:rPr>
                <w:rFonts w:hint="default"/>
                <w:color w:val="auto"/>
                <w:sz w:val="24"/>
                <w:highlight w:val="none"/>
              </w:rPr>
              <w:sym w:font="Wingdings 2" w:char="00A3"/>
            </w:r>
            <w:r>
              <w:rPr>
                <w:rFonts w:hint="default"/>
                <w:color w:val="auto"/>
                <w:sz w:val="24"/>
                <w:highlight w:val="none"/>
              </w:rPr>
              <w:t>技术改造</w:t>
            </w:r>
          </w:p>
        </w:tc>
        <w:tc>
          <w:tcPr>
            <w:tcW w:w="1937" w:type="dxa"/>
            <w:vAlign w:val="center"/>
          </w:tcPr>
          <w:p w14:paraId="17BCD230">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建设项目</w:t>
            </w:r>
          </w:p>
          <w:p w14:paraId="41D83236">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申报情形</w:t>
            </w:r>
          </w:p>
        </w:tc>
        <w:tc>
          <w:tcPr>
            <w:tcW w:w="2918" w:type="dxa"/>
            <w:vAlign w:val="center"/>
          </w:tcPr>
          <w:p w14:paraId="1E0B12FE">
            <w:pPr>
              <w:keepNext w:val="0"/>
              <w:keepLines w:val="0"/>
              <w:suppressLineNumbers w:val="0"/>
              <w:spacing w:before="0" w:beforeAutospacing="0" w:after="0" w:afterAutospacing="0"/>
              <w:ind w:left="0" w:right="0"/>
              <w:jc w:val="left"/>
              <w:rPr>
                <w:rFonts w:hint="default"/>
                <w:color w:val="auto"/>
                <w:sz w:val="24"/>
                <w:highlight w:val="none"/>
              </w:rPr>
            </w:pPr>
            <w:r>
              <w:rPr>
                <w:rFonts w:hint="default"/>
                <w:color w:val="auto"/>
                <w:sz w:val="24"/>
                <w:highlight w:val="none"/>
              </w:rPr>
              <w:sym w:font="Wingdings 2" w:char="0052"/>
            </w:r>
            <w:r>
              <w:rPr>
                <w:rFonts w:hint="default"/>
                <w:color w:val="auto"/>
                <w:sz w:val="24"/>
                <w:highlight w:val="none"/>
              </w:rPr>
              <w:t xml:space="preserve">首次申报项目             </w:t>
            </w:r>
          </w:p>
          <w:p w14:paraId="29E457CB">
            <w:pPr>
              <w:keepNext w:val="0"/>
              <w:keepLines w:val="0"/>
              <w:suppressLineNumbers w:val="0"/>
              <w:spacing w:before="0" w:beforeAutospacing="0" w:after="0" w:afterAutospacing="0"/>
              <w:ind w:left="0" w:right="0"/>
              <w:jc w:val="left"/>
              <w:rPr>
                <w:rFonts w:hint="default"/>
                <w:color w:val="auto"/>
                <w:sz w:val="24"/>
                <w:highlight w:val="none"/>
              </w:rPr>
            </w:pPr>
            <w:r>
              <w:rPr>
                <w:rFonts w:hint="default"/>
                <w:color w:val="auto"/>
                <w:sz w:val="24"/>
                <w:highlight w:val="none"/>
              </w:rPr>
              <w:sym w:font="Wingdings 2" w:char="00A3"/>
            </w:r>
            <w:r>
              <w:rPr>
                <w:rFonts w:hint="default"/>
                <w:color w:val="auto"/>
                <w:sz w:val="24"/>
                <w:highlight w:val="none"/>
              </w:rPr>
              <w:t>不予批准后再次申报项目</w:t>
            </w:r>
          </w:p>
          <w:p w14:paraId="3808BF18">
            <w:pPr>
              <w:keepNext w:val="0"/>
              <w:keepLines w:val="0"/>
              <w:suppressLineNumbers w:val="0"/>
              <w:spacing w:before="0" w:beforeAutospacing="0" w:after="0" w:afterAutospacing="0"/>
              <w:ind w:left="0" w:right="0"/>
              <w:jc w:val="left"/>
              <w:rPr>
                <w:rFonts w:hint="default"/>
                <w:color w:val="auto"/>
                <w:sz w:val="24"/>
                <w:highlight w:val="none"/>
              </w:rPr>
            </w:pPr>
            <w:r>
              <w:rPr>
                <w:rFonts w:hint="default"/>
                <w:color w:val="auto"/>
                <w:sz w:val="24"/>
                <w:highlight w:val="none"/>
              </w:rPr>
              <w:sym w:font="Wingdings 2" w:char="00A3"/>
            </w:r>
            <w:r>
              <w:rPr>
                <w:rFonts w:hint="default"/>
                <w:color w:val="auto"/>
                <w:sz w:val="24"/>
                <w:highlight w:val="none"/>
              </w:rPr>
              <w:t xml:space="preserve">超五年重新审核项目     </w:t>
            </w:r>
          </w:p>
          <w:p w14:paraId="4297C5F9">
            <w:pPr>
              <w:keepNext w:val="0"/>
              <w:keepLines w:val="0"/>
              <w:suppressLineNumbers w:val="0"/>
              <w:spacing w:before="0" w:beforeAutospacing="0" w:after="0" w:afterAutospacing="0"/>
              <w:ind w:left="0" w:right="0"/>
              <w:jc w:val="left"/>
              <w:rPr>
                <w:rFonts w:hint="default"/>
                <w:color w:val="auto"/>
                <w:sz w:val="24"/>
                <w:highlight w:val="none"/>
              </w:rPr>
            </w:pPr>
            <w:r>
              <w:rPr>
                <w:rFonts w:hint="default"/>
                <w:color w:val="auto"/>
                <w:sz w:val="24"/>
                <w:highlight w:val="none"/>
              </w:rPr>
              <w:sym w:font="Wingdings 2" w:char="00A3"/>
            </w:r>
            <w:r>
              <w:rPr>
                <w:rFonts w:hint="default"/>
                <w:color w:val="auto"/>
                <w:sz w:val="24"/>
                <w:highlight w:val="none"/>
              </w:rPr>
              <w:t>重大变动重新报批项目</w:t>
            </w:r>
          </w:p>
        </w:tc>
      </w:tr>
      <w:tr w14:paraId="2FF505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38" w:type="dxa"/>
            <w:gridSpan w:val="2"/>
            <w:tcMar>
              <w:top w:w="16" w:type="dxa"/>
              <w:left w:w="16" w:type="dxa"/>
              <w:right w:w="16" w:type="dxa"/>
            </w:tcMar>
            <w:vAlign w:val="center"/>
          </w:tcPr>
          <w:p w14:paraId="3F30C3E5">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项目审批（核准/</w:t>
            </w:r>
          </w:p>
          <w:p w14:paraId="4CD7F538">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备案）部门（选填）</w:t>
            </w:r>
          </w:p>
        </w:tc>
        <w:tc>
          <w:tcPr>
            <w:tcW w:w="1969" w:type="dxa"/>
            <w:vAlign w:val="center"/>
          </w:tcPr>
          <w:p w14:paraId="13E734B2">
            <w:pPr>
              <w:keepNext w:val="0"/>
              <w:keepLines w:val="0"/>
              <w:suppressLineNumbers w:val="0"/>
              <w:adjustRightInd w:val="0"/>
              <w:snapToGrid w:val="0"/>
              <w:spacing w:before="0" w:beforeAutospacing="0" w:after="0" w:afterAutospacing="0"/>
              <w:ind w:left="0" w:right="0"/>
              <w:jc w:val="center"/>
              <w:rPr>
                <w:rFonts w:hint="default"/>
                <w:color w:val="auto"/>
                <w:sz w:val="24"/>
                <w:highlight w:val="none"/>
              </w:rPr>
            </w:pPr>
            <w:r>
              <w:rPr>
                <w:rFonts w:hint="default"/>
                <w:color w:val="auto"/>
                <w:sz w:val="24"/>
                <w:highlight w:val="none"/>
              </w:rPr>
              <w:t>秦皇岛</w:t>
            </w:r>
            <w:r>
              <w:rPr>
                <w:rFonts w:hint="eastAsia"/>
                <w:color w:val="auto"/>
                <w:sz w:val="24"/>
                <w:highlight w:val="none"/>
              </w:rPr>
              <w:t>经济技术开发区行政审批</w:t>
            </w:r>
            <w:r>
              <w:rPr>
                <w:rFonts w:hint="default"/>
                <w:color w:val="auto"/>
                <w:sz w:val="24"/>
                <w:highlight w:val="none"/>
              </w:rPr>
              <w:t>局</w:t>
            </w:r>
          </w:p>
        </w:tc>
        <w:tc>
          <w:tcPr>
            <w:tcW w:w="1937" w:type="dxa"/>
            <w:vAlign w:val="center"/>
          </w:tcPr>
          <w:p w14:paraId="27DD51DA">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项目审批（核准/</w:t>
            </w:r>
          </w:p>
          <w:p w14:paraId="7099F315">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备案）文号（选填）</w:t>
            </w:r>
          </w:p>
        </w:tc>
        <w:tc>
          <w:tcPr>
            <w:tcW w:w="2918" w:type="dxa"/>
            <w:vAlign w:val="center"/>
          </w:tcPr>
          <w:p w14:paraId="5D0F5321">
            <w:pPr>
              <w:keepNext w:val="0"/>
              <w:keepLines w:val="0"/>
              <w:suppressLineNumbers w:val="0"/>
              <w:adjustRightInd w:val="0"/>
              <w:snapToGrid w:val="0"/>
              <w:spacing w:before="0" w:beforeAutospacing="0" w:after="0" w:afterAutospacing="0"/>
              <w:ind w:left="0" w:right="0"/>
              <w:jc w:val="center"/>
              <w:rPr>
                <w:rFonts w:hint="default"/>
                <w:color w:val="auto"/>
                <w:sz w:val="24"/>
                <w:highlight w:val="none"/>
              </w:rPr>
            </w:pPr>
            <w:r>
              <w:rPr>
                <w:rFonts w:hint="eastAsia"/>
                <w:snapToGrid w:val="0"/>
                <w:color w:val="auto"/>
                <w:sz w:val="24"/>
                <w:highlight w:val="none"/>
              </w:rPr>
              <w:t>冀秦区备字〔2025〕</w:t>
            </w:r>
            <w:r>
              <w:rPr>
                <w:rFonts w:hint="eastAsia"/>
                <w:snapToGrid w:val="0"/>
                <w:color w:val="auto"/>
                <w:sz w:val="24"/>
                <w:highlight w:val="none"/>
                <w:lang w:val="en-US" w:eastAsia="zh-CN"/>
              </w:rPr>
              <w:t>163</w:t>
            </w:r>
            <w:r>
              <w:rPr>
                <w:rFonts w:hint="eastAsia"/>
                <w:snapToGrid w:val="0"/>
                <w:color w:val="auto"/>
                <w:sz w:val="24"/>
                <w:highlight w:val="none"/>
              </w:rPr>
              <w:t>号</w:t>
            </w:r>
          </w:p>
        </w:tc>
      </w:tr>
      <w:tr w14:paraId="289D44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38" w:type="dxa"/>
            <w:gridSpan w:val="2"/>
            <w:tcMar>
              <w:top w:w="16" w:type="dxa"/>
              <w:left w:w="16" w:type="dxa"/>
              <w:right w:w="16" w:type="dxa"/>
            </w:tcMar>
            <w:vAlign w:val="center"/>
          </w:tcPr>
          <w:p w14:paraId="65DD609D">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总投资（万元）</w:t>
            </w:r>
          </w:p>
        </w:tc>
        <w:tc>
          <w:tcPr>
            <w:tcW w:w="1969" w:type="dxa"/>
            <w:vAlign w:val="center"/>
          </w:tcPr>
          <w:p w14:paraId="78D04E35">
            <w:pPr>
              <w:keepNext w:val="0"/>
              <w:keepLines w:val="0"/>
              <w:suppressLineNumbers w:val="0"/>
              <w:adjustRightInd w:val="0"/>
              <w:snapToGrid w:val="0"/>
              <w:spacing w:before="0" w:beforeAutospacing="0" w:after="0" w:afterAutospacing="0"/>
              <w:ind w:left="0" w:right="0"/>
              <w:jc w:val="center"/>
              <w:rPr>
                <w:rFonts w:hint="default" w:eastAsia="宋体"/>
                <w:color w:val="auto"/>
                <w:sz w:val="24"/>
                <w:highlight w:val="none"/>
                <w:lang w:val="en-US" w:eastAsia="zh-CN"/>
              </w:rPr>
            </w:pPr>
            <w:r>
              <w:rPr>
                <w:rFonts w:hint="eastAsia"/>
                <w:color w:val="auto"/>
                <w:sz w:val="24"/>
                <w:highlight w:val="none"/>
                <w:lang w:val="en-US" w:eastAsia="zh-CN"/>
              </w:rPr>
              <w:t>650</w:t>
            </w:r>
          </w:p>
        </w:tc>
        <w:tc>
          <w:tcPr>
            <w:tcW w:w="1937" w:type="dxa"/>
            <w:tcMar>
              <w:top w:w="16" w:type="dxa"/>
              <w:left w:w="16" w:type="dxa"/>
              <w:right w:w="16" w:type="dxa"/>
            </w:tcMar>
            <w:vAlign w:val="center"/>
          </w:tcPr>
          <w:p w14:paraId="6A554C06">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环保投资（万元）</w:t>
            </w:r>
          </w:p>
        </w:tc>
        <w:tc>
          <w:tcPr>
            <w:tcW w:w="2918" w:type="dxa"/>
            <w:vAlign w:val="center"/>
          </w:tcPr>
          <w:p w14:paraId="65527D49">
            <w:pPr>
              <w:keepNext w:val="0"/>
              <w:keepLines w:val="0"/>
              <w:suppressLineNumbers w:val="0"/>
              <w:adjustRightInd w:val="0"/>
              <w:snapToGrid w:val="0"/>
              <w:spacing w:before="0" w:beforeAutospacing="0" w:after="0" w:afterAutospacing="0"/>
              <w:ind w:left="0" w:right="0"/>
              <w:jc w:val="center"/>
              <w:rPr>
                <w:rFonts w:hint="default" w:eastAsia="宋体"/>
                <w:color w:val="auto"/>
                <w:sz w:val="24"/>
                <w:highlight w:val="none"/>
                <w:lang w:val="en-US" w:eastAsia="zh-CN"/>
              </w:rPr>
            </w:pPr>
            <w:r>
              <w:rPr>
                <w:rFonts w:hint="eastAsia"/>
                <w:color w:val="auto"/>
                <w:sz w:val="24"/>
                <w:highlight w:val="none"/>
                <w:lang w:val="en-US" w:eastAsia="zh-CN"/>
              </w:rPr>
              <w:t>80</w:t>
            </w:r>
          </w:p>
        </w:tc>
      </w:tr>
      <w:tr w14:paraId="3E3B39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38" w:type="dxa"/>
            <w:gridSpan w:val="2"/>
            <w:tcMar>
              <w:top w:w="16" w:type="dxa"/>
              <w:left w:w="16" w:type="dxa"/>
              <w:right w:w="16" w:type="dxa"/>
            </w:tcMar>
            <w:vAlign w:val="center"/>
          </w:tcPr>
          <w:p w14:paraId="34492541">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环保投资占比（%）</w:t>
            </w:r>
          </w:p>
        </w:tc>
        <w:tc>
          <w:tcPr>
            <w:tcW w:w="1969" w:type="dxa"/>
            <w:vAlign w:val="center"/>
          </w:tcPr>
          <w:p w14:paraId="752709B9">
            <w:pPr>
              <w:keepNext w:val="0"/>
              <w:keepLines w:val="0"/>
              <w:suppressLineNumbers w:val="0"/>
              <w:adjustRightInd w:val="0"/>
              <w:snapToGrid w:val="0"/>
              <w:spacing w:before="0" w:beforeAutospacing="0" w:after="0" w:afterAutospacing="0"/>
              <w:ind w:left="0" w:right="0"/>
              <w:jc w:val="center"/>
              <w:rPr>
                <w:rFonts w:hint="default" w:eastAsia="宋体"/>
                <w:color w:val="auto"/>
                <w:sz w:val="24"/>
                <w:highlight w:val="none"/>
                <w:lang w:val="en-US" w:eastAsia="zh-CN"/>
              </w:rPr>
            </w:pPr>
            <w:r>
              <w:rPr>
                <w:rFonts w:hint="eastAsia"/>
                <w:color w:val="auto"/>
                <w:sz w:val="24"/>
                <w:highlight w:val="none"/>
                <w:lang w:val="en-US" w:eastAsia="zh-CN"/>
              </w:rPr>
              <w:t>12.3</w:t>
            </w:r>
          </w:p>
        </w:tc>
        <w:tc>
          <w:tcPr>
            <w:tcW w:w="1937" w:type="dxa"/>
            <w:tcMar>
              <w:top w:w="16" w:type="dxa"/>
              <w:left w:w="16" w:type="dxa"/>
              <w:right w:w="16" w:type="dxa"/>
            </w:tcMar>
            <w:vAlign w:val="center"/>
          </w:tcPr>
          <w:p w14:paraId="75ACF99C">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施工工期</w:t>
            </w:r>
          </w:p>
        </w:tc>
        <w:tc>
          <w:tcPr>
            <w:tcW w:w="2918" w:type="dxa"/>
            <w:vAlign w:val="center"/>
          </w:tcPr>
          <w:p w14:paraId="07F0DC2C">
            <w:pPr>
              <w:keepNext w:val="0"/>
              <w:keepLines w:val="0"/>
              <w:suppressLineNumbers w:val="0"/>
              <w:adjustRightInd w:val="0"/>
              <w:snapToGrid w:val="0"/>
              <w:spacing w:before="0" w:beforeAutospacing="0" w:after="0" w:afterAutospacing="0"/>
              <w:ind w:left="0" w:right="0"/>
              <w:jc w:val="center"/>
              <w:rPr>
                <w:rFonts w:hint="default"/>
                <w:color w:val="auto"/>
                <w:sz w:val="24"/>
                <w:highlight w:val="none"/>
              </w:rPr>
            </w:pPr>
            <w:r>
              <w:rPr>
                <w:rFonts w:hint="eastAsia"/>
                <w:color w:val="auto"/>
                <w:sz w:val="24"/>
                <w:highlight w:val="none"/>
                <w:lang w:val="en-US" w:eastAsia="zh-CN"/>
              </w:rPr>
              <w:t>3</w:t>
            </w:r>
            <w:r>
              <w:rPr>
                <w:rFonts w:hint="eastAsia"/>
                <w:color w:val="auto"/>
                <w:sz w:val="24"/>
                <w:highlight w:val="none"/>
              </w:rPr>
              <w:t>个月</w:t>
            </w:r>
          </w:p>
        </w:tc>
      </w:tr>
      <w:tr w14:paraId="614999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238" w:type="dxa"/>
            <w:gridSpan w:val="2"/>
            <w:tcMar>
              <w:top w:w="16" w:type="dxa"/>
              <w:left w:w="16" w:type="dxa"/>
              <w:right w:w="16" w:type="dxa"/>
            </w:tcMar>
            <w:vAlign w:val="center"/>
          </w:tcPr>
          <w:p w14:paraId="01107870">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是否开工建设</w:t>
            </w:r>
          </w:p>
        </w:tc>
        <w:tc>
          <w:tcPr>
            <w:tcW w:w="1969" w:type="dxa"/>
            <w:vAlign w:val="center"/>
          </w:tcPr>
          <w:p w14:paraId="6FE923E5">
            <w:pPr>
              <w:keepNext w:val="0"/>
              <w:keepLines w:val="0"/>
              <w:suppressLineNumbers w:val="0"/>
              <w:adjustRightInd w:val="0"/>
              <w:snapToGrid w:val="0"/>
              <w:spacing w:before="0" w:beforeAutospacing="0" w:after="0" w:afterAutospacing="0"/>
              <w:ind w:left="0" w:right="0"/>
              <w:rPr>
                <w:rFonts w:hint="default"/>
                <w:color w:val="auto"/>
                <w:sz w:val="24"/>
                <w:highlight w:val="none"/>
              </w:rPr>
            </w:pPr>
            <w:r>
              <w:rPr>
                <w:rFonts w:hint="default"/>
                <w:color w:val="auto"/>
                <w:sz w:val="24"/>
                <w:highlight w:val="none"/>
              </w:rPr>
              <w:sym w:font="Wingdings 2" w:char="0052"/>
            </w:r>
            <w:r>
              <w:rPr>
                <w:rFonts w:hint="default"/>
                <w:color w:val="auto"/>
                <w:sz w:val="24"/>
                <w:highlight w:val="none"/>
              </w:rPr>
              <w:t>否</w:t>
            </w:r>
          </w:p>
          <w:p w14:paraId="5E1305C5">
            <w:pPr>
              <w:keepNext w:val="0"/>
              <w:keepLines w:val="0"/>
              <w:suppressLineNumbers w:val="0"/>
              <w:adjustRightInd w:val="0"/>
              <w:snapToGrid w:val="0"/>
              <w:spacing w:before="0" w:beforeAutospacing="0" w:after="0" w:afterAutospacing="0"/>
              <w:ind w:left="0" w:right="0"/>
              <w:rPr>
                <w:rFonts w:hint="default"/>
                <w:color w:val="auto"/>
                <w:sz w:val="24"/>
                <w:highlight w:val="none"/>
              </w:rPr>
            </w:pPr>
            <w:r>
              <w:rPr>
                <w:rFonts w:hint="default"/>
                <w:color w:val="auto"/>
                <w:sz w:val="24"/>
                <w:highlight w:val="none"/>
              </w:rPr>
              <w:sym w:font="Wingdings 2" w:char="00A3"/>
            </w:r>
            <w:r>
              <w:rPr>
                <w:rFonts w:hint="default"/>
                <w:color w:val="auto"/>
                <w:sz w:val="24"/>
                <w:highlight w:val="none"/>
              </w:rPr>
              <w:t>是：</w:t>
            </w:r>
            <w:r>
              <w:rPr>
                <w:rFonts w:hint="default"/>
                <w:color w:val="auto"/>
                <w:sz w:val="24"/>
                <w:highlight w:val="none"/>
                <w:u w:val="single"/>
              </w:rPr>
              <w:t xml:space="preserve">             </w:t>
            </w:r>
          </w:p>
        </w:tc>
        <w:tc>
          <w:tcPr>
            <w:tcW w:w="1937" w:type="dxa"/>
            <w:tcMar>
              <w:top w:w="16" w:type="dxa"/>
              <w:left w:w="16" w:type="dxa"/>
              <w:right w:w="16" w:type="dxa"/>
            </w:tcMar>
            <w:vAlign w:val="center"/>
          </w:tcPr>
          <w:p w14:paraId="1AD14C6E">
            <w:pPr>
              <w:keepNext w:val="0"/>
              <w:keepLines w:val="0"/>
              <w:suppressLineNumbers w:val="0"/>
              <w:adjustRightInd w:val="0"/>
              <w:snapToGrid w:val="0"/>
              <w:spacing w:before="0" w:beforeAutospacing="0" w:after="0" w:afterAutospacing="0"/>
              <w:ind w:left="0" w:right="0"/>
              <w:jc w:val="center"/>
              <w:rPr>
                <w:rFonts w:hint="default"/>
                <w:b/>
                <w:bCs/>
                <w:color w:val="auto"/>
                <w:spacing w:val="-6"/>
                <w:sz w:val="24"/>
                <w:highlight w:val="none"/>
              </w:rPr>
            </w:pPr>
            <w:r>
              <w:rPr>
                <w:rFonts w:hint="default"/>
                <w:b/>
                <w:bCs/>
                <w:color w:val="auto"/>
                <w:spacing w:val="-6"/>
                <w:sz w:val="24"/>
                <w:highlight w:val="none"/>
              </w:rPr>
              <w:t>用地（用海）</w:t>
            </w:r>
          </w:p>
          <w:p w14:paraId="6A6DE715">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pacing w:val="-6"/>
                <w:sz w:val="24"/>
                <w:highlight w:val="none"/>
              </w:rPr>
              <w:t>面积（m</w:t>
            </w:r>
            <w:r>
              <w:rPr>
                <w:rFonts w:hint="default"/>
                <w:b/>
                <w:bCs/>
                <w:color w:val="auto"/>
                <w:spacing w:val="-6"/>
                <w:sz w:val="24"/>
                <w:highlight w:val="none"/>
                <w:vertAlign w:val="superscript"/>
              </w:rPr>
              <w:t>2</w:t>
            </w:r>
            <w:r>
              <w:rPr>
                <w:rFonts w:hint="default"/>
                <w:b/>
                <w:bCs/>
                <w:color w:val="auto"/>
                <w:spacing w:val="-6"/>
                <w:sz w:val="24"/>
                <w:highlight w:val="none"/>
              </w:rPr>
              <w:t>）</w:t>
            </w:r>
          </w:p>
        </w:tc>
        <w:tc>
          <w:tcPr>
            <w:tcW w:w="2918" w:type="dxa"/>
            <w:vAlign w:val="center"/>
          </w:tcPr>
          <w:p w14:paraId="154709A4">
            <w:pPr>
              <w:keepNext w:val="0"/>
              <w:keepLines w:val="0"/>
              <w:suppressLineNumbers w:val="0"/>
              <w:adjustRightInd w:val="0"/>
              <w:snapToGrid w:val="0"/>
              <w:spacing w:before="0" w:beforeAutospacing="0" w:after="0" w:afterAutospacing="0"/>
              <w:ind w:left="0" w:right="0"/>
              <w:jc w:val="center"/>
              <w:rPr>
                <w:rFonts w:hint="default" w:eastAsia="宋体"/>
                <w:color w:val="auto"/>
                <w:sz w:val="24"/>
                <w:highlight w:val="none"/>
                <w:lang w:val="en-US" w:eastAsia="zh-CN"/>
              </w:rPr>
            </w:pPr>
            <w:r>
              <w:rPr>
                <w:rFonts w:hint="eastAsia"/>
                <w:color w:val="auto"/>
                <w:sz w:val="24"/>
                <w:highlight w:val="none"/>
                <w:lang w:val="en-US" w:eastAsia="zh-CN"/>
              </w:rPr>
              <w:t>1728</w:t>
            </w:r>
          </w:p>
        </w:tc>
      </w:tr>
      <w:tr w14:paraId="17EDFC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38" w:type="dxa"/>
            <w:gridSpan w:val="2"/>
            <w:vAlign w:val="center"/>
          </w:tcPr>
          <w:p w14:paraId="5F914F9B">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r>
              <w:rPr>
                <w:rFonts w:hint="default"/>
                <w:b/>
                <w:bCs/>
                <w:color w:val="auto"/>
                <w:kern w:val="0"/>
                <w:sz w:val="24"/>
                <w:highlight w:val="none"/>
              </w:rPr>
              <w:t>专项评价设置情况</w:t>
            </w:r>
          </w:p>
        </w:tc>
        <w:tc>
          <w:tcPr>
            <w:tcW w:w="6824" w:type="dxa"/>
            <w:gridSpan w:val="3"/>
            <w:vAlign w:val="center"/>
          </w:tcPr>
          <w:p w14:paraId="64A7E44B">
            <w:pPr>
              <w:keepNext w:val="0"/>
              <w:keepLines w:val="0"/>
              <w:suppressLineNumbers w:val="0"/>
              <w:autoSpaceDE w:val="0"/>
              <w:autoSpaceDN w:val="0"/>
              <w:adjustRightInd w:val="0"/>
              <w:snapToGrid w:val="0"/>
              <w:spacing w:before="0" w:beforeAutospacing="0" w:after="0" w:afterAutospacing="0"/>
              <w:ind w:left="0" w:right="0"/>
              <w:jc w:val="center"/>
              <w:rPr>
                <w:rFonts w:hint="default"/>
                <w:color w:val="auto"/>
                <w:kern w:val="0"/>
                <w:sz w:val="24"/>
                <w:highlight w:val="none"/>
              </w:rPr>
            </w:pPr>
            <w:r>
              <w:rPr>
                <w:rFonts w:hint="eastAsia"/>
                <w:color w:val="auto"/>
                <w:kern w:val="0"/>
                <w:sz w:val="24"/>
                <w:highlight w:val="none"/>
              </w:rPr>
              <w:t>无</w:t>
            </w:r>
          </w:p>
        </w:tc>
      </w:tr>
      <w:tr w14:paraId="174A57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7" w:hRule="atLeast"/>
          <w:jc w:val="center"/>
        </w:trPr>
        <w:tc>
          <w:tcPr>
            <w:tcW w:w="2238" w:type="dxa"/>
            <w:gridSpan w:val="2"/>
            <w:vAlign w:val="center"/>
          </w:tcPr>
          <w:p w14:paraId="1FEFDF2E">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r>
              <w:rPr>
                <w:rFonts w:hint="default"/>
                <w:b/>
                <w:bCs/>
                <w:color w:val="auto"/>
                <w:sz w:val="24"/>
                <w:highlight w:val="none"/>
              </w:rPr>
              <w:t>规划情况</w:t>
            </w:r>
          </w:p>
        </w:tc>
        <w:tc>
          <w:tcPr>
            <w:tcW w:w="6824" w:type="dxa"/>
            <w:gridSpan w:val="3"/>
            <w:shd w:val="clear" w:color="auto" w:fill="auto"/>
            <w:vAlign w:val="center"/>
          </w:tcPr>
          <w:p w14:paraId="5B0417A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秦皇岛新兴产业园：</w:t>
            </w:r>
          </w:p>
          <w:p w14:paraId="60B559E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规划文件名称：《秦皇岛新兴产业园</w:t>
            </w:r>
            <w:r>
              <w:rPr>
                <w:rFonts w:hint="default" w:ascii="Times New Roman" w:hAnsi="Times New Roman" w:cs="Times New Roman"/>
                <w:color w:val="auto"/>
                <w:kern w:val="0"/>
                <w:sz w:val="24"/>
                <w:szCs w:val="24"/>
                <w:highlight w:val="none"/>
                <w:lang w:val="en-US" w:eastAsia="zh-CN" w:bidi="ar-SA"/>
              </w:rPr>
              <w:t>总体</w:t>
            </w:r>
            <w:r>
              <w:rPr>
                <w:rFonts w:hint="default" w:ascii="Times New Roman" w:hAnsi="Times New Roman" w:eastAsia="宋体" w:cs="Times New Roman"/>
                <w:color w:val="auto"/>
                <w:kern w:val="0"/>
                <w:sz w:val="24"/>
                <w:szCs w:val="24"/>
                <w:highlight w:val="none"/>
                <w:lang w:val="en-US" w:eastAsia="zh-CN" w:bidi="ar-SA"/>
              </w:rPr>
              <w:t>规划（2010</w:t>
            </w:r>
            <w:r>
              <w:rPr>
                <w:rFonts w:hint="default" w:ascii="Times New Roman" w:hAnsi="Times New Roman"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2020年）》</w:t>
            </w:r>
            <w:r>
              <w:rPr>
                <w:rFonts w:hint="default" w:ascii="Times New Roman" w:hAnsi="Times New Roman" w:cs="Times New Roman"/>
                <w:color w:val="auto"/>
                <w:kern w:val="0"/>
                <w:sz w:val="24"/>
                <w:szCs w:val="24"/>
                <w:highlight w:val="none"/>
                <w:lang w:val="en-US" w:eastAsia="zh-CN" w:bidi="ar-SA"/>
              </w:rPr>
              <w:t xml:space="preserve">    </w:t>
            </w:r>
            <w:r>
              <w:rPr>
                <w:rFonts w:hint="default" w:ascii="Times New Roman" w:hAnsi="Times New Roman" w:eastAsia="宋体" w:cs="Times New Roman"/>
                <w:color w:val="auto"/>
                <w:kern w:val="0"/>
                <w:sz w:val="24"/>
                <w:szCs w:val="24"/>
                <w:highlight w:val="none"/>
                <w:lang w:val="en-US" w:eastAsia="zh-CN" w:bidi="ar-SA"/>
              </w:rPr>
              <w:t>召集审查机关：</w:t>
            </w:r>
            <w:r>
              <w:rPr>
                <w:rFonts w:hint="default" w:ascii="Times New Roman" w:hAnsi="Times New Roman" w:cs="Times New Roman"/>
                <w:color w:val="auto"/>
                <w:kern w:val="0"/>
                <w:sz w:val="24"/>
                <w:szCs w:val="24"/>
                <w:highlight w:val="none"/>
                <w:lang w:val="en-US" w:eastAsia="zh-CN" w:bidi="ar-SA"/>
              </w:rPr>
              <w:t>河北省人民政府</w:t>
            </w:r>
          </w:p>
          <w:p w14:paraId="3B8E30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审查文件名称及文号：《关于批准设立首批省级工业聚集区的通知》（冀政函〔2011〕74 号</w:t>
            </w:r>
            <w:r>
              <w:rPr>
                <w:rFonts w:hint="default" w:ascii="Times New Roman" w:hAnsi="Times New Roman" w:cs="Times New Roman"/>
                <w:color w:val="auto"/>
                <w:kern w:val="0"/>
                <w:sz w:val="24"/>
                <w:szCs w:val="24"/>
                <w:highlight w:val="none"/>
                <w:lang w:val="en-US" w:eastAsia="zh-CN" w:bidi="ar-SA"/>
              </w:rPr>
              <w:t>）</w:t>
            </w:r>
          </w:p>
        </w:tc>
      </w:tr>
      <w:tr w14:paraId="2D407B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66" w:hRule="atLeast"/>
          <w:jc w:val="center"/>
        </w:trPr>
        <w:tc>
          <w:tcPr>
            <w:tcW w:w="2238" w:type="dxa"/>
            <w:gridSpan w:val="2"/>
            <w:vAlign w:val="center"/>
          </w:tcPr>
          <w:p w14:paraId="19FA009D">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规划环境影响</w:t>
            </w:r>
          </w:p>
          <w:p w14:paraId="26F642AE">
            <w:pPr>
              <w:keepNext w:val="0"/>
              <w:keepLines w:val="0"/>
              <w:suppressLineNumbers w:val="0"/>
              <w:adjustRightInd w:val="0"/>
              <w:snapToGrid w:val="0"/>
              <w:spacing w:before="0" w:beforeAutospacing="0" w:after="0" w:afterAutospacing="0"/>
              <w:ind w:left="0" w:right="0"/>
              <w:jc w:val="center"/>
              <w:rPr>
                <w:rFonts w:hint="default"/>
                <w:b/>
                <w:bCs/>
                <w:color w:val="auto"/>
                <w:kern w:val="0"/>
                <w:sz w:val="24"/>
                <w:highlight w:val="none"/>
              </w:rPr>
            </w:pPr>
            <w:r>
              <w:rPr>
                <w:rFonts w:hint="default"/>
                <w:b/>
                <w:bCs/>
                <w:color w:val="auto"/>
                <w:sz w:val="24"/>
                <w:highlight w:val="none"/>
              </w:rPr>
              <w:t>评价情况</w:t>
            </w:r>
          </w:p>
        </w:tc>
        <w:tc>
          <w:tcPr>
            <w:tcW w:w="6824" w:type="dxa"/>
            <w:gridSpan w:val="3"/>
            <w:shd w:val="clear" w:color="auto" w:fill="auto"/>
            <w:vAlign w:val="center"/>
          </w:tcPr>
          <w:p w14:paraId="156E0D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秦皇岛新兴产业园：</w:t>
            </w:r>
          </w:p>
          <w:p w14:paraId="74F705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cs="Times New Roman"/>
                <w:color w:val="auto"/>
                <w:kern w:val="0"/>
                <w:sz w:val="24"/>
                <w:szCs w:val="24"/>
                <w:highlight w:val="none"/>
                <w:lang w:val="en-US" w:eastAsia="zh-CN" w:bidi="ar-SA"/>
              </w:rPr>
              <w:t>（1）</w:t>
            </w:r>
            <w:r>
              <w:rPr>
                <w:rFonts w:hint="default" w:ascii="Times New Roman" w:hAnsi="Times New Roman" w:eastAsia="宋体" w:cs="Times New Roman"/>
                <w:color w:val="auto"/>
                <w:kern w:val="0"/>
                <w:sz w:val="24"/>
                <w:szCs w:val="24"/>
                <w:highlight w:val="none"/>
                <w:lang w:val="en-US" w:eastAsia="zh-CN" w:bidi="ar-SA"/>
              </w:rPr>
              <w:t>规划环境影响评价文件名称：《秦皇岛新兴产业园控制性详细规划</w:t>
            </w:r>
            <w:r>
              <w:rPr>
                <w:rFonts w:hint="default" w:ascii="Times New Roman" w:hAnsi="Times New Roman"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2010-2020年</w:t>
            </w:r>
            <w:r>
              <w:rPr>
                <w:rFonts w:hint="default" w:ascii="Times New Roman" w:hAnsi="Times New Roman"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环境影响报告》</w:t>
            </w:r>
          </w:p>
          <w:p w14:paraId="6BE57C9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召集审查机关：</w:t>
            </w:r>
            <w:r>
              <w:rPr>
                <w:rFonts w:hint="default" w:ascii="Times New Roman" w:hAnsi="Times New Roman" w:cs="Times New Roman"/>
                <w:color w:val="auto"/>
                <w:kern w:val="0"/>
                <w:sz w:val="24"/>
                <w:szCs w:val="24"/>
                <w:highlight w:val="none"/>
                <w:lang w:val="en-US" w:eastAsia="zh-CN" w:bidi="ar-SA"/>
              </w:rPr>
              <w:t>原河北省环境保护厅</w:t>
            </w:r>
          </w:p>
          <w:p w14:paraId="0F89DB9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 xml:space="preserve">审查文件名称及文号：《关于转送秦皇岛新兴产业园控制性详细规划(2010-2020年)环境影响报告书审查意见的函》（冀环评函 </w:t>
            </w:r>
            <w:r>
              <w:rPr>
                <w:rFonts w:hint="default" w:ascii="Times New Roman" w:hAnsi="Times New Roman"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2013</w:t>
            </w:r>
            <w:r>
              <w:rPr>
                <w:rFonts w:hint="default" w:ascii="Times New Roman" w:hAnsi="Times New Roman" w:cs="Times New Roman"/>
                <w:color w:val="auto"/>
                <w:kern w:val="0"/>
                <w:sz w:val="24"/>
                <w:szCs w:val="24"/>
                <w:highlight w:val="none"/>
                <w:lang w:val="en-US" w:eastAsia="zh-CN" w:bidi="ar-SA"/>
              </w:rPr>
              <w:t>]11</w:t>
            </w:r>
            <w:r>
              <w:rPr>
                <w:rFonts w:hint="default" w:ascii="Times New Roman" w:hAnsi="Times New Roman" w:eastAsia="宋体" w:cs="Times New Roman"/>
                <w:color w:val="auto"/>
                <w:kern w:val="0"/>
                <w:sz w:val="24"/>
                <w:szCs w:val="24"/>
                <w:highlight w:val="none"/>
                <w:lang w:val="en-US" w:eastAsia="zh-CN" w:bidi="ar-SA"/>
              </w:rPr>
              <w:t>97号）</w:t>
            </w:r>
          </w:p>
          <w:p w14:paraId="3F1A67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cs="Times New Roman"/>
                <w:color w:val="auto"/>
                <w:kern w:val="0"/>
                <w:sz w:val="24"/>
                <w:szCs w:val="24"/>
                <w:highlight w:val="none"/>
                <w:lang w:val="en-US" w:eastAsia="zh-CN" w:bidi="ar-SA"/>
              </w:rPr>
              <w:t>（2）</w:t>
            </w:r>
            <w:r>
              <w:rPr>
                <w:rFonts w:hint="default" w:ascii="Times New Roman" w:hAnsi="Times New Roman" w:eastAsia="宋体" w:cs="Times New Roman"/>
                <w:color w:val="auto"/>
                <w:kern w:val="0"/>
                <w:sz w:val="24"/>
                <w:szCs w:val="24"/>
                <w:highlight w:val="none"/>
                <w:lang w:val="en-US" w:eastAsia="zh-CN" w:bidi="ar-SA"/>
              </w:rPr>
              <w:t>规划环境影响评价文件名称：《秦皇岛新兴产业园</w:t>
            </w:r>
            <w:r>
              <w:rPr>
                <w:rFonts w:hint="default" w:ascii="Times New Roman" w:hAnsi="Times New Roman" w:cs="Times New Roman"/>
                <w:color w:val="auto"/>
                <w:kern w:val="0"/>
                <w:sz w:val="24"/>
                <w:szCs w:val="24"/>
                <w:highlight w:val="none"/>
                <w:lang w:val="en-US" w:eastAsia="zh-CN" w:bidi="ar-SA"/>
              </w:rPr>
              <w:t>总体</w:t>
            </w:r>
            <w:r>
              <w:rPr>
                <w:rFonts w:hint="default" w:ascii="Times New Roman" w:hAnsi="Times New Roman" w:eastAsia="宋体" w:cs="Times New Roman"/>
                <w:color w:val="auto"/>
                <w:kern w:val="0"/>
                <w:sz w:val="24"/>
                <w:szCs w:val="24"/>
                <w:highlight w:val="none"/>
                <w:lang w:val="en-US" w:eastAsia="zh-CN" w:bidi="ar-SA"/>
              </w:rPr>
              <w:t>规划（2010-2020年）环境影响</w:t>
            </w:r>
            <w:r>
              <w:rPr>
                <w:rFonts w:hint="default" w:ascii="Times New Roman" w:hAnsi="Times New Roman" w:cs="Times New Roman"/>
                <w:color w:val="auto"/>
                <w:kern w:val="0"/>
                <w:sz w:val="24"/>
                <w:szCs w:val="24"/>
                <w:highlight w:val="none"/>
                <w:lang w:val="en-US" w:eastAsia="zh-CN" w:bidi="ar-SA"/>
              </w:rPr>
              <w:t>跟踪评价</w:t>
            </w:r>
            <w:r>
              <w:rPr>
                <w:rFonts w:hint="default" w:ascii="Times New Roman" w:hAnsi="Times New Roman" w:eastAsia="宋体" w:cs="Times New Roman"/>
                <w:color w:val="auto"/>
                <w:kern w:val="0"/>
                <w:sz w:val="24"/>
                <w:szCs w:val="24"/>
                <w:highlight w:val="none"/>
                <w:lang w:val="en-US" w:eastAsia="zh-CN" w:bidi="ar-SA"/>
              </w:rPr>
              <w:t>报告书》</w:t>
            </w:r>
          </w:p>
          <w:p w14:paraId="1F0A716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召集审查机关：</w:t>
            </w:r>
            <w:r>
              <w:rPr>
                <w:rFonts w:hint="default" w:ascii="Times New Roman" w:hAnsi="Times New Roman" w:cs="Times New Roman"/>
                <w:color w:val="auto"/>
                <w:kern w:val="0"/>
                <w:sz w:val="24"/>
                <w:szCs w:val="24"/>
                <w:highlight w:val="none"/>
                <w:lang w:val="en-US" w:eastAsia="zh-CN" w:bidi="ar-SA"/>
              </w:rPr>
              <w:t>秦皇岛市生态环境局</w:t>
            </w:r>
          </w:p>
          <w:p w14:paraId="16595E9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审查文件名称及文号：《关于秦皇岛新兴产业园总体规划环境影响跟踪评价工作有关意见的函》（</w:t>
            </w:r>
            <w:r>
              <w:rPr>
                <w:rFonts w:hint="default" w:ascii="Times New Roman" w:hAnsi="Times New Roman" w:cs="Times New Roman"/>
                <w:color w:val="auto"/>
                <w:kern w:val="0"/>
                <w:sz w:val="24"/>
                <w:szCs w:val="24"/>
                <w:highlight w:val="none"/>
                <w:lang w:val="en-US" w:eastAsia="zh-CN" w:bidi="ar-SA"/>
              </w:rPr>
              <w:t>秦环</w:t>
            </w:r>
            <w:r>
              <w:rPr>
                <w:rFonts w:hint="default" w:ascii="Times New Roman" w:hAnsi="Times New Roman" w:eastAsia="宋体" w:cs="Times New Roman"/>
                <w:color w:val="auto"/>
                <w:kern w:val="0"/>
                <w:sz w:val="24"/>
                <w:szCs w:val="24"/>
                <w:highlight w:val="none"/>
                <w:lang w:val="en-US" w:eastAsia="zh-CN" w:bidi="ar-SA"/>
              </w:rPr>
              <w:t>环评函[20</w:t>
            </w:r>
            <w:r>
              <w:rPr>
                <w:rFonts w:hint="default" w:ascii="Times New Roman" w:hAnsi="Times New Roman" w:cs="Times New Roman"/>
                <w:color w:val="auto"/>
                <w:kern w:val="0"/>
                <w:sz w:val="24"/>
                <w:szCs w:val="24"/>
                <w:highlight w:val="none"/>
                <w:lang w:val="en-US" w:eastAsia="zh-CN" w:bidi="ar-SA"/>
              </w:rPr>
              <w:t>21</w:t>
            </w:r>
            <w:r>
              <w:rPr>
                <w:rFonts w:hint="default" w:ascii="Times New Roman" w:hAnsi="Times New Roman" w:eastAsia="宋体" w:cs="Times New Roman"/>
                <w:color w:val="auto"/>
                <w:kern w:val="0"/>
                <w:sz w:val="24"/>
                <w:szCs w:val="24"/>
                <w:highlight w:val="none"/>
                <w:lang w:val="en-US" w:eastAsia="zh-CN" w:bidi="ar-SA"/>
              </w:rPr>
              <w:t>]2号）</w:t>
            </w:r>
          </w:p>
        </w:tc>
      </w:tr>
      <w:tr w14:paraId="1A9B46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95" w:hRule="atLeast"/>
          <w:jc w:val="center"/>
        </w:trPr>
        <w:tc>
          <w:tcPr>
            <w:tcW w:w="412" w:type="dxa"/>
            <w:vAlign w:val="center"/>
          </w:tcPr>
          <w:p w14:paraId="002CF736">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E83129D">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55FE1C3">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0F6F65B0">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47C201B8">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4E52ADCD">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55D8B7C">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1D8C6BD5">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4E476AE">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6BE383F6">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64B82370">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A99A9FA">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5FDD02AA">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2EB6481">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15231346">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1DDCD116">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r>
              <w:rPr>
                <w:rFonts w:hint="default"/>
                <w:b/>
                <w:bCs/>
                <w:color w:val="auto"/>
                <w:kern w:val="0"/>
                <w:sz w:val="24"/>
                <w:highlight w:val="none"/>
              </w:rPr>
              <w:t>规划及规划环境影响评价符合性分析</w:t>
            </w:r>
          </w:p>
          <w:p w14:paraId="1AB8B5FB">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5AF887D3">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62668D40">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534FEC19">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115FA037">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69F7588D">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76C3B446">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E80F9C5">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F16B52F">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5E353DD6">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7631AE8">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75AAA7CF">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1905A7DE">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52A567B8">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86169EC">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6D837FC5">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A11FD9A">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9948CCD">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5C2CAC34">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176B298E">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73CF1C0">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BC1F8CC">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51F401E7">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1C443A60">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0A125FB7">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57680D84">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64B3AB0F">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C411247">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1926D6E6">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7EFA87C">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45C0D7BD">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r>
              <w:rPr>
                <w:rFonts w:hint="default"/>
                <w:b/>
                <w:bCs/>
                <w:color w:val="auto"/>
                <w:kern w:val="0"/>
                <w:sz w:val="24"/>
                <w:highlight w:val="none"/>
              </w:rPr>
              <w:t>规划及规划环境影响评价符合性分析</w:t>
            </w:r>
          </w:p>
          <w:p w14:paraId="18055C73">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3BD32EC">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67EC328">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7BDB2F75">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038AF7B3">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7C0EDB59">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148C1405">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E7CB000">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446107F">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0F24CE6E">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5EC016C3">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782F31F8">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10F14497">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6A2729B6">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66BAC5D5">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0FF9ADF8">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79659731">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16BE4C85">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3439B6D">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48272FF">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21E3FC8">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4488C2ED">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7E8393D3">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A5452AC">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79D8D7DB">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BCFF2D7">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407BCF86">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17377D7F">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48B9191">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06902E72">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7EF2C6CB">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r>
              <w:rPr>
                <w:rFonts w:hint="default"/>
                <w:b/>
                <w:bCs/>
                <w:color w:val="auto"/>
                <w:kern w:val="0"/>
                <w:sz w:val="24"/>
                <w:highlight w:val="none"/>
              </w:rPr>
              <w:t>规划及规划环境影响评价符合性分析</w:t>
            </w:r>
          </w:p>
          <w:p w14:paraId="2DFC4D2E">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7BAD6E87">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AF8BCB4">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1D92802">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6F368040">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14D8307">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55B3F9D">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4773DC14">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5C73AAB6">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5CB650B4">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13A38D06">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74BD60EC">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1E88A8FD">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15521843">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5775F7C9">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61D9EDA4">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8095CEC">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4C2EC733">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58DF5D7F">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4EAF992F">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7661B80D">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0EF514FA">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615521E">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001F67CB">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46A64957">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0A4A3FEC">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7EBF59F6">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73146FAB">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1A359F86">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426CF242">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6DF7986E">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r>
              <w:rPr>
                <w:rFonts w:hint="default"/>
                <w:b/>
                <w:bCs/>
                <w:color w:val="auto"/>
                <w:kern w:val="0"/>
                <w:sz w:val="24"/>
                <w:highlight w:val="none"/>
              </w:rPr>
              <w:t>规划及规划环境影响评价符合性分析</w:t>
            </w:r>
          </w:p>
          <w:p w14:paraId="02A59266">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70F14302">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F0EEC05">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6D42C270">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64F0ACD">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534387F1">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73723A5E">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8F634FF">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7E01B22">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3517CF5">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1A9A056E">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4301E889">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70231EEE">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0E9EF149">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59A80573">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9E3D9DB">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57D54F64">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40B039C9">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1C1E80CD">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02971777">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491376EB">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EFFA4B4">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D5815A2">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15DA0583">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9FBB5A0">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481DFC7B">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68262517">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1FE450B3">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6CBFAB5E">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40982787">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B55EC9F">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r>
              <w:rPr>
                <w:rFonts w:hint="default"/>
                <w:b/>
                <w:bCs/>
                <w:color w:val="auto"/>
                <w:kern w:val="0"/>
                <w:sz w:val="24"/>
                <w:highlight w:val="none"/>
              </w:rPr>
              <w:t>规划及规划环境影响评价符合性分析</w:t>
            </w:r>
          </w:p>
          <w:p w14:paraId="1041B43B">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630A11F8">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07C2E8FF">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0C1F7A4E">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33407A1">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04C1A56D">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9EA550B">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5E4B5C34">
            <w:pPr>
              <w:keepNext w:val="0"/>
              <w:keepLines w:val="0"/>
              <w:suppressLineNumbers w:val="0"/>
              <w:autoSpaceDE w:val="0"/>
              <w:autoSpaceDN w:val="0"/>
              <w:adjustRightInd w:val="0"/>
              <w:snapToGrid w:val="0"/>
              <w:spacing w:before="0" w:beforeAutospacing="0" w:after="0" w:afterAutospacing="0"/>
              <w:ind w:left="0" w:right="0"/>
              <w:jc w:val="both"/>
              <w:rPr>
                <w:rFonts w:hint="default"/>
                <w:b/>
                <w:bCs/>
                <w:color w:val="auto"/>
                <w:kern w:val="0"/>
                <w:sz w:val="24"/>
                <w:highlight w:val="none"/>
              </w:rPr>
            </w:pPr>
          </w:p>
          <w:p w14:paraId="42416BA1">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02A3C13">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69D45A47">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9324E4C">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0D57F47">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35A4267B">
            <w:pPr>
              <w:keepNext w:val="0"/>
              <w:keepLines w:val="0"/>
              <w:suppressLineNumbers w:val="0"/>
              <w:autoSpaceDE w:val="0"/>
              <w:autoSpaceDN w:val="0"/>
              <w:adjustRightInd w:val="0"/>
              <w:snapToGrid w:val="0"/>
              <w:spacing w:before="0" w:beforeAutospacing="0" w:after="0" w:afterAutospacing="0"/>
              <w:ind w:left="0" w:right="0"/>
              <w:jc w:val="center"/>
              <w:rPr>
                <w:rFonts w:hint="default"/>
                <w:b/>
                <w:bCs/>
                <w:color w:val="auto"/>
                <w:kern w:val="0"/>
                <w:sz w:val="24"/>
                <w:highlight w:val="none"/>
              </w:rPr>
            </w:pPr>
          </w:p>
          <w:p w14:paraId="2DDF5EFA">
            <w:pPr>
              <w:keepNext w:val="0"/>
              <w:keepLines w:val="0"/>
              <w:suppressLineNumbers w:val="0"/>
              <w:autoSpaceDE w:val="0"/>
              <w:autoSpaceDN w:val="0"/>
              <w:adjustRightInd w:val="0"/>
              <w:snapToGrid w:val="0"/>
              <w:spacing w:before="0" w:beforeAutospacing="0" w:after="0" w:afterAutospacing="0"/>
              <w:ind w:left="0" w:right="0"/>
              <w:jc w:val="both"/>
              <w:rPr>
                <w:rFonts w:hint="default"/>
                <w:b/>
                <w:bCs/>
                <w:color w:val="auto"/>
                <w:kern w:val="0"/>
                <w:sz w:val="24"/>
                <w:highlight w:val="none"/>
              </w:rPr>
            </w:pPr>
          </w:p>
        </w:tc>
        <w:tc>
          <w:tcPr>
            <w:tcW w:w="8650" w:type="dxa"/>
            <w:gridSpan w:val="4"/>
            <w:vAlign w:val="center"/>
          </w:tcPr>
          <w:p w14:paraId="42986496">
            <w:pPr>
              <w:pStyle w:val="6"/>
              <w:keepNext w:val="0"/>
              <w:keepLines w:val="0"/>
              <w:suppressLineNumbers w:val="0"/>
              <w:spacing w:before="0" w:beforeAutospacing="0" w:after="0" w:afterAutospacing="0"/>
              <w:ind w:left="0" w:right="0"/>
              <w:rPr>
                <w:rFonts w:hint="default" w:ascii="Times New Roman" w:hAnsi="Times New Roman" w:cs="Times New Roman"/>
                <w:color w:val="auto"/>
                <w:sz w:val="28"/>
                <w:szCs w:val="28"/>
                <w:highlight w:val="none"/>
              </w:rPr>
            </w:pPr>
            <w:r>
              <w:rPr>
                <w:rFonts w:hint="default" w:ascii="Times New Roman" w:hAnsi="Times New Roman" w:cs="Times New Roman"/>
                <w:color w:val="auto"/>
                <w:sz w:val="28"/>
                <w:szCs w:val="28"/>
                <w:highlight w:val="none"/>
              </w:rPr>
              <w:t>1建设项目与相关规划</w:t>
            </w:r>
            <w:r>
              <w:rPr>
                <w:rFonts w:hint="default" w:ascii="Times New Roman" w:hAnsi="Times New Roman" w:cs="Times New Roman"/>
                <w:color w:val="auto"/>
                <w:sz w:val="28"/>
                <w:szCs w:val="28"/>
                <w:highlight w:val="none"/>
                <w:lang w:val="en-US" w:eastAsia="zh-CN"/>
              </w:rPr>
              <w:t>和产业政策</w:t>
            </w:r>
            <w:r>
              <w:rPr>
                <w:rFonts w:hint="default" w:ascii="Times New Roman" w:hAnsi="Times New Roman" w:cs="Times New Roman"/>
                <w:color w:val="auto"/>
                <w:sz w:val="28"/>
                <w:szCs w:val="28"/>
                <w:highlight w:val="none"/>
              </w:rPr>
              <w:t>的符合性</w:t>
            </w:r>
          </w:p>
          <w:p w14:paraId="74C2DDD0">
            <w:pPr>
              <w:pStyle w:val="5"/>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（1）用地规划符合性：本项目位于</w:t>
            </w:r>
            <w:r>
              <w:rPr>
                <w:rFonts w:hint="eastAsia" w:ascii="Times New Roman" w:hAnsi="Times New Roman" w:eastAsia="宋体" w:cs="Times New Roman"/>
                <w:color w:val="auto"/>
                <w:kern w:val="2"/>
                <w:sz w:val="24"/>
                <w:szCs w:val="24"/>
                <w:highlight w:val="none"/>
                <w:lang w:val="en-US" w:eastAsia="zh-CN" w:bidi="ar-SA"/>
              </w:rPr>
              <w:t>秦皇岛市开发区龙海道37号戴河国际产业园</w:t>
            </w:r>
            <w:r>
              <w:rPr>
                <w:rFonts w:hint="eastAsia" w:cs="Times New Roman"/>
                <w:color w:val="auto"/>
                <w:kern w:val="2"/>
                <w:sz w:val="24"/>
                <w:szCs w:val="24"/>
                <w:highlight w:val="none"/>
                <w:lang w:val="en-US" w:eastAsia="zh-CN" w:bidi="ar-SA"/>
              </w:rPr>
              <w:t>13</w:t>
            </w:r>
            <w:r>
              <w:rPr>
                <w:rFonts w:hint="eastAsia" w:ascii="Times New Roman" w:hAnsi="Times New Roman" w:eastAsia="宋体" w:cs="Times New Roman"/>
                <w:color w:val="auto"/>
                <w:kern w:val="2"/>
                <w:sz w:val="24"/>
                <w:szCs w:val="24"/>
                <w:highlight w:val="none"/>
                <w:lang w:val="en-US" w:eastAsia="zh-CN" w:bidi="ar-SA"/>
              </w:rPr>
              <w:t>号厂房</w:t>
            </w:r>
            <w:r>
              <w:rPr>
                <w:rFonts w:hint="default" w:ascii="Times New Roman" w:hAnsi="Times New Roman" w:eastAsia="宋体" w:cs="Times New Roman"/>
                <w:color w:val="auto"/>
                <w:kern w:val="2"/>
                <w:sz w:val="24"/>
                <w:szCs w:val="24"/>
                <w:highlight w:val="none"/>
                <w:lang w:val="en-US" w:eastAsia="zh-CN" w:bidi="ar-SA"/>
              </w:rPr>
              <w:t>，项目地块为</w:t>
            </w:r>
            <w:r>
              <w:rPr>
                <w:rFonts w:hint="default" w:ascii="Times New Roman" w:hAnsi="Times New Roman" w:cs="Times New Roman"/>
                <w:color w:val="auto"/>
                <w:kern w:val="2"/>
                <w:sz w:val="24"/>
                <w:szCs w:val="24"/>
                <w:highlight w:val="none"/>
                <w:lang w:val="en-US" w:eastAsia="zh-CN" w:bidi="ar-SA"/>
              </w:rPr>
              <w:t>工业用地</w:t>
            </w:r>
            <w:r>
              <w:rPr>
                <w:rFonts w:hint="default" w:ascii="Times New Roman" w:hAnsi="Times New Roman" w:eastAsia="宋体" w:cs="Times New Roman"/>
                <w:color w:val="auto"/>
                <w:kern w:val="2"/>
                <w:sz w:val="24"/>
                <w:szCs w:val="24"/>
                <w:highlight w:val="none"/>
                <w:lang w:val="en-US" w:eastAsia="zh-CN" w:bidi="ar-SA"/>
              </w:rPr>
              <w:t>，用地不属于《自然资源要素支撑产业高质量发展指导目录》（2024年本）的限制或禁止项目，符合秦皇岛经济技术开发区用地规划要求和准入要求。</w:t>
            </w:r>
          </w:p>
          <w:p w14:paraId="6E9040BB">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kern w:val="2"/>
                <w:sz w:val="24"/>
                <w:szCs w:val="24"/>
                <w:highlight w:val="none"/>
                <w:lang w:val="en-US" w:eastAsia="zh-CN" w:bidi="ar-SA"/>
              </w:rPr>
              <w:t>（2）国家及地方产业政策规划符合性：根据国家发改委令《产业结构调整指导目录（20</w:t>
            </w:r>
            <w:r>
              <w:rPr>
                <w:rFonts w:hint="default" w:ascii="Times New Roman" w:hAnsi="Times New Roman" w:cs="Times New Roman"/>
                <w:color w:val="auto"/>
                <w:kern w:val="2"/>
                <w:sz w:val="24"/>
                <w:szCs w:val="24"/>
                <w:highlight w:val="none"/>
                <w:lang w:val="en-US" w:eastAsia="zh-CN" w:bidi="ar-SA"/>
              </w:rPr>
              <w:t>24</w:t>
            </w:r>
            <w:r>
              <w:rPr>
                <w:rFonts w:hint="default" w:ascii="Times New Roman" w:hAnsi="Times New Roman" w:eastAsia="宋体" w:cs="Times New Roman"/>
                <w:color w:val="auto"/>
                <w:kern w:val="2"/>
                <w:sz w:val="24"/>
                <w:szCs w:val="24"/>
                <w:highlight w:val="none"/>
                <w:lang w:val="en-US" w:eastAsia="zh-CN" w:bidi="ar-SA"/>
              </w:rPr>
              <w:t>年本）》，本项目</w:t>
            </w:r>
            <w:r>
              <w:rPr>
                <w:rFonts w:hint="default" w:ascii="Times New Roman" w:hAnsi="Times New Roman" w:cs="Times New Roman"/>
                <w:color w:val="auto"/>
                <w:sz w:val="24"/>
                <w:szCs w:val="24"/>
                <w:highlight w:val="none"/>
              </w:rPr>
              <w:t>不属于限制类和淘汰类，</w:t>
            </w:r>
            <w:r>
              <w:rPr>
                <w:rFonts w:hint="eastAsia" w:cs="Times New Roman"/>
                <w:color w:val="auto"/>
                <w:sz w:val="24"/>
                <w:szCs w:val="24"/>
                <w:highlight w:val="none"/>
                <w:lang w:val="en-US" w:eastAsia="zh-CN"/>
              </w:rPr>
              <w:t>属于鼓励类，</w:t>
            </w:r>
            <w:r>
              <w:rPr>
                <w:rFonts w:hint="default" w:ascii="Times New Roman" w:hAnsi="Times New Roman" w:cs="Times New Roman"/>
                <w:color w:val="auto"/>
                <w:sz w:val="24"/>
                <w:szCs w:val="24"/>
                <w:highlight w:val="none"/>
              </w:rPr>
              <w:t>符合国家现行产业政策。不属于《市场准入负面清单（202</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年版）》中禁止准入类项目；</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本项目不在《环境保护综合名录（2021年版）》所列“高污染、高风险”管控项目内；不在《河北省发展和改革委员会关于加强新建“两高”项目管理的通知（冀发改环资[2022]691号）》“高耗能、高排放”项目管理目录内。</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项目生产设备不在《淘汰落后生产能力、工艺和产品的目录》（第一、二、三批）所列“落后生产能力、落后生产工艺装备、落后产品”目录内。</w:t>
            </w:r>
            <w:r>
              <w:rPr>
                <w:rFonts w:hint="default" w:ascii="Times New Roman" w:hAnsi="Times New Roman" w:cs="Times New Roman"/>
                <w:color w:val="auto"/>
                <w:sz w:val="24"/>
                <w:szCs w:val="24"/>
                <w:highlight w:val="none"/>
              </w:rPr>
              <w:t>本项目已取得了企业投资项目备案信息</w:t>
            </w:r>
            <w:r>
              <w:rPr>
                <w:rFonts w:hint="default" w:ascii="Times New Roman" w:hAnsi="Times New Roman" w:cs="Times New Roman"/>
                <w:color w:val="auto"/>
                <w:sz w:val="24"/>
                <w:szCs w:val="24"/>
                <w:highlight w:val="none"/>
                <w:lang w:val="en-US" w:eastAsia="zh-CN"/>
              </w:rPr>
              <w:t>：冀秦区备字〔2025〕</w:t>
            </w:r>
            <w:r>
              <w:rPr>
                <w:rFonts w:hint="eastAsia" w:cs="Times New Roman"/>
                <w:color w:val="auto"/>
                <w:sz w:val="24"/>
                <w:szCs w:val="24"/>
                <w:highlight w:val="none"/>
                <w:lang w:val="en-US" w:eastAsia="zh-CN"/>
              </w:rPr>
              <w:t>163</w:t>
            </w:r>
            <w:r>
              <w:rPr>
                <w:rFonts w:hint="default" w:ascii="Times New Roman" w:hAnsi="Times New Roman" w:cs="Times New Roman"/>
                <w:color w:val="auto"/>
                <w:sz w:val="24"/>
                <w:szCs w:val="24"/>
                <w:highlight w:val="none"/>
                <w:lang w:val="en-US" w:eastAsia="zh-CN"/>
              </w:rPr>
              <w:t>号，项目代码：250</w:t>
            </w:r>
            <w:r>
              <w:rPr>
                <w:rFonts w:hint="eastAsia" w:cs="Times New Roman"/>
                <w:color w:val="auto"/>
                <w:sz w:val="24"/>
                <w:szCs w:val="24"/>
                <w:highlight w:val="none"/>
                <w:lang w:val="en-US" w:eastAsia="zh-CN"/>
              </w:rPr>
              <w:t>6-130371-89-01-202395</w:t>
            </w:r>
            <w:r>
              <w:rPr>
                <w:rFonts w:hint="default" w:ascii="Times New Roman" w:hAnsi="Times New Roman" w:cs="Times New Roman"/>
                <w:color w:val="auto"/>
                <w:sz w:val="24"/>
                <w:szCs w:val="24"/>
                <w:highlight w:val="none"/>
              </w:rPr>
              <w:t>，项目建设符合国家及地方产业政策。</w:t>
            </w:r>
          </w:p>
          <w:p w14:paraId="06AA4337">
            <w:pPr>
              <w:pStyle w:val="6"/>
              <w:keepNext w:val="0"/>
              <w:keepLines w:val="0"/>
              <w:suppressLineNumbers w:val="0"/>
              <w:spacing w:before="0" w:beforeAutospacing="0" w:after="0" w:afterAutospacing="0"/>
              <w:ind w:left="0" w:right="0"/>
              <w:rPr>
                <w:rFonts w:hint="default" w:ascii="Times New Roman" w:hAnsi="Times New Roman" w:cs="Times New Roman"/>
                <w:color w:val="auto"/>
                <w:sz w:val="28"/>
                <w:szCs w:val="28"/>
                <w:highlight w:val="none"/>
              </w:rPr>
            </w:pPr>
            <w:r>
              <w:rPr>
                <w:rFonts w:hint="default" w:ascii="Times New Roman" w:hAnsi="Times New Roman" w:cs="Times New Roman"/>
                <w:color w:val="auto"/>
                <w:sz w:val="28"/>
                <w:szCs w:val="28"/>
                <w:highlight w:val="none"/>
              </w:rPr>
              <w:t>2项目与园区规划环境影响评价的符合性</w:t>
            </w:r>
          </w:p>
          <w:p w14:paraId="6438028E">
            <w:pPr>
              <w:pStyle w:val="5"/>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kern w:val="2"/>
                <w:sz w:val="24"/>
                <w:szCs w:val="24"/>
                <w:highlight w:val="none"/>
                <w:lang w:val="en-US" w:eastAsia="zh-CN" w:bidi="ar-SA"/>
              </w:rPr>
              <w:t>根据《秦皇岛新兴产业园控制性详细规划（2010-2020年）环境影响报告书》（冀环评函[2013]1197号）和《关于秦皇岛新兴产业园总体规划环境影响跟踪评价工作有关意见的函》（秦环环评函[2021]2号），产业园功能定位为：以高端产业功能为核心，集高新技术、科技研发、生产服务为一体的高科技、生态型、现代化的产业聚集区。产业定位为：以“高端定位、市场导向、立足基础、体现特色、环保至上”为产业发展思路，重点发展“高新技术产业、科技研发、创意传媒、动漫产业、生产性服务业”等三大类，其中高新技术产业包括新能源产业、信息技术产业、新能源汽车产业、节能环保产业、高端装备制造业。</w:t>
            </w:r>
          </w:p>
          <w:p w14:paraId="5E06D7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kern w:val="21"/>
                <w:sz w:val="24"/>
                <w:szCs w:val="20"/>
                <w:highlight w:val="none"/>
                <w:lang w:val="en-US" w:eastAsia="zh-CN" w:bidi="ar-SA"/>
              </w:rPr>
            </w:pPr>
            <w:r>
              <w:rPr>
                <w:rFonts w:hint="default" w:ascii="Times New Roman" w:hAnsi="Times New Roman" w:eastAsia="宋体" w:cs="Times New Roman"/>
                <w:b/>
                <w:color w:val="auto"/>
                <w:kern w:val="21"/>
                <w:sz w:val="24"/>
                <w:szCs w:val="20"/>
                <w:highlight w:val="none"/>
                <w:lang w:val="en-US" w:eastAsia="zh-CN" w:bidi="ar-SA"/>
              </w:rPr>
              <w:t>表1-1  规划环评中生态环境负面清单</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4285"/>
              <w:gridCol w:w="2281"/>
              <w:gridCol w:w="1139"/>
            </w:tblGrid>
            <w:tr w14:paraId="4FDDB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6" w:type="dxa"/>
                  <w:vAlign w:val="center"/>
                </w:tcPr>
                <w:p w14:paraId="6B7EF2CE">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4267" w:type="dxa"/>
                  <w:vAlign w:val="center"/>
                </w:tcPr>
                <w:p w14:paraId="125BFF8D">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禁止准入类内容</w:t>
                  </w:r>
                </w:p>
              </w:tc>
              <w:tc>
                <w:tcPr>
                  <w:tcW w:w="2271" w:type="dxa"/>
                  <w:vAlign w:val="center"/>
                </w:tcPr>
                <w:p w14:paraId="00C9AACD">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本项目情况</w:t>
                  </w:r>
                </w:p>
              </w:tc>
              <w:tc>
                <w:tcPr>
                  <w:tcW w:w="1134" w:type="dxa"/>
                  <w:vAlign w:val="center"/>
                </w:tcPr>
                <w:p w14:paraId="09369597">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符合性</w:t>
                  </w:r>
                </w:p>
              </w:tc>
            </w:tr>
            <w:tr w14:paraId="7E4A3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8" w:type="dxa"/>
                  <w:gridSpan w:val="4"/>
                  <w:vAlign w:val="center"/>
                </w:tcPr>
                <w:p w14:paraId="2C77FF94">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新兴产业园整体行业准入负面清单</w:t>
                  </w:r>
                </w:p>
              </w:tc>
            </w:tr>
            <w:tr w14:paraId="27C24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6" w:type="dxa"/>
                  <w:vAlign w:val="center"/>
                </w:tcPr>
                <w:p w14:paraId="59DA7FD0">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4267" w:type="dxa"/>
                  <w:vAlign w:val="center"/>
                </w:tcPr>
                <w:p w14:paraId="606FEECC">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禁止“两高一资”类项目入园</w:t>
                  </w:r>
                </w:p>
              </w:tc>
              <w:tc>
                <w:tcPr>
                  <w:tcW w:w="2271" w:type="dxa"/>
                  <w:vAlign w:val="center"/>
                </w:tcPr>
                <w:p w14:paraId="1AC8DC8F">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本项目不属于“两高一资”类项目</w:t>
                  </w:r>
                </w:p>
              </w:tc>
              <w:tc>
                <w:tcPr>
                  <w:tcW w:w="1134" w:type="dxa"/>
                  <w:vAlign w:val="center"/>
                </w:tcPr>
                <w:p w14:paraId="79E2D45A">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32B01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6" w:type="dxa"/>
                  <w:vAlign w:val="center"/>
                </w:tcPr>
                <w:p w14:paraId="26FFEC4C">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4267" w:type="dxa"/>
                  <w:vAlign w:val="center"/>
                </w:tcPr>
                <w:p w14:paraId="2D931254">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禁止引入《产业结构调整指导目录（</w:t>
                  </w:r>
                  <w:r>
                    <w:rPr>
                      <w:rFonts w:hint="default" w:ascii="Times New Roman" w:hAnsi="Times New Roman" w:cs="Times New Roman"/>
                      <w:color w:val="auto"/>
                      <w:sz w:val="21"/>
                      <w:szCs w:val="21"/>
                      <w:highlight w:val="none"/>
                      <w:lang w:val="en-US" w:eastAsia="zh-CN"/>
                    </w:rPr>
                    <w:t>2024年本</w:t>
                  </w:r>
                  <w:r>
                    <w:rPr>
                      <w:rFonts w:hint="default" w:ascii="Times New Roman" w:hAnsi="Times New Roman" w:cs="Times New Roman"/>
                      <w:color w:val="auto"/>
                      <w:sz w:val="21"/>
                      <w:szCs w:val="21"/>
                      <w:highlight w:val="none"/>
                    </w:rPr>
                    <w:t>）》淘汰类或限制类建设项目</w:t>
                  </w:r>
                </w:p>
              </w:tc>
              <w:tc>
                <w:tcPr>
                  <w:tcW w:w="2271" w:type="dxa"/>
                  <w:vAlign w:val="center"/>
                </w:tcPr>
                <w:p w14:paraId="312F5CC5">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本项目不属于《产业结构调整指导目录（</w:t>
                  </w:r>
                  <w:r>
                    <w:rPr>
                      <w:rFonts w:hint="default" w:ascii="Times New Roman" w:hAnsi="Times New Roman" w:cs="Times New Roman"/>
                      <w:color w:val="auto"/>
                      <w:sz w:val="21"/>
                      <w:szCs w:val="21"/>
                      <w:highlight w:val="none"/>
                      <w:lang w:val="en-US" w:eastAsia="zh-CN"/>
                    </w:rPr>
                    <w:t>2024年本</w:t>
                  </w:r>
                  <w:r>
                    <w:rPr>
                      <w:rFonts w:hint="default" w:ascii="Times New Roman" w:hAnsi="Times New Roman" w:cs="Times New Roman"/>
                      <w:color w:val="auto"/>
                      <w:sz w:val="21"/>
                      <w:szCs w:val="21"/>
                      <w:highlight w:val="none"/>
                    </w:rPr>
                    <w:t>）》中淘汰类或限制类建设项目</w:t>
                  </w:r>
                </w:p>
              </w:tc>
              <w:tc>
                <w:tcPr>
                  <w:tcW w:w="1134" w:type="dxa"/>
                  <w:vAlign w:val="center"/>
                </w:tcPr>
                <w:p w14:paraId="2A61A7D1">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219C4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6" w:type="dxa"/>
                  <w:vAlign w:val="center"/>
                </w:tcPr>
                <w:p w14:paraId="7323B2DB">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4267" w:type="dxa"/>
                  <w:vAlign w:val="center"/>
                </w:tcPr>
                <w:p w14:paraId="10BB9838">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禁止新建、扩建《国务院关于化解产能严重过剩矛盾的指导意见》中所列产能严重过剩行业</w:t>
                  </w:r>
                </w:p>
              </w:tc>
              <w:tc>
                <w:tcPr>
                  <w:tcW w:w="2271" w:type="dxa"/>
                  <w:vAlign w:val="center"/>
                </w:tcPr>
                <w:p w14:paraId="4CAE5877">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本项目不属于《国务院关于化解产能严重过剩矛盾的指导意见》中所列产能严重过剩行业</w:t>
                  </w:r>
                </w:p>
              </w:tc>
              <w:tc>
                <w:tcPr>
                  <w:tcW w:w="1134" w:type="dxa"/>
                  <w:vAlign w:val="center"/>
                </w:tcPr>
                <w:p w14:paraId="0989DBD0">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71EF7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6" w:type="dxa"/>
                  <w:vAlign w:val="center"/>
                </w:tcPr>
                <w:p w14:paraId="14F2E7A0">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4267" w:type="dxa"/>
                  <w:vAlign w:val="center"/>
                </w:tcPr>
                <w:p w14:paraId="402F4DCD">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《秦皇岛市限制和禁止投资产业目录（2020年修订版）》淘汰类或限制类建设项目</w:t>
                  </w:r>
                </w:p>
              </w:tc>
              <w:tc>
                <w:tcPr>
                  <w:tcW w:w="2271" w:type="dxa"/>
                  <w:vAlign w:val="center"/>
                </w:tcPr>
                <w:p w14:paraId="71721012">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此文件已作废、本次不再对照分析</w:t>
                  </w:r>
                </w:p>
              </w:tc>
              <w:tc>
                <w:tcPr>
                  <w:tcW w:w="1134" w:type="dxa"/>
                  <w:vAlign w:val="center"/>
                </w:tcPr>
                <w:p w14:paraId="05E07B16">
                  <w:pPr>
                    <w:pStyle w:val="61"/>
                    <w:keepNext w:val="0"/>
                    <w:keepLines w:val="0"/>
                    <w:suppressLineNumbers w:val="0"/>
                    <w:spacing w:before="24" w:beforeAutospacing="0" w:after="24" w:afterAutospacing="0" w:line="240" w:lineRule="auto"/>
                    <w:ind w:left="0" w:right="0" w:firstLine="0" w:firstLineChars="0"/>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w:t>
                  </w:r>
                </w:p>
              </w:tc>
            </w:tr>
            <w:tr w14:paraId="1DC72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6" w:type="dxa"/>
                  <w:vAlign w:val="center"/>
                </w:tcPr>
                <w:p w14:paraId="11593B4E">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w:t>
                  </w:r>
                </w:p>
              </w:tc>
              <w:tc>
                <w:tcPr>
                  <w:tcW w:w="4267" w:type="dxa"/>
                  <w:vAlign w:val="center"/>
                </w:tcPr>
                <w:p w14:paraId="5CA2D5DB">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禁止建设基础化工类建设项目，禁止新建、扩建原料药类、化工、钢铁、水泥、火电、平板玻璃建设项目</w:t>
                  </w:r>
                </w:p>
              </w:tc>
              <w:tc>
                <w:tcPr>
                  <w:tcW w:w="2271" w:type="dxa"/>
                  <w:vAlign w:val="center"/>
                </w:tcPr>
                <w:p w14:paraId="42D3FC42">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本项目为</w:t>
                  </w:r>
                  <w:r>
                    <w:rPr>
                      <w:rFonts w:hint="eastAsia" w:ascii="Times New Roman" w:hAnsi="Times New Roman" w:cs="Times New Roman"/>
                      <w:color w:val="auto"/>
                      <w:sz w:val="21"/>
                      <w:szCs w:val="21"/>
                      <w:highlight w:val="none"/>
                    </w:rPr>
                    <w:t>C</w:t>
                  </w:r>
                  <w:r>
                    <w:rPr>
                      <w:rFonts w:hint="eastAsia" w:ascii="Times New Roman" w:cs="Times New Roman"/>
                      <w:color w:val="auto"/>
                      <w:sz w:val="21"/>
                      <w:szCs w:val="21"/>
                      <w:highlight w:val="none"/>
                      <w:lang w:val="en-US" w:eastAsia="zh-CN"/>
                    </w:rPr>
                    <w:t>3670汽车零部件及配件制造</w:t>
                  </w:r>
                  <w:r>
                    <w:rPr>
                      <w:rFonts w:hint="default" w:ascii="Times New Roman" w:hAnsi="Times New Roman" w:cs="Times New Roman"/>
                      <w:color w:val="auto"/>
                      <w:sz w:val="21"/>
                      <w:szCs w:val="21"/>
                      <w:highlight w:val="none"/>
                    </w:rPr>
                    <w:t>，不属于</w:t>
                  </w:r>
                  <w:r>
                    <w:rPr>
                      <w:rFonts w:hint="default" w:ascii="Times New Roman" w:hAnsi="Times New Roman" w:cs="Times New Roman"/>
                      <w:color w:val="auto"/>
                      <w:sz w:val="21"/>
                      <w:szCs w:val="21"/>
                      <w:highlight w:val="none"/>
                      <w:lang w:val="en-US" w:eastAsia="zh-CN"/>
                    </w:rPr>
                    <w:t>禁止建设类</w:t>
                  </w:r>
                  <w:r>
                    <w:rPr>
                      <w:rFonts w:hint="default" w:ascii="Times New Roman" w:hAnsi="Times New Roman" w:cs="Times New Roman"/>
                      <w:color w:val="auto"/>
                      <w:sz w:val="21"/>
                      <w:szCs w:val="21"/>
                      <w:highlight w:val="none"/>
                    </w:rPr>
                    <w:t>项目</w:t>
                  </w:r>
                </w:p>
              </w:tc>
              <w:tc>
                <w:tcPr>
                  <w:tcW w:w="1134" w:type="dxa"/>
                  <w:vAlign w:val="center"/>
                </w:tcPr>
                <w:p w14:paraId="41EC06B0">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1B494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6" w:type="dxa"/>
                  <w:vAlign w:val="center"/>
                </w:tcPr>
                <w:p w14:paraId="5D641AB5">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w:t>
                  </w:r>
                </w:p>
              </w:tc>
              <w:tc>
                <w:tcPr>
                  <w:tcW w:w="4267" w:type="dxa"/>
                  <w:vAlign w:val="center"/>
                </w:tcPr>
                <w:p w14:paraId="2092835E">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禁止新建农药类高毒性、高挥发性有机物排放的建设项目</w:t>
                  </w:r>
                </w:p>
              </w:tc>
              <w:tc>
                <w:tcPr>
                  <w:tcW w:w="2271" w:type="dxa"/>
                  <w:vAlign w:val="center"/>
                </w:tcPr>
                <w:p w14:paraId="5FC9EDD6">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不涉及</w:t>
                  </w:r>
                </w:p>
              </w:tc>
              <w:tc>
                <w:tcPr>
                  <w:tcW w:w="1134" w:type="dxa"/>
                  <w:vAlign w:val="center"/>
                </w:tcPr>
                <w:p w14:paraId="4CF1B60A">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1C1AA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6" w:type="dxa"/>
                  <w:vAlign w:val="center"/>
                </w:tcPr>
                <w:p w14:paraId="0EC35539">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w:t>
                  </w:r>
                </w:p>
              </w:tc>
              <w:tc>
                <w:tcPr>
                  <w:tcW w:w="4267" w:type="dxa"/>
                  <w:vAlign w:val="center"/>
                </w:tcPr>
                <w:p w14:paraId="2457459B">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禁止公墓项目和机动车训练场项目占用耕地，亦不能通过先行办理城市分批次农用地转用等形式变相占用耕地</w:t>
                  </w:r>
                </w:p>
              </w:tc>
              <w:tc>
                <w:tcPr>
                  <w:tcW w:w="2271" w:type="dxa"/>
                  <w:vAlign w:val="center"/>
                </w:tcPr>
                <w:p w14:paraId="48025A5A">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不涉及</w:t>
                  </w:r>
                </w:p>
              </w:tc>
              <w:tc>
                <w:tcPr>
                  <w:tcW w:w="1134" w:type="dxa"/>
                  <w:vAlign w:val="center"/>
                </w:tcPr>
                <w:p w14:paraId="6C7B22AA">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1A65B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6" w:type="dxa"/>
                  <w:vAlign w:val="center"/>
                </w:tcPr>
                <w:p w14:paraId="058957DA">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w:t>
                  </w:r>
                </w:p>
              </w:tc>
              <w:tc>
                <w:tcPr>
                  <w:tcW w:w="4267" w:type="dxa"/>
                  <w:vAlign w:val="center"/>
                </w:tcPr>
                <w:p w14:paraId="033D76AE">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禁止在供暖管线覆盖的区域建设家庭或办公供热锅炉，禁止建设涉及工业炉窑但不具备低氮燃烧技术的建设项目</w:t>
                  </w:r>
                </w:p>
              </w:tc>
              <w:tc>
                <w:tcPr>
                  <w:tcW w:w="2271" w:type="dxa"/>
                  <w:vAlign w:val="center"/>
                </w:tcPr>
                <w:p w14:paraId="11218978">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不涉及</w:t>
                  </w:r>
                </w:p>
              </w:tc>
              <w:tc>
                <w:tcPr>
                  <w:tcW w:w="1134" w:type="dxa"/>
                  <w:vAlign w:val="center"/>
                </w:tcPr>
                <w:p w14:paraId="301566B5">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7FCF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jc w:val="center"/>
              </w:trPr>
              <w:tc>
                <w:tcPr>
                  <w:tcW w:w="716" w:type="dxa"/>
                  <w:vAlign w:val="center"/>
                </w:tcPr>
                <w:p w14:paraId="55983208">
                  <w:pPr>
                    <w:pStyle w:val="61"/>
                    <w:keepNext w:val="0"/>
                    <w:keepLines w:val="0"/>
                    <w:suppressLineNumbers w:val="0"/>
                    <w:spacing w:before="24" w:beforeAutospacing="0" w:after="24" w:afterAutospacing="0" w:line="240" w:lineRule="auto"/>
                    <w:ind w:left="0" w:right="0" w:firstLine="0" w:firstLineChars="0"/>
                    <w:rPr>
                      <w:rFonts w:hint="eastAsia" w:ascii="Times New Roman" w:hAnsi="Times New Roman" w:eastAsia="宋体" w:cs="Times New Roman"/>
                      <w:color w:val="auto"/>
                      <w:sz w:val="21"/>
                      <w:szCs w:val="21"/>
                      <w:highlight w:val="none"/>
                      <w:lang w:eastAsia="zh-CN"/>
                    </w:rPr>
                  </w:pPr>
                  <w:r>
                    <w:rPr>
                      <w:rFonts w:hint="eastAsia" w:ascii="Times New Roman" w:cs="Times New Roman"/>
                      <w:color w:val="auto"/>
                      <w:sz w:val="21"/>
                      <w:szCs w:val="21"/>
                      <w:highlight w:val="none"/>
                      <w:lang w:val="en-US" w:eastAsia="zh-CN"/>
                    </w:rPr>
                    <w:t>9</w:t>
                  </w:r>
                </w:p>
              </w:tc>
              <w:tc>
                <w:tcPr>
                  <w:tcW w:w="4267" w:type="dxa"/>
                  <w:vAlign w:val="center"/>
                </w:tcPr>
                <w:p w14:paraId="3D8FC257">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禁止新增占地新建、改（扩）建其他不符合园区发展用地布局的项目</w:t>
                  </w:r>
                </w:p>
              </w:tc>
              <w:tc>
                <w:tcPr>
                  <w:tcW w:w="2271" w:type="dxa"/>
                  <w:vAlign w:val="center"/>
                </w:tcPr>
                <w:p w14:paraId="3793A46E">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本项目符合园区发展</w:t>
                  </w:r>
                </w:p>
              </w:tc>
              <w:tc>
                <w:tcPr>
                  <w:tcW w:w="1134" w:type="dxa"/>
                  <w:vAlign w:val="center"/>
                </w:tcPr>
                <w:p w14:paraId="38049149">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03966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8" w:type="dxa"/>
                  <w:gridSpan w:val="4"/>
                  <w:vAlign w:val="center"/>
                </w:tcPr>
                <w:p w14:paraId="44B51F73">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主导产业分区负面清单</w:t>
                  </w:r>
                </w:p>
              </w:tc>
            </w:tr>
            <w:tr w14:paraId="5D422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1" w:hRule="atLeast"/>
                <w:jc w:val="center"/>
              </w:trPr>
              <w:tc>
                <w:tcPr>
                  <w:tcW w:w="716" w:type="dxa"/>
                  <w:vAlign w:val="center"/>
                </w:tcPr>
                <w:p w14:paraId="3AE57B04">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4267" w:type="dxa"/>
                  <w:vAlign w:val="center"/>
                </w:tcPr>
                <w:p w14:paraId="700EA3AA">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能源汽车-高端装备制造产业区和新能源-节能环保产业区内：①禁止新建和扩建黑色金属铸造类项目（精密铸造及实施减量置换项目除外）；②禁止新建和扩建钢压延加工类建设项目（冷加工及实施减量置换项目除外）③新能源汽车-高端装备制造产业区东侧靠近规划居住区一侧工业用地地块不得作为二类工业用地，不得建设对居住和公共设施污染严重的建设项目；④益尔生物、惠恩生物企业不得新增排污量，不得进行改扩建</w:t>
                  </w:r>
                </w:p>
              </w:tc>
              <w:tc>
                <w:tcPr>
                  <w:tcW w:w="2271" w:type="dxa"/>
                  <w:vAlign w:val="center"/>
                </w:tcPr>
                <w:p w14:paraId="2FEB2BF7">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①本项目</w:t>
                  </w:r>
                  <w:r>
                    <w:rPr>
                      <w:rFonts w:hint="default" w:ascii="Times New Roman" w:hAnsi="Times New Roman" w:cs="Times New Roman"/>
                      <w:color w:val="auto"/>
                      <w:sz w:val="21"/>
                      <w:szCs w:val="21"/>
                      <w:highlight w:val="none"/>
                      <w:lang w:val="en-US" w:eastAsia="zh-CN"/>
                    </w:rPr>
                    <w:t>不</w:t>
                  </w:r>
                  <w:r>
                    <w:rPr>
                      <w:rFonts w:hint="default" w:ascii="Times New Roman" w:hAnsi="Times New Roman" w:eastAsia="宋体" w:cs="Times New Roman"/>
                      <w:color w:val="auto"/>
                      <w:sz w:val="21"/>
                      <w:szCs w:val="21"/>
                      <w:highlight w:val="none"/>
                      <w:lang w:val="en-US" w:eastAsia="zh-CN"/>
                    </w:rPr>
                    <w:t>涉及</w:t>
                  </w:r>
                  <w:r>
                    <w:rPr>
                      <w:rFonts w:hint="eastAsia" w:ascii="Times New Roman" w:cs="Times New Roman"/>
                      <w:color w:val="auto"/>
                      <w:sz w:val="21"/>
                      <w:szCs w:val="21"/>
                      <w:highlight w:val="none"/>
                      <w:lang w:val="en-US" w:eastAsia="zh-CN"/>
                    </w:rPr>
                    <w:t>黑色</w:t>
                  </w:r>
                  <w:r>
                    <w:rPr>
                      <w:rFonts w:hint="default" w:ascii="Times New Roman" w:hAnsi="Times New Roman" w:eastAsia="宋体" w:cs="Times New Roman"/>
                      <w:color w:val="auto"/>
                      <w:sz w:val="21"/>
                      <w:szCs w:val="21"/>
                      <w:highlight w:val="none"/>
                      <w:lang w:val="en-US" w:eastAsia="zh-CN"/>
                    </w:rPr>
                    <w:t>铸造；②本项目不涉及</w:t>
                  </w:r>
                  <w:r>
                    <w:rPr>
                      <w:rFonts w:hint="default" w:ascii="Times New Roman" w:hAnsi="Times New Roman" w:eastAsia="宋体" w:cs="Times New Roman"/>
                      <w:color w:val="auto"/>
                      <w:sz w:val="21"/>
                      <w:szCs w:val="21"/>
                      <w:highlight w:val="none"/>
                    </w:rPr>
                    <w:t>钢压延加工</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③本项目</w:t>
                  </w:r>
                  <w:r>
                    <w:rPr>
                      <w:rFonts w:hint="eastAsia" w:ascii="Times New Roman" w:cs="Times New Roman"/>
                      <w:color w:val="auto"/>
                      <w:sz w:val="21"/>
                      <w:szCs w:val="21"/>
                      <w:highlight w:val="none"/>
                      <w:lang w:val="en-US" w:eastAsia="zh-CN"/>
                    </w:rPr>
                    <w:t>租用</w:t>
                  </w:r>
                  <w:r>
                    <w:rPr>
                      <w:rFonts w:hint="default" w:ascii="Times New Roman" w:hAnsi="Times New Roman" w:eastAsia="宋体" w:cs="Times New Roman"/>
                      <w:color w:val="auto"/>
                      <w:sz w:val="21"/>
                      <w:szCs w:val="21"/>
                      <w:highlight w:val="none"/>
                      <w:lang w:val="en-US" w:eastAsia="zh-CN"/>
                    </w:rPr>
                    <w:t>现有</w:t>
                  </w:r>
                  <w:r>
                    <w:rPr>
                      <w:rFonts w:hint="default" w:ascii="Times New Roman" w:hAnsi="Times New Roman" w:cs="Times New Roman"/>
                      <w:color w:val="auto"/>
                      <w:sz w:val="21"/>
                      <w:szCs w:val="21"/>
                      <w:highlight w:val="none"/>
                      <w:lang w:val="en-US" w:eastAsia="zh-CN"/>
                    </w:rPr>
                    <w:t>厂房</w:t>
                  </w:r>
                  <w:r>
                    <w:rPr>
                      <w:rFonts w:hint="eastAsia" w:ascii="Times New Roman" w:cs="Times New Roman"/>
                      <w:color w:val="auto"/>
                      <w:sz w:val="21"/>
                      <w:szCs w:val="21"/>
                      <w:highlight w:val="none"/>
                      <w:lang w:val="en-US" w:eastAsia="zh-CN"/>
                    </w:rPr>
                    <w:t>进行建设</w:t>
                  </w:r>
                  <w:r>
                    <w:rPr>
                      <w:rFonts w:hint="default" w:ascii="Times New Roman" w:hAnsi="Times New Roman" w:eastAsia="宋体" w:cs="Times New Roman"/>
                      <w:color w:val="auto"/>
                      <w:sz w:val="21"/>
                      <w:szCs w:val="21"/>
                      <w:highlight w:val="none"/>
                      <w:lang w:val="en-US" w:eastAsia="zh-CN"/>
                    </w:rPr>
                    <w:t>，不新增占地，不靠近居住区；④不涉及。</w:t>
                  </w:r>
                </w:p>
              </w:tc>
              <w:tc>
                <w:tcPr>
                  <w:tcW w:w="1134" w:type="dxa"/>
                  <w:vAlign w:val="center"/>
                </w:tcPr>
                <w:p w14:paraId="06CDAB28">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11246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9" w:hRule="atLeast"/>
                <w:jc w:val="center"/>
              </w:trPr>
              <w:tc>
                <w:tcPr>
                  <w:tcW w:w="716" w:type="dxa"/>
                  <w:vAlign w:val="center"/>
                </w:tcPr>
                <w:p w14:paraId="7F2CB5CA">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4267" w:type="dxa"/>
                  <w:vAlign w:val="center"/>
                </w:tcPr>
                <w:p w14:paraId="3F2BF0D3">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中心商务区、中心商业区：①不得作为工业用地建设工业生产型建设项目；②不得作为居住用地开展房地产开发建设项目；③禁止大型游乐设施、主题公园(影视城)、仿古城项目占用耕地，亦不得通过先行办理城市分批次农用地转用等形式变相占用耕地</w:t>
                  </w:r>
                </w:p>
              </w:tc>
              <w:tc>
                <w:tcPr>
                  <w:tcW w:w="2271" w:type="dxa"/>
                  <w:vAlign w:val="center"/>
                </w:tcPr>
                <w:p w14:paraId="085A6FB7">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本项目不在该区域内</w:t>
                  </w:r>
                </w:p>
              </w:tc>
              <w:tc>
                <w:tcPr>
                  <w:tcW w:w="1134" w:type="dxa"/>
                  <w:vAlign w:val="center"/>
                </w:tcPr>
                <w:p w14:paraId="1CC68439">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46538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6" w:type="dxa"/>
                  <w:vAlign w:val="center"/>
                </w:tcPr>
                <w:p w14:paraId="57E319EB">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4267" w:type="dxa"/>
                  <w:vAlign w:val="center"/>
                </w:tcPr>
                <w:p w14:paraId="774BAF01">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规划居住区：①不得建设污染型工业企业，推动环境敏感区、人口密集区危险化学品生产企业搬迁入园；②禁止新建或扩建可能引发环境风险的项目；③禁止新建容积率小于1.0（含1.0）的住宅项目；④禁止占用耕地建设大套型住宅项目(指单套住房建筑面积超过144 平方米的住宅项目)及建材城、家具城等大型商业设施项目，亦不得通过先行办理城市分批次农用地转用等形式变相占用耕地；⑤东北部居住区改造建设过程中对兴德铸造进行园区内异地安置；⑥西北部规划居住区不得建设商品住宅居住项目</w:t>
                  </w:r>
                </w:p>
              </w:tc>
              <w:tc>
                <w:tcPr>
                  <w:tcW w:w="2271" w:type="dxa"/>
                  <w:vAlign w:val="center"/>
                </w:tcPr>
                <w:p w14:paraId="604DD21D">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本项目不在该区域内</w:t>
                  </w:r>
                </w:p>
              </w:tc>
              <w:tc>
                <w:tcPr>
                  <w:tcW w:w="1134" w:type="dxa"/>
                  <w:vAlign w:val="center"/>
                </w:tcPr>
                <w:p w14:paraId="7DC7EAD3">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4FBF5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8" w:type="dxa"/>
                  <w:gridSpan w:val="4"/>
                  <w:vAlign w:val="center"/>
                </w:tcPr>
                <w:p w14:paraId="11F145CA">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b/>
                      <w:bCs/>
                      <w:color w:val="auto"/>
                      <w:sz w:val="21"/>
                      <w:szCs w:val="21"/>
                      <w:highlight w:val="none"/>
                      <w:lang w:val="en-US" w:eastAsia="zh-CN"/>
                    </w:rPr>
                    <w:t>限制</w:t>
                  </w:r>
                  <w:r>
                    <w:rPr>
                      <w:rFonts w:hint="default" w:ascii="Times New Roman" w:hAnsi="Times New Roman" w:cs="Times New Roman"/>
                      <w:b/>
                      <w:bCs/>
                      <w:color w:val="auto"/>
                      <w:sz w:val="21"/>
                      <w:szCs w:val="21"/>
                      <w:highlight w:val="none"/>
                    </w:rPr>
                    <w:t>准入类</w:t>
                  </w:r>
                </w:p>
              </w:tc>
            </w:tr>
            <w:tr w14:paraId="07A83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6" w:type="dxa"/>
                  <w:vAlign w:val="center"/>
                </w:tcPr>
                <w:p w14:paraId="794535E7">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auto"/>
                      <w:sz w:val="21"/>
                      <w:szCs w:val="21"/>
                      <w:highlight w:val="none"/>
                    </w:rPr>
                    <w:t>1</w:t>
                  </w:r>
                </w:p>
              </w:tc>
              <w:tc>
                <w:tcPr>
                  <w:tcW w:w="4267" w:type="dxa"/>
                  <w:vAlign w:val="center"/>
                </w:tcPr>
                <w:p w14:paraId="2FC95509">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园区工业用地区域严格限制不采用环保型油墨、水性漆等含挥发性有机物低的原料以及不采用行业、地方或国家要求的先进的工艺和治理技术的涉及挥发性有机物排放的建设项目</w:t>
                  </w:r>
                </w:p>
              </w:tc>
              <w:tc>
                <w:tcPr>
                  <w:tcW w:w="2271" w:type="dxa"/>
                  <w:vAlign w:val="center"/>
                </w:tcPr>
                <w:p w14:paraId="6C97AC61">
                  <w:pPr>
                    <w:pStyle w:val="109"/>
                    <w:keepNext w:val="0"/>
                    <w:keepLines w:val="0"/>
                    <w:suppressLineNumbers w:val="0"/>
                    <w:spacing w:before="307" w:beforeAutospacing="0" w:after="0" w:afterAutospacing="0" w:line="220" w:lineRule="auto"/>
                    <w:ind w:left="0" w:right="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本项目不涉及油</w:t>
                  </w:r>
                </w:p>
                <w:p w14:paraId="7F5F761E">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墨、漆等含挥发性</w:t>
                  </w:r>
                </w:p>
                <w:p w14:paraId="31DBF451">
                  <w:pPr>
                    <w:pStyle w:val="61"/>
                    <w:keepNext w:val="0"/>
                    <w:keepLines w:val="0"/>
                    <w:suppressLineNumbers w:val="0"/>
                    <w:spacing w:before="24" w:beforeAutospacing="0" w:after="24" w:afterAutospacing="0" w:line="240" w:lineRule="auto"/>
                    <w:ind w:left="0" w:right="0" w:firstLine="0" w:firstLineChars="0"/>
                    <w:jc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color w:val="auto"/>
                      <w:kern w:val="0"/>
                      <w:sz w:val="21"/>
                      <w:szCs w:val="21"/>
                      <w:highlight w:val="none"/>
                      <w:lang w:val="en-US" w:eastAsia="zh-CN" w:bidi="ar-SA"/>
                    </w:rPr>
                    <w:t>有机物的原料</w:t>
                  </w:r>
                </w:p>
              </w:tc>
              <w:tc>
                <w:tcPr>
                  <w:tcW w:w="1134" w:type="dxa"/>
                  <w:vAlign w:val="center"/>
                </w:tcPr>
                <w:p w14:paraId="65117FCE">
                  <w:pPr>
                    <w:pStyle w:val="61"/>
                    <w:keepNext w:val="0"/>
                    <w:keepLines w:val="0"/>
                    <w:suppressLineNumbers w:val="0"/>
                    <w:spacing w:before="24" w:beforeAutospacing="0" w:after="24"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7F2CA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6" w:type="dxa"/>
                  <w:vAlign w:val="center"/>
                </w:tcPr>
                <w:p w14:paraId="40EBFF7C">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4267" w:type="dxa"/>
                  <w:vAlign w:val="center"/>
                </w:tcPr>
                <w:p w14:paraId="39F2070F">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限制新建和扩建金属表面处理及热处理加工类建设项目（实施减量置换项目除外）</w:t>
                  </w:r>
                </w:p>
              </w:tc>
              <w:tc>
                <w:tcPr>
                  <w:tcW w:w="2271" w:type="dxa"/>
                  <w:vAlign w:val="center"/>
                </w:tcPr>
                <w:p w14:paraId="734861EC">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eastAsia" w:ascii="Times New Roman" w:cs="Times New Roman"/>
                      <w:color w:val="auto"/>
                      <w:sz w:val="21"/>
                      <w:szCs w:val="21"/>
                      <w:highlight w:val="none"/>
                      <w:lang w:val="en-US" w:eastAsia="zh-CN"/>
                    </w:rPr>
                    <w:t>本项目</w:t>
                  </w:r>
                  <w:r>
                    <w:rPr>
                      <w:rFonts w:hint="default" w:ascii="Times New Roman" w:hAnsi="Times New Roman" w:cs="Times New Roman"/>
                      <w:color w:val="auto"/>
                      <w:sz w:val="21"/>
                      <w:szCs w:val="21"/>
                      <w:highlight w:val="none"/>
                    </w:rPr>
                    <w:t>不属于该类项目</w:t>
                  </w:r>
                </w:p>
              </w:tc>
              <w:tc>
                <w:tcPr>
                  <w:tcW w:w="1134" w:type="dxa"/>
                  <w:vAlign w:val="center"/>
                </w:tcPr>
                <w:p w14:paraId="1742860E">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46A0A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6" w:type="dxa"/>
                  <w:vAlign w:val="center"/>
                </w:tcPr>
                <w:p w14:paraId="4B7D73A5">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4267" w:type="dxa"/>
                  <w:vAlign w:val="center"/>
                </w:tcPr>
                <w:p w14:paraId="1AFF6A07">
                  <w:pPr>
                    <w:pStyle w:val="61"/>
                    <w:keepNext w:val="0"/>
                    <w:keepLines w:val="0"/>
                    <w:suppressLineNumbers w:val="0"/>
                    <w:spacing w:before="24" w:beforeAutospacing="0" w:after="24" w:afterAutospacing="0" w:line="240" w:lineRule="auto"/>
                    <w:ind w:left="0" w:right="0" w:firstLine="0" w:firstLineChars="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科技研发、创意传媒、动漫产业区内：</w:t>
                  </w:r>
                </w:p>
                <w:p w14:paraId="288E89F0">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①严格控制建设除研发需要外具有高温、高压设备的工业项目；②严格控制建设具有电镀、喷涂工艺的工业项目</w:t>
                  </w:r>
                </w:p>
              </w:tc>
              <w:tc>
                <w:tcPr>
                  <w:tcW w:w="2271" w:type="dxa"/>
                  <w:vAlign w:val="center"/>
                </w:tcPr>
                <w:p w14:paraId="727480CC">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本项目</w:t>
                  </w:r>
                  <w:r>
                    <w:rPr>
                      <w:rFonts w:hint="default" w:ascii="Times New Roman" w:hAnsi="Times New Roman" w:cs="Times New Roman"/>
                      <w:color w:val="auto"/>
                      <w:sz w:val="21"/>
                      <w:szCs w:val="21"/>
                      <w:highlight w:val="none"/>
                    </w:rPr>
                    <w:t>不在</w:t>
                  </w:r>
                  <w:r>
                    <w:rPr>
                      <w:rFonts w:hint="eastAsia" w:ascii="Times New Roman" w:cs="Times New Roman"/>
                      <w:color w:val="auto"/>
                      <w:sz w:val="21"/>
                      <w:szCs w:val="21"/>
                      <w:highlight w:val="none"/>
                      <w:lang w:val="en-US" w:eastAsia="zh-CN"/>
                    </w:rPr>
                    <w:t>此产业区内</w:t>
                  </w:r>
                </w:p>
              </w:tc>
              <w:tc>
                <w:tcPr>
                  <w:tcW w:w="1134" w:type="dxa"/>
                  <w:vAlign w:val="center"/>
                </w:tcPr>
                <w:p w14:paraId="3CE4A861">
                  <w:pPr>
                    <w:pStyle w:val="61"/>
                    <w:keepNext w:val="0"/>
                    <w:keepLines w:val="0"/>
                    <w:suppressLineNumbers w:val="0"/>
                    <w:spacing w:before="24" w:beforeAutospacing="0" w:after="24" w:afterAutospacing="0" w:line="240" w:lineRule="auto"/>
                    <w:ind w:left="0" w:right="0" w:firstLine="0" w:firstLine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14:paraId="6F14ACC6">
            <w:pPr>
              <w:pStyle w:val="109"/>
              <w:keepNext w:val="0"/>
              <w:keepLines w:val="0"/>
              <w:suppressLineNumbers w:val="0"/>
              <w:spacing w:before="158" w:beforeAutospacing="0" w:after="0" w:afterAutospacing="0" w:line="360" w:lineRule="auto"/>
              <w:ind w:left="59" w:right="50" w:firstLine="419"/>
              <w:rPr>
                <w:rFonts w:hint="default" w:ascii="Times New Roman" w:hAnsi="Times New Roman" w:cs="Times New Roman"/>
                <w:color w:val="0000FF"/>
                <w:highlight w:val="none"/>
              </w:rPr>
            </w:pPr>
            <w:r>
              <w:rPr>
                <w:rFonts w:hint="eastAsia" w:cs="Times New Roman"/>
                <w:color w:val="auto"/>
                <w:sz w:val="24"/>
                <w:szCs w:val="24"/>
                <w:highlight w:val="none"/>
                <w:lang w:val="en-US" w:eastAsia="zh-CN"/>
              </w:rPr>
              <w:t>综上，本项目不属于秦皇岛新兴产业园入区项目负面清单内禁止和限制准入类。</w:t>
            </w:r>
          </w:p>
          <w:p w14:paraId="2A4DAFC3">
            <w:pPr>
              <w:pStyle w:val="6"/>
              <w:keepNext w:val="0"/>
              <w:keepLines w:val="0"/>
              <w:suppressLineNumbers w:val="0"/>
              <w:spacing w:before="0" w:beforeAutospacing="0" w:after="0" w:afterAutospacing="0"/>
              <w:ind w:left="0" w:right="0"/>
              <w:rPr>
                <w:rFonts w:hint="default" w:ascii="Times New Roman" w:hAnsi="Times New Roman" w:eastAsia="宋体" w:cs="Times New Roman"/>
                <w:b/>
                <w:color w:val="0000FF"/>
                <w:kern w:val="21"/>
                <w:sz w:val="24"/>
                <w:szCs w:val="20"/>
                <w:highlight w:val="none"/>
                <w:lang w:val="en-US" w:eastAsia="zh-CN" w:bidi="ar-SA"/>
              </w:rPr>
            </w:pPr>
            <w:r>
              <w:rPr>
                <w:rFonts w:hint="default" w:ascii="Times New Roman" w:hAnsi="Times New Roman" w:eastAsia="宋体" w:cs="Times New Roman"/>
                <w:color w:val="auto"/>
                <w:sz w:val="28"/>
                <w:szCs w:val="28"/>
                <w:highlight w:val="none"/>
              </w:rPr>
              <w:t>3本项目与规划环评结论的符合性</w:t>
            </w:r>
          </w:p>
          <w:p w14:paraId="5DA3C1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color w:val="auto"/>
                <w:kern w:val="21"/>
                <w:sz w:val="24"/>
                <w:szCs w:val="20"/>
                <w:highlight w:val="none"/>
                <w:lang w:val="en-US" w:eastAsia="zh-CN" w:bidi="ar-SA"/>
              </w:rPr>
            </w:pPr>
            <w:r>
              <w:rPr>
                <w:rFonts w:hint="default" w:ascii="Times New Roman" w:hAnsi="Times New Roman" w:eastAsia="宋体" w:cs="Times New Roman"/>
                <w:b/>
                <w:color w:val="auto"/>
                <w:kern w:val="21"/>
                <w:sz w:val="24"/>
                <w:szCs w:val="20"/>
                <w:highlight w:val="none"/>
                <w:lang w:val="en-US" w:eastAsia="zh-CN" w:bidi="ar-SA"/>
              </w:rPr>
              <w:t>表1-</w:t>
            </w:r>
            <w:r>
              <w:rPr>
                <w:rFonts w:hint="default" w:ascii="Times New Roman" w:hAnsi="Times New Roman" w:cs="Times New Roman"/>
                <w:b/>
                <w:color w:val="auto"/>
                <w:kern w:val="21"/>
                <w:sz w:val="24"/>
                <w:szCs w:val="20"/>
                <w:highlight w:val="none"/>
                <w:lang w:val="en-US" w:eastAsia="zh-CN" w:bidi="ar-SA"/>
              </w:rPr>
              <w:t>2</w:t>
            </w:r>
            <w:r>
              <w:rPr>
                <w:rFonts w:hint="default" w:ascii="Times New Roman" w:hAnsi="Times New Roman" w:eastAsia="宋体" w:cs="Times New Roman"/>
                <w:b/>
                <w:color w:val="auto"/>
                <w:kern w:val="21"/>
                <w:sz w:val="24"/>
                <w:szCs w:val="20"/>
                <w:highlight w:val="none"/>
                <w:lang w:val="en-US" w:eastAsia="zh-CN" w:bidi="ar-SA"/>
              </w:rPr>
              <w:t xml:space="preserve"> 本项目与规划环评</w:t>
            </w:r>
            <w:r>
              <w:rPr>
                <w:rFonts w:hint="default" w:ascii="Times New Roman" w:hAnsi="Times New Roman" w:cs="Times New Roman"/>
                <w:b/>
                <w:color w:val="auto"/>
                <w:kern w:val="21"/>
                <w:sz w:val="24"/>
                <w:szCs w:val="20"/>
                <w:highlight w:val="none"/>
                <w:lang w:val="en-US" w:eastAsia="zh-CN" w:bidi="ar-SA"/>
              </w:rPr>
              <w:t>相关</w:t>
            </w:r>
            <w:r>
              <w:rPr>
                <w:rFonts w:hint="default" w:ascii="Times New Roman" w:hAnsi="Times New Roman" w:eastAsia="宋体" w:cs="Times New Roman"/>
                <w:b/>
                <w:color w:val="auto"/>
                <w:kern w:val="21"/>
                <w:sz w:val="24"/>
                <w:szCs w:val="20"/>
                <w:highlight w:val="none"/>
                <w:lang w:val="en-US" w:eastAsia="zh-CN" w:bidi="ar-SA"/>
              </w:rPr>
              <w:t>结论符合性分析</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9"/>
              <w:gridCol w:w="5023"/>
              <w:gridCol w:w="2742"/>
            </w:tblGrid>
            <w:tr w14:paraId="5EE31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0" w:type="dxa"/>
                  <w:vAlign w:val="center"/>
                </w:tcPr>
                <w:p w14:paraId="79DF2A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序号</w:t>
                  </w:r>
                </w:p>
              </w:tc>
              <w:tc>
                <w:tcPr>
                  <w:tcW w:w="4856" w:type="dxa"/>
                </w:tcPr>
                <w:p w14:paraId="360083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结论内容</w:t>
                  </w:r>
                </w:p>
              </w:tc>
              <w:tc>
                <w:tcPr>
                  <w:tcW w:w="2649" w:type="dxa"/>
                </w:tcPr>
                <w:p w14:paraId="35EC0E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本项目符合性</w:t>
                  </w:r>
                </w:p>
              </w:tc>
            </w:tr>
            <w:tr w14:paraId="34E8D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3C45AE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1</w:t>
                  </w:r>
                </w:p>
              </w:tc>
              <w:tc>
                <w:tcPr>
                  <w:tcW w:w="4856" w:type="dxa"/>
                  <w:vAlign w:val="center"/>
                </w:tcPr>
                <w:p w14:paraId="29CBC1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通过完善集中供热、取代企业分散燃气锅炉；强化挥发性有机物设施治理、兴建园区集中喷涂中心可降低园区及周边区域重点污染物排放水平</w:t>
                  </w:r>
                </w:p>
              </w:tc>
              <w:tc>
                <w:tcPr>
                  <w:tcW w:w="2649" w:type="dxa"/>
                  <w:vAlign w:val="center"/>
                </w:tcPr>
                <w:p w14:paraId="1EB419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本项目</w:t>
                  </w:r>
                  <w:r>
                    <w:rPr>
                      <w:rFonts w:hint="eastAsia" w:cs="Times New Roman"/>
                      <w:b w:val="0"/>
                      <w:bCs/>
                      <w:color w:val="auto"/>
                      <w:kern w:val="21"/>
                      <w:sz w:val="21"/>
                      <w:szCs w:val="21"/>
                      <w:highlight w:val="none"/>
                      <w:vertAlign w:val="baseline"/>
                      <w:lang w:val="en-US" w:eastAsia="zh-CN" w:bidi="ar-SA"/>
                    </w:rPr>
                    <w:t>不涉及喷涂工序</w:t>
                  </w:r>
                </w:p>
              </w:tc>
            </w:tr>
            <w:tr w14:paraId="05532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0" w:type="dxa"/>
                  <w:vAlign w:val="center"/>
                </w:tcPr>
                <w:p w14:paraId="1045BC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2</w:t>
                  </w:r>
                </w:p>
              </w:tc>
              <w:tc>
                <w:tcPr>
                  <w:tcW w:w="4856" w:type="dxa"/>
                  <w:vAlign w:val="center"/>
                </w:tcPr>
                <w:p w14:paraId="51BFA7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至规划期末，区域资源承载力可以满足后续发展需要，在落实NOx、颗粒物和VOCs控制、减排措施，采取跟踪评价提出的相关措施及优化调整建议的前提下，后续规划实施过程中新增污染物排放对周边环境的影响可接受，环境风险影响可控，可以满足“三线一单”的要求</w:t>
                  </w:r>
                </w:p>
              </w:tc>
              <w:tc>
                <w:tcPr>
                  <w:tcW w:w="2649" w:type="dxa"/>
                  <w:vAlign w:val="center"/>
                </w:tcPr>
                <w:p w14:paraId="7EBA79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本项目符合跟踪评价和“三线一单”要求，符合生态环境准入要求</w:t>
                  </w:r>
                </w:p>
              </w:tc>
            </w:tr>
          </w:tbl>
          <w:p w14:paraId="508C684B">
            <w:pPr>
              <w:pStyle w:val="6"/>
              <w:keepNext w:val="0"/>
              <w:keepLines w:val="0"/>
              <w:suppressLineNumbers w:val="0"/>
              <w:spacing w:before="0" w:beforeAutospacing="0" w:after="0" w:afterAutospacing="0"/>
              <w:ind w:left="0" w:right="0"/>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rPr>
              <w:t>4本项目与规划环境影响报告书审查意见符合性</w:t>
            </w:r>
          </w:p>
          <w:p w14:paraId="47CC47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color w:val="auto"/>
                <w:kern w:val="21"/>
                <w:sz w:val="24"/>
                <w:szCs w:val="20"/>
                <w:highlight w:val="none"/>
                <w:lang w:val="en-US" w:eastAsia="zh-CN" w:bidi="ar-SA"/>
              </w:rPr>
            </w:pPr>
            <w:r>
              <w:rPr>
                <w:rFonts w:hint="default" w:ascii="Times New Roman" w:hAnsi="Times New Roman" w:cs="Times New Roman"/>
                <w:b/>
                <w:color w:val="auto"/>
                <w:kern w:val="21"/>
                <w:sz w:val="24"/>
                <w:szCs w:val="20"/>
                <w:highlight w:val="none"/>
                <w:lang w:val="en-US" w:eastAsia="zh-CN" w:bidi="ar-SA"/>
              </w:rPr>
              <w:t>表1-3 本项目与《关于秦皇岛新型产业园总体规划环境影响跟踪评价工作有关意见的函》符合性分析</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9"/>
              <w:gridCol w:w="5023"/>
              <w:gridCol w:w="2742"/>
            </w:tblGrid>
            <w:tr w14:paraId="12CD3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dxa"/>
                  <w:vAlign w:val="center"/>
                </w:tcPr>
                <w:p w14:paraId="5E6E7B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序号</w:t>
                  </w:r>
                </w:p>
              </w:tc>
              <w:tc>
                <w:tcPr>
                  <w:tcW w:w="5002" w:type="dxa"/>
                </w:tcPr>
                <w:p w14:paraId="678510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文件内容</w:t>
                  </w:r>
                </w:p>
              </w:tc>
              <w:tc>
                <w:tcPr>
                  <w:tcW w:w="2730" w:type="dxa"/>
                  <w:vAlign w:val="center"/>
                </w:tcPr>
                <w:p w14:paraId="38A178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本项目符合性</w:t>
                  </w:r>
                </w:p>
              </w:tc>
            </w:tr>
            <w:tr w14:paraId="24A8C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6" w:type="dxa"/>
                  <w:vAlign w:val="center"/>
                </w:tcPr>
                <w:p w14:paraId="53AFC3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1</w:t>
                  </w:r>
                </w:p>
              </w:tc>
              <w:tc>
                <w:tcPr>
                  <w:tcW w:w="5002" w:type="dxa"/>
                  <w:vAlign w:val="center"/>
                </w:tcPr>
                <w:p w14:paraId="4AE59F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 xml:space="preserve"> 根据《秦皇岛城市总体规划》《秦皇岛市经济技术开发区总体规划》及新兴产业园区的发展定位和目标，进一步优化园区产业定位、布局、结构、规模等，积极推进产业绿色转型升级，持续改善和提升区域环境质量。</w:t>
                  </w:r>
                </w:p>
              </w:tc>
              <w:tc>
                <w:tcPr>
                  <w:tcW w:w="2730" w:type="dxa"/>
                  <w:vMerge w:val="restart"/>
                  <w:vAlign w:val="center"/>
                </w:tcPr>
                <w:p w14:paraId="2AF4BD8C">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20" w:lineRule="auto"/>
                    <w:ind w:left="0" w:right="0"/>
                    <w:jc w:val="center"/>
                    <w:textAlignment w:val="auto"/>
                    <w:rPr>
                      <w:rFonts w:hint="default" w:ascii="Times New Roman" w:hAnsi="Times New Roman" w:eastAsia="宋体" w:cs="Times New Roman"/>
                      <w:b w:val="0"/>
                      <w:bCs/>
                      <w:color w:val="0000FF"/>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本项目位于</w:t>
                  </w:r>
                  <w:r>
                    <w:rPr>
                      <w:rFonts w:hint="eastAsia" w:ascii="Times New Roman" w:hAnsi="Times New Roman" w:cs="Times New Roman"/>
                      <w:b w:val="0"/>
                      <w:bCs/>
                      <w:color w:val="auto"/>
                      <w:kern w:val="21"/>
                      <w:sz w:val="21"/>
                      <w:szCs w:val="21"/>
                      <w:highlight w:val="none"/>
                      <w:vertAlign w:val="baseline"/>
                      <w:lang w:val="en-US" w:eastAsia="zh-CN" w:bidi="ar-SA"/>
                    </w:rPr>
                    <w:t>新兴</w:t>
                  </w:r>
                  <w:r>
                    <w:rPr>
                      <w:rFonts w:hint="default" w:ascii="Times New Roman" w:hAnsi="Times New Roman" w:eastAsia="宋体" w:cs="Times New Roman"/>
                      <w:b w:val="0"/>
                      <w:bCs/>
                      <w:color w:val="auto"/>
                      <w:kern w:val="21"/>
                      <w:sz w:val="21"/>
                      <w:szCs w:val="21"/>
                      <w:highlight w:val="none"/>
                      <w:vertAlign w:val="baseline"/>
                      <w:lang w:val="en-US" w:eastAsia="zh-CN" w:bidi="ar-SA"/>
                    </w:rPr>
                    <w:t>产业</w:t>
                  </w:r>
                  <w:r>
                    <w:rPr>
                      <w:rFonts w:hint="eastAsia" w:ascii="Times New Roman" w:hAnsi="Times New Roman" w:cs="Times New Roman"/>
                      <w:b w:val="0"/>
                      <w:bCs/>
                      <w:color w:val="auto"/>
                      <w:kern w:val="21"/>
                      <w:sz w:val="21"/>
                      <w:szCs w:val="21"/>
                      <w:highlight w:val="none"/>
                      <w:vertAlign w:val="baseline"/>
                      <w:lang w:val="en-US" w:eastAsia="zh-CN" w:bidi="ar-SA"/>
                    </w:rPr>
                    <w:t>园</w:t>
                  </w:r>
                  <w:r>
                    <w:rPr>
                      <w:rFonts w:hint="default" w:ascii="Times New Roman" w:hAnsi="Times New Roman" w:eastAsia="宋体" w:cs="Times New Roman"/>
                      <w:b w:val="0"/>
                      <w:bCs/>
                      <w:color w:val="auto"/>
                      <w:kern w:val="21"/>
                      <w:sz w:val="21"/>
                      <w:szCs w:val="21"/>
                      <w:highlight w:val="none"/>
                      <w:vertAlign w:val="baseline"/>
                      <w:lang w:val="en-US" w:eastAsia="zh-CN" w:bidi="ar-SA"/>
                    </w:rPr>
                    <w:t>区，为汽车零部件及配件制造，符合园区产业定位、布局、结构</w:t>
                  </w:r>
                </w:p>
              </w:tc>
            </w:tr>
            <w:tr w14:paraId="7568F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6" w:type="dxa"/>
                  <w:vAlign w:val="center"/>
                </w:tcPr>
                <w:p w14:paraId="5055ED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2</w:t>
                  </w:r>
                </w:p>
              </w:tc>
              <w:tc>
                <w:tcPr>
                  <w:tcW w:w="5002" w:type="dxa"/>
                  <w:vAlign w:val="center"/>
                </w:tcPr>
                <w:p w14:paraId="1F74D7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落实园区产业定位和管控要求。结合下一阶段园区总体规划对不符合园区产业定位和布局要求的企业依法进行清退或优化整合，不再引进与园区规划定位和区域环境管控要求不符的建设项目</w:t>
                  </w:r>
                </w:p>
              </w:tc>
              <w:tc>
                <w:tcPr>
                  <w:tcW w:w="2730" w:type="dxa"/>
                  <w:vMerge w:val="continue"/>
                  <w:vAlign w:val="center"/>
                </w:tcPr>
                <w:p w14:paraId="7F0DD9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0000FF"/>
                      <w:kern w:val="21"/>
                      <w:sz w:val="21"/>
                      <w:szCs w:val="21"/>
                      <w:highlight w:val="none"/>
                      <w:vertAlign w:val="baseline"/>
                      <w:lang w:val="en-US" w:eastAsia="zh-CN" w:bidi="ar-SA"/>
                    </w:rPr>
                  </w:pPr>
                </w:p>
              </w:tc>
            </w:tr>
            <w:tr w14:paraId="59CC9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6" w:type="dxa"/>
                  <w:vAlign w:val="center"/>
                </w:tcPr>
                <w:p w14:paraId="7831CB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3</w:t>
                  </w:r>
                </w:p>
              </w:tc>
              <w:tc>
                <w:tcPr>
                  <w:tcW w:w="5002" w:type="dxa"/>
                  <w:vAlign w:val="center"/>
                </w:tcPr>
                <w:p w14:paraId="4A1BC5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严格遵守秦皇岛市“三线一单”及国土空间规划要求，按照"优先保障生态空间，集约利用生产空间"原则,进一步优化园区产业布局，做好规划控制，提高土地集约利用水平。优化生产、生活、生态等功能的空间布局，强化开发边界管制。加快调整与规划不符的生产、生活用地布局后续开发建设应符合相关保护要求。严格落实规划环评与建设项目环评的联动机制，落实生态环境准入要求。</w:t>
                  </w:r>
                </w:p>
              </w:tc>
              <w:tc>
                <w:tcPr>
                  <w:tcW w:w="2730" w:type="dxa"/>
                  <w:vAlign w:val="center"/>
                </w:tcPr>
                <w:p w14:paraId="4209DE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cs="Times New Roman"/>
                      <w:b w:val="0"/>
                      <w:bCs/>
                      <w:color w:val="auto"/>
                      <w:kern w:val="21"/>
                      <w:sz w:val="21"/>
                      <w:szCs w:val="21"/>
                      <w:highlight w:val="none"/>
                      <w:vertAlign w:val="baseline"/>
                      <w:lang w:val="en-US" w:eastAsia="zh-CN" w:bidi="ar-SA"/>
                    </w:rPr>
                    <w:t>本项目符合“三线一单”要求，符合生态环境准入要求</w:t>
                  </w:r>
                </w:p>
              </w:tc>
            </w:tr>
            <w:tr w14:paraId="4AA11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6" w:type="dxa"/>
                  <w:vAlign w:val="center"/>
                </w:tcPr>
                <w:p w14:paraId="552EF5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4</w:t>
                  </w:r>
                </w:p>
              </w:tc>
              <w:tc>
                <w:tcPr>
                  <w:tcW w:w="5002" w:type="dxa"/>
                  <w:vAlign w:val="center"/>
                </w:tcPr>
                <w:p w14:paraId="59E1E6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加强园区基础设施建设，深入推进园区绿色循环化改造，强化工业水循环利用和节能降耗。加快中水回用工程建设，提高中水回用率。提高资源能源利用效率，进一步提升园区集中供热水平，清洁生产水平应达到国际先进水平</w:t>
                  </w:r>
                </w:p>
              </w:tc>
              <w:tc>
                <w:tcPr>
                  <w:tcW w:w="2730" w:type="dxa"/>
                  <w:vAlign w:val="center"/>
                </w:tcPr>
                <w:p w14:paraId="47DF6B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本项目</w:t>
                  </w:r>
                  <w:r>
                    <w:rPr>
                      <w:rFonts w:hint="eastAsia" w:cs="Times New Roman"/>
                      <w:b w:val="0"/>
                      <w:bCs/>
                      <w:color w:val="auto"/>
                      <w:kern w:val="21"/>
                      <w:sz w:val="21"/>
                      <w:szCs w:val="21"/>
                      <w:highlight w:val="none"/>
                      <w:vertAlign w:val="baseline"/>
                      <w:lang w:val="en-US" w:eastAsia="zh-CN" w:bidi="ar-SA"/>
                    </w:rPr>
                    <w:t>除尘、水磨废水循环使用不外排，清洗</w:t>
                  </w:r>
                  <w:r>
                    <w:rPr>
                      <w:rFonts w:hint="default" w:ascii="Times New Roman" w:hAnsi="Times New Roman" w:eastAsia="宋体" w:cs="Times New Roman"/>
                      <w:b w:val="0"/>
                      <w:bCs/>
                      <w:color w:val="auto"/>
                      <w:kern w:val="21"/>
                      <w:sz w:val="21"/>
                      <w:szCs w:val="21"/>
                      <w:highlight w:val="none"/>
                      <w:vertAlign w:val="baseline"/>
                      <w:lang w:val="en-US" w:eastAsia="zh-CN" w:bidi="ar-SA"/>
                    </w:rPr>
                    <w:t>废水</w:t>
                  </w:r>
                  <w:r>
                    <w:rPr>
                      <w:rFonts w:hint="eastAsia" w:cs="Times New Roman"/>
                      <w:b w:val="0"/>
                      <w:bCs/>
                      <w:color w:val="auto"/>
                      <w:kern w:val="21"/>
                      <w:sz w:val="21"/>
                      <w:szCs w:val="21"/>
                      <w:highlight w:val="none"/>
                      <w:vertAlign w:val="baseline"/>
                      <w:lang w:val="en-US" w:eastAsia="zh-CN" w:bidi="ar-SA"/>
                    </w:rPr>
                    <w:t>经“破乳-絮凝-沉淀”处理</w:t>
                  </w:r>
                  <w:r>
                    <w:rPr>
                      <w:rFonts w:hint="default" w:ascii="Times New Roman" w:hAnsi="Times New Roman" w:eastAsia="宋体" w:cs="Times New Roman"/>
                      <w:b w:val="0"/>
                      <w:bCs/>
                      <w:color w:val="auto"/>
                      <w:kern w:val="21"/>
                      <w:sz w:val="21"/>
                      <w:szCs w:val="21"/>
                      <w:highlight w:val="none"/>
                      <w:vertAlign w:val="baseline"/>
                      <w:lang w:val="en-US" w:eastAsia="zh-CN" w:bidi="ar-SA"/>
                    </w:rPr>
                    <w:t>，生活污水</w:t>
                  </w:r>
                  <w:r>
                    <w:rPr>
                      <w:rFonts w:hint="eastAsia" w:cs="Times New Roman"/>
                      <w:b w:val="0"/>
                      <w:bCs/>
                      <w:color w:val="auto"/>
                      <w:kern w:val="21"/>
                      <w:sz w:val="21"/>
                      <w:szCs w:val="21"/>
                      <w:highlight w:val="none"/>
                      <w:vertAlign w:val="baseline"/>
                      <w:lang w:val="en-US" w:eastAsia="zh-CN" w:bidi="ar-SA"/>
                    </w:rPr>
                    <w:t>经</w:t>
                  </w:r>
                  <w:r>
                    <w:rPr>
                      <w:rFonts w:hint="default" w:ascii="Times New Roman" w:hAnsi="Times New Roman" w:eastAsia="宋体" w:cs="Times New Roman"/>
                      <w:b w:val="0"/>
                      <w:bCs/>
                      <w:color w:val="auto"/>
                      <w:kern w:val="21"/>
                      <w:sz w:val="21"/>
                      <w:szCs w:val="21"/>
                      <w:highlight w:val="none"/>
                      <w:vertAlign w:val="baseline"/>
                      <w:lang w:val="en-US" w:eastAsia="zh-CN" w:bidi="ar-SA"/>
                    </w:rPr>
                    <w:t>化粪池处理后，</w:t>
                  </w:r>
                  <w:r>
                    <w:rPr>
                      <w:rFonts w:hint="eastAsia" w:cs="Times New Roman"/>
                      <w:b w:val="0"/>
                      <w:bCs/>
                      <w:color w:val="auto"/>
                      <w:kern w:val="21"/>
                      <w:sz w:val="21"/>
                      <w:szCs w:val="21"/>
                      <w:highlight w:val="none"/>
                      <w:vertAlign w:val="baseline"/>
                      <w:lang w:val="en-US" w:eastAsia="zh-CN" w:bidi="ar-SA"/>
                    </w:rPr>
                    <w:t>均</w:t>
                  </w:r>
                  <w:r>
                    <w:rPr>
                      <w:rFonts w:hint="default" w:ascii="Times New Roman" w:hAnsi="Times New Roman" w:eastAsia="宋体" w:cs="Times New Roman"/>
                      <w:b w:val="0"/>
                      <w:bCs/>
                      <w:color w:val="auto"/>
                      <w:kern w:val="21"/>
                      <w:sz w:val="21"/>
                      <w:szCs w:val="21"/>
                      <w:highlight w:val="none"/>
                      <w:vertAlign w:val="baseline"/>
                      <w:lang w:val="en-US" w:eastAsia="zh-CN" w:bidi="ar-SA"/>
                    </w:rPr>
                    <w:t>经园区污水管网进入</w:t>
                  </w:r>
                  <w:r>
                    <w:rPr>
                      <w:rFonts w:hint="eastAsia" w:ascii="Times New Roman" w:hAnsi="Times New Roman" w:cs="Times New Roman"/>
                      <w:bCs/>
                      <w:color w:val="auto"/>
                      <w:kern w:val="21"/>
                      <w:highlight w:val="none"/>
                      <w:lang w:val="en-US" w:eastAsia="zh-CN"/>
                    </w:rPr>
                    <w:t>秦皇岛市第三</w:t>
                  </w:r>
                  <w:r>
                    <w:rPr>
                      <w:rFonts w:hint="default" w:ascii="Times New Roman" w:hAnsi="Times New Roman" w:eastAsia="宋体" w:cs="Times New Roman"/>
                      <w:b w:val="0"/>
                      <w:bCs/>
                      <w:color w:val="auto"/>
                      <w:kern w:val="21"/>
                      <w:sz w:val="21"/>
                      <w:szCs w:val="21"/>
                      <w:highlight w:val="none"/>
                      <w:vertAlign w:val="baseline"/>
                      <w:lang w:val="en-US" w:eastAsia="zh-CN" w:bidi="ar-SA"/>
                    </w:rPr>
                    <w:t>污水处理厂；本项目生产无需供热</w:t>
                  </w:r>
                </w:p>
              </w:tc>
            </w:tr>
            <w:tr w14:paraId="54B07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6" w:type="dxa"/>
                  <w:vAlign w:val="center"/>
                </w:tcPr>
                <w:p w14:paraId="22E718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5</w:t>
                  </w:r>
                </w:p>
              </w:tc>
              <w:tc>
                <w:tcPr>
                  <w:tcW w:w="5002" w:type="dxa"/>
                  <w:vAlign w:val="center"/>
                </w:tcPr>
                <w:p w14:paraId="351641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强化园区环保基础设施建设和污染防治。加快园区环保设施优化升级，提升污染治理水平，强化区域大气、水、土壤环境等污染治理。</w:t>
                  </w:r>
                </w:p>
              </w:tc>
              <w:tc>
                <w:tcPr>
                  <w:tcW w:w="2730" w:type="dxa"/>
                  <w:vAlign w:val="center"/>
                </w:tcPr>
                <w:p w14:paraId="6879F0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本项目污染治理设施均为可行性环保措施，各污染物经治理后可达标排放</w:t>
                  </w:r>
                </w:p>
              </w:tc>
            </w:tr>
            <w:tr w14:paraId="5BF11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6" w:type="dxa"/>
                  <w:vAlign w:val="center"/>
                </w:tcPr>
                <w:p w14:paraId="25C500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6</w:t>
                  </w:r>
                </w:p>
              </w:tc>
              <w:tc>
                <w:tcPr>
                  <w:tcW w:w="5002" w:type="dxa"/>
                  <w:vAlign w:val="center"/>
                </w:tcPr>
                <w:p w14:paraId="223570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完善园区环境监测体系。结合园区规划的功能分区、产业布局、重点企业分布、特征污染物的排放种类和状况、生态环境敏感目标分布等，建立健全环境空气、地表水、地下水、土壤等环境要素的监控体系，明确环保投资、实施时限、责任主体等。</w:t>
                  </w:r>
                </w:p>
              </w:tc>
              <w:tc>
                <w:tcPr>
                  <w:tcW w:w="2730" w:type="dxa"/>
                  <w:vAlign w:val="center"/>
                </w:tcPr>
                <w:p w14:paraId="52843A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本项目已列出监测频次，要求企业定期进行自行监测</w:t>
                  </w:r>
                </w:p>
              </w:tc>
            </w:tr>
            <w:tr w14:paraId="53AAC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6" w:type="dxa"/>
                  <w:vAlign w:val="center"/>
                </w:tcPr>
                <w:p w14:paraId="051752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7</w:t>
                  </w:r>
                </w:p>
              </w:tc>
              <w:tc>
                <w:tcPr>
                  <w:tcW w:w="5002" w:type="dxa"/>
                  <w:vAlign w:val="center"/>
                </w:tcPr>
                <w:p w14:paraId="3BDBD4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组织制定园区生态环境保护规划及突发环境事件应急预案，统筹考虑区域内污染防治、生态恢复与建设、环境风险防范、环境管理等事宜。按照“分类管理，分级响应区域联动”的原则，建立健全区域风险防范和生态安全保障体系，加强园区内重要风险源的管控，建立环境应急响应联动机制。</w:t>
                  </w:r>
                </w:p>
              </w:tc>
              <w:tc>
                <w:tcPr>
                  <w:tcW w:w="2730" w:type="dxa"/>
                  <w:vAlign w:val="center"/>
                </w:tcPr>
                <w:p w14:paraId="24FC72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cs="Times New Roman"/>
                      <w:color w:val="auto"/>
                      <w:w w:val="100"/>
                      <w:position w:val="0"/>
                      <w:sz w:val="21"/>
                      <w:szCs w:val="21"/>
                      <w:highlight w:val="none"/>
                      <w:lang w:val="en-US" w:eastAsia="zh-CN" w:bidi="ar-SA"/>
                    </w:rPr>
                    <w:t>本项目</w:t>
                  </w:r>
                  <w:r>
                    <w:rPr>
                      <w:rFonts w:hint="default" w:ascii="Times New Roman" w:hAnsi="Times New Roman" w:eastAsia="宋体" w:cs="Times New Roman"/>
                      <w:color w:val="auto"/>
                      <w:sz w:val="21"/>
                      <w:szCs w:val="21"/>
                      <w:highlight w:val="none"/>
                      <w:lang w:val="en-US" w:eastAsia="zh-CN"/>
                    </w:rPr>
                    <w:t>依据河北省生态环境厅关于印发《河北省生态环境厅关于优化企事业单位突发环境事件应急预案备案的指导意见（试行）》的通知（冀环应急〔2025〕26号），企业为简化管理企业（一般环境风险企业），按要求进行备案工作。</w:t>
                  </w:r>
                </w:p>
              </w:tc>
            </w:tr>
          </w:tbl>
          <w:p w14:paraId="4B8C1B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color w:val="auto"/>
                <w:kern w:val="21"/>
                <w:sz w:val="24"/>
                <w:szCs w:val="20"/>
                <w:highlight w:val="none"/>
                <w:lang w:val="en-US" w:eastAsia="zh-CN" w:bidi="ar-SA"/>
              </w:rPr>
            </w:pPr>
            <w:r>
              <w:rPr>
                <w:rFonts w:hint="default" w:ascii="Times New Roman" w:hAnsi="Times New Roman" w:cs="Times New Roman"/>
                <w:b/>
                <w:color w:val="auto"/>
                <w:kern w:val="21"/>
                <w:sz w:val="24"/>
                <w:szCs w:val="20"/>
                <w:highlight w:val="none"/>
                <w:lang w:val="en-US" w:eastAsia="zh-CN" w:bidi="ar-SA"/>
              </w:rPr>
              <w:t>表1-4 本项目与《关于转送秦皇岛新兴产业园控制性详细规划(2010-2020年)环境影响报告书审查意见的函》符合性分析</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9"/>
              <w:gridCol w:w="5023"/>
              <w:gridCol w:w="2742"/>
            </w:tblGrid>
            <w:tr w14:paraId="2B8BB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8" w:type="dxa"/>
                  <w:vAlign w:val="center"/>
                </w:tcPr>
                <w:p w14:paraId="32F055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序号</w:t>
                  </w:r>
                </w:p>
              </w:tc>
              <w:tc>
                <w:tcPr>
                  <w:tcW w:w="4839" w:type="dxa"/>
                </w:tcPr>
                <w:p w14:paraId="158C52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文件内容</w:t>
                  </w:r>
                </w:p>
              </w:tc>
              <w:tc>
                <w:tcPr>
                  <w:tcW w:w="2640" w:type="dxa"/>
                </w:tcPr>
                <w:p w14:paraId="75C3DA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本项目符合性</w:t>
                  </w:r>
                </w:p>
              </w:tc>
            </w:tr>
            <w:tr w14:paraId="15482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vAlign w:val="center"/>
                </w:tcPr>
                <w:p w14:paraId="53FC5D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1</w:t>
                  </w:r>
                </w:p>
              </w:tc>
              <w:tc>
                <w:tcPr>
                  <w:tcW w:w="4839" w:type="dxa"/>
                  <w:vAlign w:val="center"/>
                </w:tcPr>
                <w:p w14:paraId="6D8741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 xml:space="preserve">秦皇岛新兴产业园 (以下简称“园区”) 规划范围东至兴凯湖路、南至清水河道、西至京沈高速公路北戴河连接线、北至京沈高速公路，规划总面积 54.65 平方公里。园区规划产业以高端产业功能为核心，集高新技术、科技研发、生产服务为一体的高科技、生态型、现代化的产业聚集区。规划期限为 2010-2020年，近期 2010-2015 年，远期 2016-2020 年 </w:t>
                  </w:r>
                </w:p>
              </w:tc>
              <w:tc>
                <w:tcPr>
                  <w:tcW w:w="2640" w:type="dxa"/>
                  <w:vAlign w:val="center"/>
                </w:tcPr>
                <w:p w14:paraId="094A62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本项目位于</w:t>
                  </w:r>
                  <w:r>
                    <w:rPr>
                      <w:rFonts w:hint="eastAsia" w:cs="Times New Roman"/>
                      <w:b w:val="0"/>
                      <w:bCs/>
                      <w:color w:val="auto"/>
                      <w:kern w:val="21"/>
                      <w:sz w:val="21"/>
                      <w:szCs w:val="21"/>
                      <w:highlight w:val="none"/>
                      <w:vertAlign w:val="baseline"/>
                      <w:lang w:val="en-US" w:eastAsia="zh-CN" w:bidi="ar-SA"/>
                    </w:rPr>
                    <w:t>新兴</w:t>
                  </w:r>
                  <w:r>
                    <w:rPr>
                      <w:rFonts w:hint="default" w:ascii="Times New Roman" w:hAnsi="Times New Roman" w:eastAsia="宋体" w:cs="Times New Roman"/>
                      <w:b w:val="0"/>
                      <w:bCs/>
                      <w:color w:val="auto"/>
                      <w:kern w:val="21"/>
                      <w:sz w:val="21"/>
                      <w:szCs w:val="21"/>
                      <w:highlight w:val="none"/>
                      <w:vertAlign w:val="baseline"/>
                      <w:lang w:val="en-US" w:eastAsia="zh-CN" w:bidi="ar-SA"/>
                    </w:rPr>
                    <w:t>产业园内，符合产业定位、布局、结构</w:t>
                  </w:r>
                </w:p>
              </w:tc>
            </w:tr>
            <w:tr w14:paraId="13C9B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vAlign w:val="center"/>
                </w:tcPr>
                <w:p w14:paraId="4F31CC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2</w:t>
                  </w:r>
                </w:p>
              </w:tc>
              <w:tc>
                <w:tcPr>
                  <w:tcW w:w="4839" w:type="dxa"/>
                  <w:vAlign w:val="center"/>
                </w:tcPr>
                <w:p w14:paraId="5F9E46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强化循环经济和低碳经济理念，贯彻清洁生产、达标排放总量控制原则，坚持园区建设与环境建设同步规划、同步实施同步发展，确保产业发展方向与循环经济产业链延伸相协调，将园区建设为环境保护与经济协调发展的现代产业园区</w:t>
                  </w:r>
                </w:p>
              </w:tc>
              <w:tc>
                <w:tcPr>
                  <w:tcW w:w="2640" w:type="dxa"/>
                  <w:vAlign w:val="center"/>
                </w:tcPr>
                <w:p w14:paraId="5D29D5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cs="Times New Roman"/>
                      <w:b w:val="0"/>
                      <w:bCs/>
                      <w:color w:val="auto"/>
                      <w:kern w:val="21"/>
                      <w:sz w:val="21"/>
                      <w:szCs w:val="21"/>
                      <w:highlight w:val="none"/>
                      <w:vertAlign w:val="baseline"/>
                      <w:lang w:val="en-US" w:eastAsia="zh-CN" w:bidi="ar-SA"/>
                    </w:rPr>
                    <w:t>本项目已进行碳排放分析，符合产业发展方向</w:t>
                  </w:r>
                </w:p>
              </w:tc>
            </w:tr>
            <w:tr w14:paraId="2B5AD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vAlign w:val="center"/>
                </w:tcPr>
                <w:p w14:paraId="3DF605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3</w:t>
                  </w:r>
                </w:p>
              </w:tc>
              <w:tc>
                <w:tcPr>
                  <w:tcW w:w="4839" w:type="dxa"/>
                  <w:vAlign w:val="center"/>
                </w:tcPr>
                <w:p w14:paraId="052CAE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科学调整用地布局，完善村庄搬迁方案。建议将西北侧规划居住区仅作为职工用房，不作为村民回迁安置和房地产开发。积极稳妥地做好村庄搬迁工作，最大限度地减轻规划实施对村庄环境的影响。</w:t>
                  </w:r>
                </w:p>
              </w:tc>
              <w:tc>
                <w:tcPr>
                  <w:tcW w:w="2640" w:type="dxa"/>
                  <w:vAlign w:val="center"/>
                </w:tcPr>
                <w:p w14:paraId="28393B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cs="Times New Roman"/>
                      <w:b w:val="0"/>
                      <w:bCs/>
                      <w:color w:val="auto"/>
                      <w:kern w:val="21"/>
                      <w:sz w:val="21"/>
                      <w:szCs w:val="21"/>
                      <w:highlight w:val="none"/>
                      <w:vertAlign w:val="baseline"/>
                      <w:lang w:val="en-US" w:eastAsia="zh-CN" w:bidi="ar-SA"/>
                    </w:rPr>
                    <w:t>本项目不占用居住区</w:t>
                  </w:r>
                </w:p>
              </w:tc>
            </w:tr>
            <w:tr w14:paraId="5A4AC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vAlign w:val="center"/>
                </w:tcPr>
                <w:p w14:paraId="529FE1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4</w:t>
                  </w:r>
                </w:p>
              </w:tc>
              <w:tc>
                <w:tcPr>
                  <w:tcW w:w="4839" w:type="dxa"/>
                  <w:vAlign w:val="center"/>
                </w:tcPr>
                <w:p w14:paraId="6C424E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科学定位发展产业，提高项目准入门槛。园区发展要与区域生态功能相协调，符合国家产业政策。入区项目要符合国家《产业结构调整指导目录》《河北省区域禁(限) 批建设项目的实施意见(试行)》等文件要求，禁止建设基础化工类项目、原料药项</w:t>
                  </w:r>
                  <w:r>
                    <w:rPr>
                      <w:rFonts w:hint="default" w:ascii="Times New Roman" w:hAnsi="Times New Roman" w:cs="Times New Roman"/>
                      <w:b w:val="0"/>
                      <w:bCs/>
                      <w:color w:val="auto"/>
                      <w:kern w:val="21"/>
                      <w:sz w:val="21"/>
                      <w:szCs w:val="21"/>
                      <w:highlight w:val="none"/>
                      <w:vertAlign w:val="baseline"/>
                      <w:lang w:val="en-US" w:eastAsia="zh-CN" w:bidi="ar-SA"/>
                    </w:rPr>
                    <w:t>目</w:t>
                  </w:r>
                </w:p>
              </w:tc>
              <w:tc>
                <w:tcPr>
                  <w:tcW w:w="2640" w:type="dxa"/>
                  <w:vAlign w:val="center"/>
                </w:tcPr>
                <w:p w14:paraId="4D2158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本项目</w:t>
                  </w:r>
                  <w:r>
                    <w:rPr>
                      <w:rFonts w:hint="default" w:ascii="Times New Roman" w:hAnsi="Times New Roman" w:cs="Times New Roman"/>
                      <w:b w:val="0"/>
                      <w:bCs/>
                      <w:color w:val="auto"/>
                      <w:kern w:val="21"/>
                      <w:sz w:val="21"/>
                      <w:szCs w:val="21"/>
                      <w:highlight w:val="none"/>
                      <w:vertAlign w:val="baseline"/>
                      <w:lang w:val="en-US" w:eastAsia="zh-CN" w:bidi="ar-SA"/>
                    </w:rPr>
                    <w:t>符合国家产业政策、不属于限制、淘汰、禁止类项目</w:t>
                  </w:r>
                </w:p>
              </w:tc>
            </w:tr>
            <w:tr w14:paraId="04E28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vAlign w:val="center"/>
                </w:tcPr>
                <w:p w14:paraId="5044D3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5</w:t>
                  </w:r>
                </w:p>
              </w:tc>
              <w:tc>
                <w:tcPr>
                  <w:tcW w:w="4839" w:type="dxa"/>
                  <w:vAlign w:val="center"/>
                </w:tcPr>
                <w:p w14:paraId="7BF3A6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调整土地使用规划，严格执行国家土地管理政策，对占用的耕地实施先补后占，实现“占补平衡”，确保项目占地符合国家相关要求。</w:t>
                  </w:r>
                </w:p>
              </w:tc>
              <w:tc>
                <w:tcPr>
                  <w:tcW w:w="2640" w:type="dxa"/>
                  <w:vAlign w:val="center"/>
                </w:tcPr>
                <w:p w14:paraId="0D6A52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cs="Times New Roman"/>
                      <w:b w:val="0"/>
                      <w:bCs/>
                      <w:color w:val="auto"/>
                      <w:kern w:val="21"/>
                      <w:sz w:val="21"/>
                      <w:szCs w:val="21"/>
                      <w:highlight w:val="none"/>
                      <w:vertAlign w:val="baseline"/>
                      <w:lang w:val="en-US" w:eastAsia="zh-CN" w:bidi="ar-SA"/>
                    </w:rPr>
                    <w:t>本项目</w:t>
                  </w:r>
                  <w:r>
                    <w:rPr>
                      <w:rFonts w:hint="eastAsia" w:cs="Times New Roman"/>
                      <w:b w:val="0"/>
                      <w:bCs/>
                      <w:color w:val="auto"/>
                      <w:kern w:val="21"/>
                      <w:sz w:val="21"/>
                      <w:szCs w:val="21"/>
                      <w:highlight w:val="none"/>
                      <w:vertAlign w:val="baseline"/>
                      <w:lang w:val="en-US" w:eastAsia="zh-CN" w:bidi="ar-SA"/>
                    </w:rPr>
                    <w:t>租赁现有</w:t>
                  </w:r>
                  <w:r>
                    <w:rPr>
                      <w:rFonts w:hint="default" w:ascii="Times New Roman" w:hAnsi="Times New Roman" w:cs="Times New Roman"/>
                      <w:b w:val="0"/>
                      <w:bCs/>
                      <w:color w:val="auto"/>
                      <w:kern w:val="21"/>
                      <w:sz w:val="21"/>
                      <w:szCs w:val="21"/>
                      <w:highlight w:val="none"/>
                      <w:vertAlign w:val="baseline"/>
                      <w:lang w:val="en-US" w:eastAsia="zh-CN" w:bidi="ar-SA"/>
                    </w:rPr>
                    <w:t>厂房</w:t>
                  </w:r>
                  <w:r>
                    <w:rPr>
                      <w:rFonts w:hint="eastAsia" w:cs="Times New Roman"/>
                      <w:b w:val="0"/>
                      <w:bCs/>
                      <w:color w:val="auto"/>
                      <w:kern w:val="21"/>
                      <w:sz w:val="21"/>
                      <w:szCs w:val="21"/>
                      <w:highlight w:val="none"/>
                      <w:vertAlign w:val="baseline"/>
                      <w:lang w:val="en-US" w:eastAsia="zh-CN" w:bidi="ar-SA"/>
                    </w:rPr>
                    <w:t>，在厂房</w:t>
                  </w:r>
                  <w:r>
                    <w:rPr>
                      <w:rFonts w:hint="default" w:ascii="Times New Roman" w:hAnsi="Times New Roman" w:cs="Times New Roman"/>
                      <w:b w:val="0"/>
                      <w:bCs/>
                      <w:color w:val="auto"/>
                      <w:kern w:val="21"/>
                      <w:sz w:val="21"/>
                      <w:szCs w:val="21"/>
                      <w:highlight w:val="none"/>
                      <w:vertAlign w:val="baseline"/>
                      <w:lang w:val="en-US" w:eastAsia="zh-CN" w:bidi="ar-SA"/>
                    </w:rPr>
                    <w:t>内建设</w:t>
                  </w:r>
                </w:p>
              </w:tc>
            </w:tr>
            <w:tr w14:paraId="64FC7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vAlign w:val="center"/>
                </w:tcPr>
                <w:p w14:paraId="1B448B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6</w:t>
                  </w:r>
                </w:p>
              </w:tc>
              <w:tc>
                <w:tcPr>
                  <w:tcW w:w="4839" w:type="dxa"/>
                  <w:vAlign w:val="center"/>
                </w:tcPr>
                <w:p w14:paraId="190E9D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科学合理利用区域水资源，加强水资源梯级利用和再生利用，不断提高水资源利用率，尽最大努力减轻对地下水资源的开采量。</w:t>
                  </w:r>
                </w:p>
              </w:tc>
              <w:tc>
                <w:tcPr>
                  <w:tcW w:w="2640" w:type="dxa"/>
                  <w:vAlign w:val="center"/>
                </w:tcPr>
                <w:p w14:paraId="19DB10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本项目</w:t>
                  </w:r>
                  <w:r>
                    <w:rPr>
                      <w:rFonts w:hint="eastAsia" w:cs="Times New Roman"/>
                      <w:b w:val="0"/>
                      <w:bCs/>
                      <w:color w:val="auto"/>
                      <w:kern w:val="21"/>
                      <w:sz w:val="21"/>
                      <w:szCs w:val="21"/>
                      <w:highlight w:val="none"/>
                      <w:vertAlign w:val="baseline"/>
                      <w:lang w:val="en-US" w:eastAsia="zh-CN" w:bidi="ar-SA"/>
                    </w:rPr>
                    <w:t>清洗废水和生活污水外排，除尘、水磨废水循环使用。</w:t>
                  </w:r>
                </w:p>
              </w:tc>
            </w:tr>
            <w:tr w14:paraId="4C3A2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vAlign w:val="center"/>
                </w:tcPr>
                <w:p w14:paraId="617AF2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7</w:t>
                  </w:r>
                </w:p>
              </w:tc>
              <w:tc>
                <w:tcPr>
                  <w:tcW w:w="4839" w:type="dxa"/>
                  <w:vAlign w:val="center"/>
                </w:tcPr>
                <w:p w14:paraId="09E1B7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统筹规划并优先建设园区配套的供水、供热、供气、污水处理及再生水回用等基础设施。</w:t>
                  </w:r>
                </w:p>
                <w:p w14:paraId="06118B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优化园区供热方案，严禁企业新建燃煤锅炉。同时，园区应进一步加强废水治理，加大再生水回用力度，多余废水全部经污水厂处理达到《城镇污水处理厂污染物排放标准》(GB18918-2002)一级A标准后排入小汤河</w:t>
                  </w:r>
                </w:p>
              </w:tc>
              <w:tc>
                <w:tcPr>
                  <w:tcW w:w="2640" w:type="dxa"/>
                  <w:vAlign w:val="center"/>
                </w:tcPr>
                <w:p w14:paraId="5B1951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本项目</w:t>
                  </w:r>
                  <w:r>
                    <w:rPr>
                      <w:rFonts w:hint="default" w:ascii="Times New Roman" w:hAnsi="Times New Roman" w:cs="Times New Roman"/>
                      <w:b w:val="0"/>
                      <w:bCs/>
                      <w:color w:val="auto"/>
                      <w:kern w:val="21"/>
                      <w:sz w:val="21"/>
                      <w:szCs w:val="21"/>
                      <w:highlight w:val="none"/>
                      <w:vertAlign w:val="baseline"/>
                      <w:lang w:val="en-US" w:eastAsia="zh-CN" w:bidi="ar-SA"/>
                    </w:rPr>
                    <w:t>依托园区的设施，不新建燃煤锅炉</w:t>
                  </w:r>
                </w:p>
              </w:tc>
            </w:tr>
            <w:tr w14:paraId="31420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vAlign w:val="center"/>
                </w:tcPr>
                <w:p w14:paraId="79C169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cs="Times New Roman"/>
                      <w:b w:val="0"/>
                      <w:bCs/>
                      <w:color w:val="auto"/>
                      <w:kern w:val="21"/>
                      <w:sz w:val="21"/>
                      <w:szCs w:val="21"/>
                      <w:highlight w:val="none"/>
                      <w:vertAlign w:val="baseline"/>
                      <w:lang w:val="en-US" w:eastAsia="zh-CN" w:bidi="ar-SA"/>
                    </w:rPr>
                    <w:t>8</w:t>
                  </w:r>
                </w:p>
              </w:tc>
              <w:tc>
                <w:tcPr>
                  <w:tcW w:w="4839" w:type="dxa"/>
                  <w:vAlign w:val="center"/>
                </w:tcPr>
                <w:p w14:paraId="286AC8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加强区域污染防治和园区环境管理，特别是强化区域地下水污染防治，制定、修订并严格落实园区环境风险防范和环境应急预案，提高环境风险事故情况下的环境污染防范措施和应急处置能力，努力减轻规划实施中的环境影响。加强园区排水环境监管，防止对环境敏感点造成影响。</w:t>
                  </w:r>
                </w:p>
              </w:tc>
              <w:tc>
                <w:tcPr>
                  <w:tcW w:w="2640" w:type="dxa"/>
                  <w:vAlign w:val="center"/>
                </w:tcPr>
                <w:p w14:paraId="19C194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本项目按要求落实防腐防渗措施，</w:t>
                  </w:r>
                  <w:r>
                    <w:rPr>
                      <w:rFonts w:hint="default" w:ascii="Times New Roman" w:hAnsi="Times New Roman" w:cs="Times New Roman"/>
                      <w:color w:val="auto"/>
                      <w:w w:val="100"/>
                      <w:position w:val="0"/>
                      <w:sz w:val="21"/>
                      <w:szCs w:val="21"/>
                      <w:highlight w:val="none"/>
                      <w:lang w:val="en-US" w:eastAsia="zh-CN" w:bidi="ar-SA"/>
                    </w:rPr>
                    <w:t>本项目</w:t>
                  </w:r>
                  <w:r>
                    <w:rPr>
                      <w:rFonts w:hint="default" w:ascii="Times New Roman" w:hAnsi="Times New Roman" w:eastAsia="宋体" w:cs="Times New Roman"/>
                      <w:color w:val="auto"/>
                      <w:sz w:val="21"/>
                      <w:szCs w:val="21"/>
                      <w:highlight w:val="none"/>
                      <w:lang w:val="en-US" w:eastAsia="zh-CN"/>
                    </w:rPr>
                    <w:t>依据河北省生态环境厅关于印发《河北省生态环境厅关于优化企事业单位突发环境事件应急预案备案的指导意见（试行）》的通知（冀环应急〔2025〕26号），企业为简化管理企业（一般环境风险企业），按要求进行备案工作，在生产前取得备案文件。</w:t>
                  </w:r>
                </w:p>
              </w:tc>
            </w:tr>
            <w:tr w14:paraId="5FC80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vAlign w:val="center"/>
                </w:tcPr>
                <w:p w14:paraId="2D4C69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kern w:val="21"/>
                      <w:sz w:val="21"/>
                      <w:szCs w:val="21"/>
                      <w:highlight w:val="none"/>
                      <w:vertAlign w:val="baseline"/>
                      <w:lang w:val="en-US" w:eastAsia="zh-CN" w:bidi="ar-SA"/>
                    </w:rPr>
                  </w:pPr>
                  <w:r>
                    <w:rPr>
                      <w:rFonts w:hint="default" w:ascii="Times New Roman" w:hAnsi="Times New Roman" w:cs="Times New Roman"/>
                      <w:b w:val="0"/>
                      <w:bCs/>
                      <w:color w:val="auto"/>
                      <w:kern w:val="21"/>
                      <w:sz w:val="21"/>
                      <w:szCs w:val="21"/>
                      <w:highlight w:val="none"/>
                      <w:vertAlign w:val="baseline"/>
                      <w:lang w:val="en-US" w:eastAsia="zh-CN" w:bidi="ar-SA"/>
                    </w:rPr>
                    <w:t>9</w:t>
                  </w:r>
                </w:p>
              </w:tc>
              <w:tc>
                <w:tcPr>
                  <w:tcW w:w="4839" w:type="dxa"/>
                  <w:vAlign w:val="center"/>
                </w:tcPr>
                <w:p w14:paraId="0F2A25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切实落实环评报告书中环境管理、环境监测计划、清洁生产有关措施。建设中应每五年进行一次环境影响跟踪评价;在规划修编时应重新编制环境影响报告书</w:t>
                  </w:r>
                </w:p>
              </w:tc>
              <w:tc>
                <w:tcPr>
                  <w:tcW w:w="2640" w:type="dxa"/>
                  <w:vAlign w:val="center"/>
                </w:tcPr>
                <w:p w14:paraId="4B820D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kern w:val="21"/>
                      <w:sz w:val="21"/>
                      <w:szCs w:val="21"/>
                      <w:highlight w:val="none"/>
                      <w:vertAlign w:val="baseline"/>
                      <w:lang w:val="en-US" w:eastAsia="zh-CN" w:bidi="ar-SA"/>
                    </w:rPr>
                  </w:pPr>
                  <w:r>
                    <w:rPr>
                      <w:rFonts w:hint="default" w:ascii="Times New Roman" w:hAnsi="Times New Roman" w:cs="Times New Roman"/>
                      <w:b w:val="0"/>
                      <w:bCs/>
                      <w:color w:val="auto"/>
                      <w:kern w:val="21"/>
                      <w:sz w:val="21"/>
                      <w:szCs w:val="21"/>
                      <w:highlight w:val="none"/>
                      <w:vertAlign w:val="baseline"/>
                      <w:lang w:val="en-US" w:eastAsia="zh-CN" w:bidi="ar-SA"/>
                    </w:rPr>
                    <w:t>本项目</w:t>
                  </w:r>
                  <w:r>
                    <w:rPr>
                      <w:rFonts w:hint="default" w:ascii="Times New Roman" w:hAnsi="Times New Roman" w:eastAsia="宋体" w:cs="Times New Roman"/>
                      <w:b w:val="0"/>
                      <w:bCs/>
                      <w:color w:val="auto"/>
                      <w:kern w:val="21"/>
                      <w:sz w:val="21"/>
                      <w:szCs w:val="21"/>
                      <w:highlight w:val="none"/>
                      <w:vertAlign w:val="baseline"/>
                      <w:lang w:val="en-US" w:eastAsia="zh-CN" w:bidi="ar-SA"/>
                    </w:rPr>
                    <w:t>已列出监测频次，要求企业定期进行自行监测</w:t>
                  </w:r>
                </w:p>
              </w:tc>
            </w:tr>
            <w:tr w14:paraId="298DE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vAlign w:val="center"/>
                </w:tcPr>
                <w:p w14:paraId="64B694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kern w:val="21"/>
                      <w:sz w:val="21"/>
                      <w:szCs w:val="21"/>
                      <w:highlight w:val="none"/>
                      <w:vertAlign w:val="baseline"/>
                      <w:lang w:val="en-US" w:eastAsia="zh-CN" w:bidi="ar-SA"/>
                    </w:rPr>
                  </w:pPr>
                  <w:r>
                    <w:rPr>
                      <w:rFonts w:hint="default" w:ascii="Times New Roman" w:hAnsi="Times New Roman" w:cs="Times New Roman"/>
                      <w:b w:val="0"/>
                      <w:bCs/>
                      <w:color w:val="auto"/>
                      <w:kern w:val="21"/>
                      <w:sz w:val="21"/>
                      <w:szCs w:val="21"/>
                      <w:highlight w:val="none"/>
                      <w:vertAlign w:val="baseline"/>
                      <w:lang w:val="en-US" w:eastAsia="zh-CN" w:bidi="ar-SA"/>
                    </w:rPr>
                    <w:t>10</w:t>
                  </w:r>
                </w:p>
              </w:tc>
              <w:tc>
                <w:tcPr>
                  <w:tcW w:w="4839" w:type="dxa"/>
                  <w:vAlign w:val="center"/>
                </w:tcPr>
                <w:p w14:paraId="540C99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属于规划范围内的建设项目应按审批权限和程序履行环评审批手续，园区排污总量控制应符合省、市确定的总量控制要求</w:t>
                  </w:r>
                </w:p>
              </w:tc>
              <w:tc>
                <w:tcPr>
                  <w:tcW w:w="2640" w:type="dxa"/>
                  <w:vAlign w:val="center"/>
                </w:tcPr>
                <w:p w14:paraId="40C8CC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kern w:val="21"/>
                      <w:sz w:val="21"/>
                      <w:szCs w:val="21"/>
                      <w:highlight w:val="none"/>
                      <w:vertAlign w:val="baseline"/>
                      <w:lang w:val="en-US" w:eastAsia="zh-CN" w:bidi="ar-SA"/>
                    </w:rPr>
                  </w:pPr>
                  <w:r>
                    <w:rPr>
                      <w:rFonts w:hint="default" w:ascii="Times New Roman" w:hAnsi="Times New Roman" w:cs="Times New Roman"/>
                      <w:b w:val="0"/>
                      <w:bCs/>
                      <w:color w:val="auto"/>
                      <w:kern w:val="21"/>
                      <w:sz w:val="21"/>
                      <w:szCs w:val="21"/>
                      <w:highlight w:val="none"/>
                      <w:vertAlign w:val="baseline"/>
                      <w:lang w:val="en-US" w:eastAsia="zh-CN" w:bidi="ar-SA"/>
                    </w:rPr>
                    <w:t>项目已按要求履行相关手续</w:t>
                  </w:r>
                </w:p>
              </w:tc>
            </w:tr>
            <w:tr w14:paraId="72565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vAlign w:val="center"/>
                </w:tcPr>
                <w:p w14:paraId="374914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kern w:val="21"/>
                      <w:sz w:val="21"/>
                      <w:szCs w:val="21"/>
                      <w:highlight w:val="none"/>
                      <w:vertAlign w:val="baseline"/>
                      <w:lang w:val="en-US" w:eastAsia="zh-CN" w:bidi="ar-SA"/>
                    </w:rPr>
                  </w:pPr>
                  <w:r>
                    <w:rPr>
                      <w:rFonts w:hint="default" w:ascii="Times New Roman" w:hAnsi="Times New Roman" w:cs="Times New Roman"/>
                      <w:b w:val="0"/>
                      <w:bCs/>
                      <w:color w:val="auto"/>
                      <w:kern w:val="21"/>
                      <w:sz w:val="21"/>
                      <w:szCs w:val="21"/>
                      <w:highlight w:val="none"/>
                      <w:vertAlign w:val="baseline"/>
                      <w:lang w:val="en-US" w:eastAsia="zh-CN" w:bidi="ar-SA"/>
                    </w:rPr>
                    <w:t>11</w:t>
                  </w:r>
                </w:p>
              </w:tc>
              <w:tc>
                <w:tcPr>
                  <w:tcW w:w="4839" w:type="dxa"/>
                  <w:vAlign w:val="center"/>
                </w:tcPr>
                <w:p w14:paraId="400E38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color w:val="auto"/>
                      <w:kern w:val="21"/>
                      <w:sz w:val="21"/>
                      <w:szCs w:val="21"/>
                      <w:highlight w:val="none"/>
                      <w:vertAlign w:val="baseline"/>
                      <w:lang w:val="en-US" w:eastAsia="zh-CN" w:bidi="ar-SA"/>
                    </w:rPr>
                  </w:pPr>
                  <w:r>
                    <w:rPr>
                      <w:rFonts w:hint="default" w:ascii="Times New Roman" w:hAnsi="Times New Roman" w:eastAsia="宋体" w:cs="Times New Roman"/>
                      <w:b w:val="0"/>
                      <w:bCs/>
                      <w:color w:val="auto"/>
                      <w:kern w:val="21"/>
                      <w:sz w:val="21"/>
                      <w:szCs w:val="21"/>
                      <w:highlight w:val="none"/>
                      <w:vertAlign w:val="baseline"/>
                      <w:lang w:val="en-US" w:eastAsia="zh-CN" w:bidi="ar-SA"/>
                    </w:rPr>
                    <w:t>在开展项目环境影响评价时，区域环境影响现状评价内容可以适当简化，涉及项目准入、环境风险及公众参与等内容应做重点、深入评价</w:t>
                  </w:r>
                </w:p>
              </w:tc>
              <w:tc>
                <w:tcPr>
                  <w:tcW w:w="2640" w:type="dxa"/>
                  <w:vAlign w:val="center"/>
                </w:tcPr>
                <w:p w14:paraId="21F37C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color w:val="auto"/>
                      <w:kern w:val="21"/>
                      <w:sz w:val="21"/>
                      <w:szCs w:val="21"/>
                      <w:highlight w:val="none"/>
                      <w:vertAlign w:val="baseline"/>
                      <w:lang w:val="en-US" w:eastAsia="zh-CN" w:bidi="ar-SA"/>
                    </w:rPr>
                  </w:pPr>
                  <w:r>
                    <w:rPr>
                      <w:rFonts w:hint="default" w:ascii="Times New Roman" w:hAnsi="Times New Roman" w:cs="Times New Roman"/>
                      <w:b w:val="0"/>
                      <w:bCs/>
                      <w:color w:val="auto"/>
                      <w:kern w:val="21"/>
                      <w:sz w:val="21"/>
                      <w:szCs w:val="21"/>
                      <w:highlight w:val="none"/>
                      <w:vertAlign w:val="baseline"/>
                      <w:lang w:val="en-US" w:eastAsia="zh-CN" w:bidi="ar-SA"/>
                    </w:rPr>
                    <w:t>本项目符合园区准入要求</w:t>
                  </w:r>
                </w:p>
              </w:tc>
            </w:tr>
          </w:tbl>
          <w:p w14:paraId="2343728E">
            <w:pPr>
              <w:keepNext w:val="0"/>
              <w:keepLines w:val="0"/>
              <w:widowControl/>
              <w:suppressLineNumbers w:val="0"/>
              <w:spacing w:before="0" w:beforeAutospacing="0" w:after="0" w:afterAutospacing="0" w:line="480" w:lineRule="exact"/>
              <w:ind w:left="0" w:right="0" w:firstLine="480" w:firstLineChars="200"/>
              <w:rPr>
                <w:rFonts w:hint="default"/>
                <w:color w:val="auto"/>
                <w:kern w:val="0"/>
                <w:sz w:val="24"/>
                <w:szCs w:val="22"/>
                <w:highlight w:val="none"/>
              </w:rPr>
            </w:pPr>
            <w:r>
              <w:rPr>
                <w:rFonts w:hint="eastAsia"/>
                <w:color w:val="auto"/>
                <w:kern w:val="0"/>
                <w:sz w:val="24"/>
                <w:szCs w:val="22"/>
                <w:highlight w:val="none"/>
              </w:rPr>
              <w:t>本项目位于新兴产业园已完成跟踪评价区域内，位于</w:t>
            </w:r>
            <w:r>
              <w:rPr>
                <w:rFonts w:hint="eastAsia"/>
                <w:bCs/>
                <w:color w:val="auto"/>
                <w:sz w:val="24"/>
                <w:highlight w:val="none"/>
              </w:rPr>
              <w:t>秦皇岛市经济技术开发区龙海道37号，戴河国际产业园</w:t>
            </w:r>
            <w:r>
              <w:rPr>
                <w:rFonts w:hint="eastAsia"/>
                <w:bCs/>
                <w:color w:val="auto"/>
                <w:sz w:val="24"/>
                <w:highlight w:val="none"/>
                <w:lang w:val="en-US" w:eastAsia="zh-CN"/>
              </w:rPr>
              <w:t>13</w:t>
            </w:r>
            <w:r>
              <w:rPr>
                <w:rFonts w:hint="eastAsia"/>
                <w:bCs/>
                <w:color w:val="auto"/>
                <w:sz w:val="24"/>
                <w:highlight w:val="none"/>
              </w:rPr>
              <w:t>号厂房</w:t>
            </w:r>
            <w:r>
              <w:rPr>
                <w:rFonts w:hint="eastAsia"/>
                <w:color w:val="auto"/>
                <w:kern w:val="0"/>
                <w:sz w:val="24"/>
                <w:szCs w:val="22"/>
                <w:highlight w:val="none"/>
              </w:rPr>
              <w:t>，不影响园区产业发展及布局。</w:t>
            </w:r>
          </w:p>
          <w:p w14:paraId="4A76401A">
            <w:pPr>
              <w:pStyle w:val="15"/>
              <w:keepNext w:val="0"/>
              <w:keepLines w:val="0"/>
              <w:suppressLineNumbers w:val="0"/>
              <w:spacing w:before="0" w:beforeAutospacing="0" w:after="0" w:afterAutospacing="0"/>
              <w:ind w:left="0" w:leftChars="0" w:firstLine="0" w:firstLineChars="0"/>
              <w:rPr>
                <w:rFonts w:hint="default"/>
                <w:bCs/>
                <w:color w:val="auto"/>
                <w:sz w:val="24"/>
                <w:highlight w:val="none"/>
              </w:rPr>
            </w:pPr>
          </w:p>
        </w:tc>
      </w:tr>
      <w:tr w14:paraId="2430FB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30" w:hRule="atLeast"/>
          <w:jc w:val="center"/>
        </w:trPr>
        <w:tc>
          <w:tcPr>
            <w:tcW w:w="412" w:type="dxa"/>
            <w:vAlign w:val="center"/>
          </w:tcPr>
          <w:p w14:paraId="6B4E5AB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B3CF9B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8CC8FE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E3A342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5B2E63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4C2AD7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A4CD9D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659ED9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80D111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33B8E4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6CA83E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0897EE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1219F7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CA16DC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4B855B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59D245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3450C0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1EC711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r>
              <w:rPr>
                <w:rFonts w:hint="default"/>
                <w:b/>
                <w:bCs/>
                <w:color w:val="auto"/>
                <w:kern w:val="0"/>
                <w:sz w:val="28"/>
                <w:szCs w:val="28"/>
                <w:highlight w:val="none"/>
              </w:rPr>
              <w:t>其他符合性分析</w:t>
            </w:r>
          </w:p>
          <w:p w14:paraId="0295FE9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23E1D2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650B52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638B8A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3B8658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983FAA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007A36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DDB0ED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E7803F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A6E8EF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61C991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583698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A02AFF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514D6F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46A473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0BD8A2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21C92B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179C3F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114DDF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AAC7A6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03FB31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514E1B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BFE188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A9A21A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1009A5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FCCA30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E2CF6D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64359B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D91328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E0F501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5844AF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AD1C73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711600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5EB0B4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r>
              <w:rPr>
                <w:rFonts w:hint="default"/>
                <w:b/>
                <w:bCs/>
                <w:color w:val="auto"/>
                <w:kern w:val="0"/>
                <w:sz w:val="28"/>
                <w:szCs w:val="28"/>
                <w:highlight w:val="none"/>
              </w:rPr>
              <w:t>其他符合性分析</w:t>
            </w:r>
          </w:p>
          <w:p w14:paraId="76A7F55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67F187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6C7206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304D30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2B3DC6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58C853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C67737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D3348F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B46087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B9F466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00311A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0C52C2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6CEB32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E20F15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CCBAAE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952D63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7800C4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E0AF16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17A497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9D341E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2C6493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E30ECA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7CC4A0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9E2CFD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C52EC8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F8FAFC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EC9883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26CD01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9B406B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C4D548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A51158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A80E1E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24B009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A5D308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r>
              <w:rPr>
                <w:rFonts w:hint="default"/>
                <w:b/>
                <w:bCs/>
                <w:color w:val="auto"/>
                <w:kern w:val="0"/>
                <w:sz w:val="28"/>
                <w:szCs w:val="28"/>
                <w:highlight w:val="none"/>
              </w:rPr>
              <w:t>其他符合性分析</w:t>
            </w:r>
          </w:p>
          <w:p w14:paraId="7CB81C1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E1F000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30FC4F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AACE67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015D80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7E60C5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CF6875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58FC39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4CC1E9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5CBB3E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BCE03A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6D97F3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659E20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992D3B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9A0681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F2A0CF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B41D0B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C4FAAC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51024C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D79552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1701A1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8173BF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535BD5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E99F16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887466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2F15F3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BE91CF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267BFA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09B277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431AD8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1CB70E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316E3D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0132E0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84B2C6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r>
              <w:rPr>
                <w:rFonts w:hint="default"/>
                <w:b/>
                <w:bCs/>
                <w:color w:val="auto"/>
                <w:kern w:val="0"/>
                <w:sz w:val="28"/>
                <w:szCs w:val="28"/>
                <w:highlight w:val="none"/>
              </w:rPr>
              <w:t>其他符合性分析</w:t>
            </w:r>
          </w:p>
          <w:p w14:paraId="2D7357F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1A6D68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07D1A6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C686C4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59A3D3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4BA268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C7A6AC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99BBA9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8E13DA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6D62EC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BD7997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77F455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51848B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B8FBA4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95E098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B5302F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603FF7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B771DD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A61F99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903E22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A737F8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0752A3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0094AF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9E50A5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B67A04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DB06D7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E1AC77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FE4F78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A05F71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1E99C4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A50029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1897B7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7BAC2B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DDDB1F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r>
              <w:rPr>
                <w:rFonts w:hint="default"/>
                <w:b/>
                <w:bCs/>
                <w:color w:val="auto"/>
                <w:kern w:val="0"/>
                <w:sz w:val="28"/>
                <w:szCs w:val="28"/>
                <w:highlight w:val="none"/>
              </w:rPr>
              <w:t>其他符合性分析</w:t>
            </w:r>
          </w:p>
          <w:p w14:paraId="7F466C3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E4F32C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95A7EA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6A1DC2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4F4BC1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363C09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531BE9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148FB1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407D22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1B402A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75F664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36BC71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87CEC3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2A75ED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DFE05F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E18D28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0FC741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C09B01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AC910A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10A1F3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5037F3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DC6FAA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C61F52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5F643A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F85ED4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03068F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894FAC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E28767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E43115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F9535F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EBA19E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719A53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C246DA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4BF5B0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r>
              <w:rPr>
                <w:rFonts w:hint="default"/>
                <w:b/>
                <w:bCs/>
                <w:color w:val="auto"/>
                <w:kern w:val="0"/>
                <w:sz w:val="28"/>
                <w:szCs w:val="28"/>
                <w:highlight w:val="none"/>
              </w:rPr>
              <w:t>其他符合性分析</w:t>
            </w:r>
          </w:p>
          <w:p w14:paraId="7EAC5C0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B9F1F6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D45725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27776F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D4DC14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3DB077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9959C7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CA2C52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B34FA2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36C6E5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D4BA0A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8DA6AD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3EA2C3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4940BF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31E968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47CAF2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D6F4D8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F1D35B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9E6BFE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42B348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BC37DC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C8506D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12C23A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74DAAF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6592AA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75A954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780BD3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86CF47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E0456F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39741A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CDE463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2C0BF0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C038CD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82BF33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r>
              <w:rPr>
                <w:rFonts w:hint="default"/>
                <w:b/>
                <w:bCs/>
                <w:color w:val="auto"/>
                <w:kern w:val="0"/>
                <w:sz w:val="28"/>
                <w:szCs w:val="28"/>
                <w:highlight w:val="none"/>
              </w:rPr>
              <w:t>其他符合性分析</w:t>
            </w:r>
          </w:p>
          <w:p w14:paraId="6DF9BDD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72BA68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B34BE8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CDB7D1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AFDA38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13E3F1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E97A28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B0CBB5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149942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C61AEC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FE94E8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A937F6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3EE483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0C3EA7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17A60E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DA05C8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202209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78EB36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1C3ECB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058F7A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87E6A8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4AFA4E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E154C0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D989F2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479535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55F6B0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148CD3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C91736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2339EB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06238A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C0F71E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6010A3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9E29FB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2AC271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r>
              <w:rPr>
                <w:rFonts w:hint="default"/>
                <w:b/>
                <w:bCs/>
                <w:color w:val="auto"/>
                <w:kern w:val="0"/>
                <w:sz w:val="28"/>
                <w:szCs w:val="28"/>
                <w:highlight w:val="none"/>
              </w:rPr>
              <w:t>其他符合性分析</w:t>
            </w:r>
          </w:p>
          <w:p w14:paraId="62C4B18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44D127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9E217E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B093BA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E0DC81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EB54C0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4E7195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DC3B89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6052D2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02048F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65E11F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0DDDBC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0E6BFF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E48FC0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8A662D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DFCE38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7D38C3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6A3350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85AB8C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047A34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5B520A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E74917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976896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A2D733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BC7E26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1DA5AE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ACCCFA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94ABC1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247C24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93DABD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DF5FBB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F6B6DB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6A364A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A44BB5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r>
              <w:rPr>
                <w:rFonts w:hint="default"/>
                <w:b/>
                <w:bCs/>
                <w:color w:val="auto"/>
                <w:kern w:val="0"/>
                <w:sz w:val="28"/>
                <w:szCs w:val="28"/>
                <w:highlight w:val="none"/>
              </w:rPr>
              <w:t>其他符合性分析</w:t>
            </w:r>
          </w:p>
          <w:p w14:paraId="3C5C401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F709F6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2B77A2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3FB318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D7D7D5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887C63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392C88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37B4EB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892CC0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53CE20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8F80F1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2EA258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A0E443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11A80E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419997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CFE2D0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DCE82B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1A102E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6CE267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4DCADC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C17BEF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C5AF25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6E7FF9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D2AB3F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92E8D5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8875EB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CB61E7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4F8FD1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D91F02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85BE73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1B5B45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1A9329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502524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B8E4BF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r>
              <w:rPr>
                <w:rFonts w:hint="default"/>
                <w:b/>
                <w:bCs/>
                <w:color w:val="auto"/>
                <w:kern w:val="0"/>
                <w:sz w:val="28"/>
                <w:szCs w:val="28"/>
                <w:highlight w:val="none"/>
              </w:rPr>
              <w:t>其他符合性分析</w:t>
            </w:r>
          </w:p>
          <w:p w14:paraId="3475E54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EC673D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6E6817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57660E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831E9C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210DB7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D7B5AA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C26EBE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D9F34A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6C7AAD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DE49D9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62FCD6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949BF3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049DC8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25FC3B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7CE3B1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45E7F1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346B8B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4FA44A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1A8893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792FBB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E76E94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58BB71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BF2C95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C53E05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44C3F1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F19E62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70B681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A3485D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116C6C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16FA3A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335742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53E5E6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DA8F6F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r>
              <w:rPr>
                <w:rFonts w:hint="default"/>
                <w:b/>
                <w:bCs/>
                <w:color w:val="auto"/>
                <w:kern w:val="0"/>
                <w:sz w:val="28"/>
                <w:szCs w:val="28"/>
                <w:highlight w:val="none"/>
              </w:rPr>
              <w:t>其他符合性分析</w:t>
            </w:r>
          </w:p>
          <w:p w14:paraId="323994D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33909D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925793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FA123A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4D3C11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8EF92C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30CD51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7F1F05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8735F4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3F5B2B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EBDE37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79EDC4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0B3D91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0D4B1F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B0F39C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FAE926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9B168F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A52399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8D0CC8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B90305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043BAB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AF96E9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684EBE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A8CE85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DBFA55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491674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D1F9FE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EB60E0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D9AE93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1DEFDD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0B21EB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AF8E19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312A8B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B44385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r>
              <w:rPr>
                <w:rFonts w:hint="default"/>
                <w:b/>
                <w:bCs/>
                <w:color w:val="auto"/>
                <w:kern w:val="0"/>
                <w:sz w:val="28"/>
                <w:szCs w:val="28"/>
                <w:highlight w:val="none"/>
              </w:rPr>
              <w:t>其他符合性分析</w:t>
            </w:r>
          </w:p>
          <w:p w14:paraId="19469DE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E04F7A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8306E3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921C91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02DACF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E7647F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59954F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AF7CBE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1595DA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A779DC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24B173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E330EE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789E7E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ABE733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F6C0EA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FB4AEAC">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895FCEF">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5AC8B0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748249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A5EEEB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F76E4B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56AFF0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57060D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8BE427A">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D35552D">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5E5CE1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01CEA9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DD6A342">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114E4C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E82766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AFA44F0">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8FF89D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0A58741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2F5052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r>
              <w:rPr>
                <w:rFonts w:hint="default"/>
                <w:b/>
                <w:bCs/>
                <w:color w:val="auto"/>
                <w:kern w:val="0"/>
                <w:sz w:val="28"/>
                <w:szCs w:val="28"/>
                <w:highlight w:val="none"/>
              </w:rPr>
              <w:t>其他符合性分析</w:t>
            </w:r>
          </w:p>
          <w:p w14:paraId="611466F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EEE6D11">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5098D9E">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19218C9">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6E75698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CB486E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CAB65E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DFE7636">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C68020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5E80622B">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7D460285">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36BB4414">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2B8A04E7">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4FA36663">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p w14:paraId="14AEEA28">
            <w:pPr>
              <w:keepNext w:val="0"/>
              <w:keepLines w:val="0"/>
              <w:suppressLineNumbers w:val="0"/>
              <w:autoSpaceDE w:val="0"/>
              <w:autoSpaceDN w:val="0"/>
              <w:adjustRightInd w:val="0"/>
              <w:snapToGrid w:val="0"/>
              <w:spacing w:before="0" w:beforeAutospacing="0" w:after="0" w:afterAutospacing="0"/>
              <w:ind w:left="0" w:right="0"/>
              <w:rPr>
                <w:rFonts w:hint="default"/>
                <w:b/>
                <w:bCs/>
                <w:color w:val="auto"/>
                <w:kern w:val="0"/>
                <w:sz w:val="28"/>
                <w:szCs w:val="28"/>
                <w:highlight w:val="none"/>
              </w:rPr>
            </w:pPr>
          </w:p>
        </w:tc>
        <w:tc>
          <w:tcPr>
            <w:tcW w:w="8650" w:type="dxa"/>
            <w:gridSpan w:val="4"/>
            <w:vAlign w:val="center"/>
          </w:tcPr>
          <w:p w14:paraId="76BB8254">
            <w:pPr>
              <w:pStyle w:val="34"/>
              <w:keepNext w:val="0"/>
              <w:keepLines w:val="0"/>
              <w:suppressLineNumbers w:val="0"/>
              <w:spacing w:before="0" w:beforeAutospacing="0" w:after="0" w:afterAutospacing="0" w:line="360" w:lineRule="auto"/>
              <w:ind w:left="0" w:leftChars="0" w:right="0" w:firstLine="482"/>
              <w:jc w:val="left"/>
              <w:rPr>
                <w:rFonts w:hint="default"/>
                <w:b/>
                <w:bCs/>
                <w:snapToGrid w:val="0"/>
                <w:color w:val="auto"/>
                <w:sz w:val="24"/>
                <w:szCs w:val="24"/>
                <w:highlight w:val="none"/>
              </w:rPr>
            </w:pPr>
            <w:r>
              <w:rPr>
                <w:rFonts w:hint="eastAsia"/>
                <w:b/>
                <w:bCs/>
                <w:snapToGrid w:val="0"/>
                <w:color w:val="auto"/>
                <w:sz w:val="24"/>
                <w:szCs w:val="24"/>
                <w:highlight w:val="none"/>
              </w:rPr>
              <w:t>1、产业政策符合性分析</w:t>
            </w:r>
          </w:p>
          <w:p w14:paraId="4380635A">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left"/>
              <w:textAlignment w:val="auto"/>
              <w:rPr>
                <w:rFonts w:hint="default"/>
                <w:color w:val="auto"/>
                <w:kern w:val="0"/>
                <w:sz w:val="24"/>
                <w:highlight w:val="none"/>
              </w:rPr>
            </w:pPr>
            <w:r>
              <w:rPr>
                <w:rFonts w:hint="default" w:ascii="Times New Roman" w:hAnsi="Times New Roman" w:eastAsia="宋体" w:cs="Times New Roman"/>
                <w:color w:val="auto"/>
                <w:kern w:val="2"/>
                <w:sz w:val="24"/>
                <w:szCs w:val="24"/>
                <w:highlight w:val="none"/>
                <w:lang w:val="en-US" w:eastAsia="zh-CN" w:bidi="ar-SA"/>
              </w:rPr>
              <w:t>根据国家发改委令《产业结构调整指导目录（20</w:t>
            </w:r>
            <w:r>
              <w:rPr>
                <w:rFonts w:hint="default" w:ascii="Times New Roman" w:hAnsi="Times New Roman" w:cs="Times New Roman"/>
                <w:color w:val="auto"/>
                <w:kern w:val="2"/>
                <w:sz w:val="24"/>
                <w:szCs w:val="24"/>
                <w:highlight w:val="none"/>
                <w:lang w:val="en-US" w:eastAsia="zh-CN" w:bidi="ar-SA"/>
              </w:rPr>
              <w:t>24</w:t>
            </w:r>
            <w:r>
              <w:rPr>
                <w:rFonts w:hint="default" w:ascii="Times New Roman" w:hAnsi="Times New Roman" w:eastAsia="宋体" w:cs="Times New Roman"/>
                <w:color w:val="auto"/>
                <w:kern w:val="2"/>
                <w:sz w:val="24"/>
                <w:szCs w:val="24"/>
                <w:highlight w:val="none"/>
                <w:lang w:val="en-US" w:eastAsia="zh-CN" w:bidi="ar-SA"/>
              </w:rPr>
              <w:t>年本）》，本项目</w:t>
            </w:r>
            <w:r>
              <w:rPr>
                <w:rFonts w:hint="default" w:ascii="Times New Roman" w:hAnsi="Times New Roman" w:cs="Times New Roman"/>
                <w:color w:val="auto"/>
                <w:sz w:val="24"/>
                <w:szCs w:val="24"/>
                <w:highlight w:val="none"/>
              </w:rPr>
              <w:t>不属于限制类和淘汰类，</w:t>
            </w:r>
            <w:r>
              <w:rPr>
                <w:rFonts w:hint="eastAsia" w:cs="Times New Roman"/>
                <w:color w:val="auto"/>
                <w:sz w:val="24"/>
                <w:szCs w:val="24"/>
                <w:highlight w:val="none"/>
                <w:lang w:val="en-US" w:eastAsia="zh-CN"/>
              </w:rPr>
              <w:t>属于鼓励类，</w:t>
            </w:r>
            <w:r>
              <w:rPr>
                <w:rFonts w:hint="default" w:ascii="Times New Roman" w:hAnsi="Times New Roman" w:cs="Times New Roman"/>
                <w:color w:val="auto"/>
                <w:sz w:val="24"/>
                <w:szCs w:val="24"/>
                <w:highlight w:val="none"/>
              </w:rPr>
              <w:t>符合国家现行产业政策。不属于《市场准入负面清单（202</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年版）》中禁止准入类项目；</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本项目不在《环境保护综合名录（2021年版）》所列“高污染、高风险”管控项目内；不在《河北省发展和改革委员会关于加强新建“两高”项目管理的通知（冀发改环资[2022]691号）》“高耗能、高排放”项目管理目录内。</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项目生产设备不在《淘汰落后生产能力、工艺和产品的目录》（第一、二、三批）所列“落后生产能力、落后生产工艺装备、落后产品”目录内。</w:t>
            </w:r>
            <w:r>
              <w:rPr>
                <w:rFonts w:hint="default" w:ascii="Times New Roman" w:hAnsi="Times New Roman" w:cs="Times New Roman"/>
                <w:color w:val="auto"/>
                <w:sz w:val="24"/>
                <w:szCs w:val="24"/>
                <w:highlight w:val="none"/>
              </w:rPr>
              <w:t>本项目已取得了企业投资项目备案信息</w:t>
            </w:r>
            <w:r>
              <w:rPr>
                <w:rFonts w:hint="default" w:ascii="Times New Roman" w:hAnsi="Times New Roman" w:cs="Times New Roman"/>
                <w:color w:val="auto"/>
                <w:sz w:val="24"/>
                <w:szCs w:val="24"/>
                <w:highlight w:val="none"/>
                <w:lang w:val="en-US" w:eastAsia="zh-CN"/>
              </w:rPr>
              <w:t>：冀秦区备字〔2025〕</w:t>
            </w:r>
            <w:r>
              <w:rPr>
                <w:rFonts w:hint="eastAsia" w:cs="Times New Roman"/>
                <w:color w:val="auto"/>
                <w:sz w:val="24"/>
                <w:szCs w:val="24"/>
                <w:highlight w:val="none"/>
                <w:lang w:val="en-US" w:eastAsia="zh-CN"/>
              </w:rPr>
              <w:t>163</w:t>
            </w:r>
            <w:r>
              <w:rPr>
                <w:rFonts w:hint="default" w:ascii="Times New Roman" w:hAnsi="Times New Roman" w:cs="Times New Roman"/>
                <w:color w:val="auto"/>
                <w:sz w:val="24"/>
                <w:szCs w:val="24"/>
                <w:highlight w:val="none"/>
                <w:lang w:val="en-US" w:eastAsia="zh-CN"/>
              </w:rPr>
              <w:t>号，项目代码：250</w:t>
            </w:r>
            <w:r>
              <w:rPr>
                <w:rFonts w:hint="eastAsia" w:cs="Times New Roman"/>
                <w:color w:val="auto"/>
                <w:sz w:val="24"/>
                <w:szCs w:val="24"/>
                <w:highlight w:val="none"/>
                <w:lang w:val="en-US" w:eastAsia="zh-CN"/>
              </w:rPr>
              <w:t>6-130371-89-01-202395</w:t>
            </w:r>
            <w:r>
              <w:rPr>
                <w:rFonts w:hint="default" w:ascii="Times New Roman" w:hAnsi="Times New Roman" w:cs="Times New Roman"/>
                <w:color w:val="auto"/>
                <w:sz w:val="24"/>
                <w:szCs w:val="24"/>
                <w:highlight w:val="none"/>
              </w:rPr>
              <w:t>。</w:t>
            </w:r>
          </w:p>
          <w:p w14:paraId="6316952E">
            <w:pPr>
              <w:pStyle w:val="34"/>
              <w:keepNext w:val="0"/>
              <w:keepLines w:val="0"/>
              <w:suppressLineNumbers w:val="0"/>
              <w:spacing w:before="0" w:beforeAutospacing="0" w:after="0" w:afterAutospacing="0" w:line="360" w:lineRule="auto"/>
              <w:ind w:left="0" w:leftChars="0" w:right="0" w:firstLine="480"/>
              <w:jc w:val="left"/>
              <w:rPr>
                <w:rFonts w:hint="default"/>
                <w:snapToGrid w:val="0"/>
                <w:color w:val="auto"/>
                <w:sz w:val="24"/>
                <w:szCs w:val="24"/>
                <w:highlight w:val="none"/>
              </w:rPr>
            </w:pPr>
            <w:r>
              <w:rPr>
                <w:rFonts w:hint="default"/>
                <w:color w:val="auto"/>
                <w:sz w:val="24"/>
                <w:szCs w:val="24"/>
                <w:highlight w:val="none"/>
              </w:rPr>
              <w:t>因此，本项目的建设符合国家和地方产业政策要求</w:t>
            </w:r>
            <w:r>
              <w:rPr>
                <w:rFonts w:hint="default"/>
                <w:snapToGrid w:val="0"/>
                <w:color w:val="auto"/>
                <w:sz w:val="24"/>
                <w:szCs w:val="24"/>
                <w:highlight w:val="none"/>
              </w:rPr>
              <w:t>。</w:t>
            </w:r>
          </w:p>
          <w:p w14:paraId="7465E8C3">
            <w:pPr>
              <w:pStyle w:val="34"/>
              <w:keepNext w:val="0"/>
              <w:keepLines w:val="0"/>
              <w:suppressLineNumbers w:val="0"/>
              <w:spacing w:before="0" w:beforeAutospacing="0" w:after="0" w:afterAutospacing="0" w:line="360" w:lineRule="auto"/>
              <w:ind w:left="0" w:leftChars="0" w:right="0" w:firstLine="482"/>
              <w:jc w:val="left"/>
              <w:rPr>
                <w:rFonts w:hint="default"/>
                <w:b/>
                <w:bCs/>
                <w:snapToGrid w:val="0"/>
                <w:color w:val="auto"/>
                <w:sz w:val="24"/>
                <w:szCs w:val="24"/>
                <w:highlight w:val="none"/>
              </w:rPr>
            </w:pPr>
            <w:r>
              <w:rPr>
                <w:rFonts w:hint="eastAsia"/>
                <w:b/>
                <w:bCs/>
                <w:snapToGrid w:val="0"/>
                <w:color w:val="auto"/>
                <w:sz w:val="24"/>
                <w:szCs w:val="24"/>
                <w:highlight w:val="none"/>
              </w:rPr>
              <w:t>2、选址合理性分析</w:t>
            </w:r>
          </w:p>
          <w:p w14:paraId="049F85FE">
            <w:pPr>
              <w:keepNext w:val="0"/>
              <w:keepLines w:val="0"/>
              <w:suppressLineNumbers w:val="0"/>
              <w:snapToGrid w:val="0"/>
              <w:spacing w:before="0" w:beforeAutospacing="0" w:after="0" w:afterAutospacing="0" w:line="360" w:lineRule="auto"/>
              <w:ind w:left="0" w:right="0" w:firstLine="480" w:firstLineChars="200"/>
              <w:jc w:val="left"/>
              <w:rPr>
                <w:rFonts w:hint="default" w:eastAsia="宋体"/>
                <w:color w:val="auto"/>
                <w:sz w:val="24"/>
                <w:highlight w:val="none"/>
                <w:lang w:val="en-US" w:eastAsia="zh-CN"/>
              </w:rPr>
            </w:pPr>
            <w:r>
              <w:rPr>
                <w:rFonts w:hint="default"/>
                <w:color w:val="auto"/>
                <w:sz w:val="24"/>
                <w:highlight w:val="none"/>
              </w:rPr>
              <w:t>本项目位于</w:t>
            </w:r>
            <w:r>
              <w:rPr>
                <w:rFonts w:hint="eastAsia"/>
                <w:color w:val="auto"/>
                <w:sz w:val="24"/>
                <w:highlight w:val="none"/>
              </w:rPr>
              <w:t>秦皇岛市经济技术开发区龙海道37号戴河国际产业园</w:t>
            </w:r>
            <w:r>
              <w:rPr>
                <w:rFonts w:hint="eastAsia"/>
                <w:color w:val="auto"/>
                <w:sz w:val="24"/>
                <w:highlight w:val="none"/>
                <w:lang w:val="en-US" w:eastAsia="zh-CN"/>
              </w:rPr>
              <w:t>13</w:t>
            </w:r>
            <w:r>
              <w:rPr>
                <w:rFonts w:hint="eastAsia"/>
                <w:color w:val="auto"/>
                <w:sz w:val="24"/>
                <w:highlight w:val="none"/>
              </w:rPr>
              <w:t>号厂房</w:t>
            </w:r>
            <w:r>
              <w:rPr>
                <w:rFonts w:hint="default"/>
                <w:color w:val="auto"/>
                <w:sz w:val="24"/>
                <w:highlight w:val="none"/>
              </w:rPr>
              <w:t>，用地类型为工业用地，项目选址位于</w:t>
            </w:r>
            <w:r>
              <w:rPr>
                <w:rFonts w:hint="eastAsia"/>
                <w:color w:val="auto"/>
                <w:sz w:val="24"/>
                <w:highlight w:val="none"/>
              </w:rPr>
              <w:t>新兴产业园已完成跟踪评价区域内</w:t>
            </w:r>
            <w:r>
              <w:rPr>
                <w:rFonts w:hint="default"/>
                <w:color w:val="auto"/>
                <w:sz w:val="24"/>
                <w:highlight w:val="none"/>
              </w:rPr>
              <w:t>，</w:t>
            </w:r>
            <w:r>
              <w:rPr>
                <w:rFonts w:hint="eastAsia"/>
                <w:color w:val="auto"/>
                <w:sz w:val="24"/>
                <w:highlight w:val="none"/>
                <w:lang w:val="en-US" w:eastAsia="zh-CN"/>
              </w:rPr>
              <w:t>符合园区规划，</w:t>
            </w:r>
            <w:r>
              <w:rPr>
                <w:rFonts w:hint="default"/>
                <w:color w:val="auto"/>
                <w:sz w:val="24"/>
                <w:highlight w:val="none"/>
              </w:rPr>
              <w:t>园区内已连接市政供电、供水设施，已连通市政污水管网，各基础设施完善。</w:t>
            </w:r>
            <w:r>
              <w:rPr>
                <w:rFonts w:hint="eastAsia"/>
                <w:color w:val="auto"/>
                <w:sz w:val="24"/>
                <w:highlight w:val="none"/>
                <w:lang w:val="en-US" w:eastAsia="zh-CN"/>
              </w:rPr>
              <w:t>项目距离戴卡轮毂有限公司约3.3公里，交通便捷，选址合理。</w:t>
            </w:r>
          </w:p>
          <w:p w14:paraId="76E40C34">
            <w:pPr>
              <w:keepNext w:val="0"/>
              <w:keepLines w:val="0"/>
              <w:suppressLineNumbers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本项目500m范围内大气环境保护目标为</w:t>
            </w:r>
            <w:r>
              <w:rPr>
                <w:rFonts w:hint="eastAsia"/>
                <w:color w:val="auto"/>
                <w:sz w:val="24"/>
                <w:highlight w:val="none"/>
                <w:lang w:val="en-US" w:eastAsia="zh-CN"/>
              </w:rPr>
              <w:t>西</w:t>
            </w:r>
            <w:r>
              <w:rPr>
                <w:rFonts w:hint="eastAsia"/>
                <w:color w:val="auto"/>
                <w:sz w:val="24"/>
                <w:highlight w:val="none"/>
              </w:rPr>
              <w:t>北</w:t>
            </w:r>
            <w:r>
              <w:rPr>
                <w:rFonts w:hint="default"/>
                <w:color w:val="auto"/>
                <w:sz w:val="24"/>
                <w:highlight w:val="none"/>
              </w:rPr>
              <w:t>侧</w:t>
            </w:r>
            <w:r>
              <w:rPr>
                <w:rFonts w:hint="eastAsia"/>
                <w:color w:val="auto"/>
                <w:sz w:val="24"/>
                <w:highlight w:val="none"/>
                <w:lang w:val="en-US" w:eastAsia="zh-CN"/>
              </w:rPr>
              <w:t>约360</w:t>
            </w:r>
            <w:r>
              <w:rPr>
                <w:rFonts w:hint="default"/>
                <w:color w:val="auto"/>
                <w:sz w:val="24"/>
                <w:highlight w:val="none"/>
              </w:rPr>
              <w:t>m处</w:t>
            </w:r>
            <w:r>
              <w:rPr>
                <w:rFonts w:hint="eastAsia"/>
                <w:color w:val="auto"/>
                <w:sz w:val="24"/>
                <w:highlight w:val="none"/>
              </w:rPr>
              <w:t>烟台山村</w:t>
            </w:r>
            <w:r>
              <w:rPr>
                <w:rFonts w:hint="default"/>
                <w:color w:val="auto"/>
                <w:sz w:val="24"/>
                <w:highlight w:val="none"/>
              </w:rPr>
              <w:t>，50m范围内无声环境保护目标。</w:t>
            </w:r>
          </w:p>
          <w:p w14:paraId="25B52A2B">
            <w:pPr>
              <w:keepNext w:val="0"/>
              <w:keepLines w:val="0"/>
              <w:suppressLineNumbers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厂址周围无饮用水源保护区、自然保护区和风景名胜区等敏感区域。项目不</w:t>
            </w:r>
            <w:r>
              <w:rPr>
                <w:rFonts w:hint="eastAsia"/>
                <w:color w:val="auto"/>
                <w:sz w:val="24"/>
                <w:highlight w:val="none"/>
                <w:lang w:val="en-US" w:eastAsia="zh-CN"/>
              </w:rPr>
              <w:t>属于</w:t>
            </w:r>
            <w:r>
              <w:rPr>
                <w:rFonts w:hint="default"/>
                <w:color w:val="auto"/>
                <w:sz w:val="24"/>
                <w:highlight w:val="none"/>
              </w:rPr>
              <w:t>国家发展和改革委</w:t>
            </w:r>
            <w:r>
              <w:rPr>
                <w:rFonts w:hint="eastAsia"/>
                <w:color w:val="auto"/>
                <w:sz w:val="24"/>
                <w:highlight w:val="none"/>
                <w:lang w:eastAsia="zh-CN"/>
              </w:rPr>
              <w:t>、</w:t>
            </w:r>
            <w:r>
              <w:rPr>
                <w:rFonts w:hint="eastAsia"/>
                <w:color w:val="auto"/>
                <w:sz w:val="24"/>
                <w:highlight w:val="none"/>
                <w:lang w:val="en-US" w:eastAsia="zh-CN"/>
              </w:rPr>
              <w:t>国家林业和草原局、自然资源部</w:t>
            </w:r>
            <w:r>
              <w:rPr>
                <w:rFonts w:hint="default"/>
                <w:color w:val="auto"/>
                <w:sz w:val="24"/>
                <w:highlight w:val="none"/>
              </w:rPr>
              <w:t>发布的《自然资源要素支撑产业高质量发展指导目录》（2024年本）</w:t>
            </w:r>
            <w:r>
              <w:rPr>
                <w:rFonts w:hint="eastAsia"/>
                <w:color w:val="auto"/>
                <w:sz w:val="24"/>
                <w:highlight w:val="none"/>
                <w:lang w:val="en-US" w:eastAsia="zh-CN"/>
              </w:rPr>
              <w:t>禁止类和限制类</w:t>
            </w:r>
            <w:r>
              <w:rPr>
                <w:rFonts w:hint="default"/>
                <w:color w:val="auto"/>
                <w:sz w:val="24"/>
                <w:highlight w:val="none"/>
              </w:rPr>
              <w:t>。运营期废气、废水、噪声经治理后可达标排放，固体废物合理处置，不会对区域环境产生明显影响。</w:t>
            </w:r>
            <w:r>
              <w:rPr>
                <w:rFonts w:hint="eastAsia" w:eastAsia="宋体"/>
                <w:color w:val="auto"/>
                <w:sz w:val="24"/>
                <w:highlight w:val="none"/>
              </w:rPr>
              <w:t>项目选址与周边环境相容，在落实本报告提出的措施后对项目周边环境影响较小。</w:t>
            </w:r>
          </w:p>
          <w:p w14:paraId="321F7017">
            <w:pPr>
              <w:pStyle w:val="33"/>
              <w:keepNext w:val="0"/>
              <w:keepLines w:val="0"/>
              <w:suppressLineNumbers w:val="0"/>
              <w:spacing w:before="0" w:beforeAutospacing="0" w:after="0" w:afterAutospacing="0" w:line="360" w:lineRule="auto"/>
              <w:ind w:left="0" w:right="0" w:firstLine="480" w:firstLineChars="200"/>
              <w:jc w:val="left"/>
              <w:rPr>
                <w:rFonts w:hint="default"/>
                <w:snapToGrid w:val="0"/>
                <w:color w:val="auto"/>
                <w:kern w:val="2"/>
                <w:sz w:val="24"/>
                <w:highlight w:val="none"/>
              </w:rPr>
            </w:pPr>
            <w:r>
              <w:rPr>
                <w:rFonts w:hint="default"/>
                <w:color w:val="auto"/>
                <w:sz w:val="24"/>
                <w:highlight w:val="none"/>
              </w:rPr>
              <w:t>综上，本项目选址合理</w:t>
            </w:r>
            <w:r>
              <w:rPr>
                <w:rFonts w:hint="default"/>
                <w:snapToGrid w:val="0"/>
                <w:color w:val="auto"/>
                <w:kern w:val="2"/>
                <w:sz w:val="24"/>
                <w:highlight w:val="none"/>
              </w:rPr>
              <w:t>。</w:t>
            </w:r>
          </w:p>
          <w:p w14:paraId="7B1BEC3B">
            <w:pPr>
              <w:keepNext w:val="0"/>
              <w:keepLines w:val="0"/>
              <w:suppressLineNumbers w:val="0"/>
              <w:snapToGrid w:val="0"/>
              <w:spacing w:before="0" w:beforeAutospacing="0" w:after="0" w:afterAutospacing="0" w:line="360" w:lineRule="auto"/>
              <w:ind w:left="0" w:right="0" w:firstLine="482" w:firstLineChars="200"/>
              <w:jc w:val="left"/>
              <w:rPr>
                <w:rFonts w:hint="default"/>
                <w:b/>
                <w:bCs/>
                <w:color w:val="auto"/>
                <w:sz w:val="24"/>
                <w:highlight w:val="none"/>
              </w:rPr>
            </w:pPr>
            <w:r>
              <w:rPr>
                <w:rFonts w:hint="eastAsia"/>
                <w:b/>
                <w:bCs/>
                <w:color w:val="auto"/>
                <w:sz w:val="24"/>
                <w:highlight w:val="none"/>
              </w:rPr>
              <w:t>3、本项目与相关环境政策符合性分析</w:t>
            </w:r>
          </w:p>
          <w:p w14:paraId="79429761">
            <w:pPr>
              <w:pStyle w:val="7"/>
              <w:suppressLineNumbers w:val="0"/>
              <w:spacing w:before="0" w:beforeAutospacing="0" w:after="0" w:afterAutospacing="0" w:line="240" w:lineRule="auto"/>
              <w:ind w:left="0" w:right="0"/>
              <w:jc w:val="center"/>
              <w:rPr>
                <w:rFonts w:hint="default" w:ascii="Times New Roman" w:hAnsi="Times New Roman"/>
                <w:bCs/>
                <w:color w:val="auto"/>
                <w:kern w:val="2"/>
                <w:sz w:val="24"/>
                <w:highlight w:val="none"/>
              </w:rPr>
            </w:pPr>
            <w:r>
              <w:rPr>
                <w:rFonts w:hint="eastAsia" w:ascii="Times New Roman" w:hAnsi="Times New Roman"/>
                <w:bCs/>
                <w:color w:val="auto"/>
                <w:kern w:val="2"/>
                <w:sz w:val="24"/>
                <w:highlight w:val="none"/>
              </w:rPr>
              <w:t>表1-</w:t>
            </w:r>
            <w:r>
              <w:rPr>
                <w:rFonts w:hint="eastAsia" w:ascii="Times New Roman" w:hAnsi="Times New Roman"/>
                <w:bCs/>
                <w:color w:val="auto"/>
                <w:kern w:val="2"/>
                <w:sz w:val="24"/>
                <w:highlight w:val="none"/>
                <w:lang w:val="en-US" w:eastAsia="zh-CN"/>
              </w:rPr>
              <w:t>5</w:t>
            </w:r>
            <w:r>
              <w:rPr>
                <w:rFonts w:hint="eastAsia" w:ascii="Times New Roman" w:hAnsi="Times New Roman"/>
                <w:bCs/>
                <w:color w:val="auto"/>
                <w:kern w:val="2"/>
                <w:sz w:val="24"/>
                <w:highlight w:val="none"/>
              </w:rPr>
              <w:t xml:space="preserve">  本项目与相关环境管理政策符合性分析一览表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6"/>
              <w:gridCol w:w="1167"/>
              <w:gridCol w:w="4393"/>
              <w:gridCol w:w="1715"/>
              <w:gridCol w:w="673"/>
            </w:tblGrid>
            <w:tr w14:paraId="0C0B8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74" w:type="dxa"/>
                  <w:shd w:val="clear" w:color="auto" w:fill="auto"/>
                  <w:vAlign w:val="center"/>
                </w:tcPr>
                <w:p w14:paraId="0AB65F80">
                  <w:pPr>
                    <w:keepNext w:val="0"/>
                    <w:keepLines w:val="0"/>
                    <w:suppressLineNumbers w:val="0"/>
                    <w:autoSpaceDE w:val="0"/>
                    <w:autoSpaceDN w:val="0"/>
                    <w:adjustRightInd w:val="0"/>
                    <w:snapToGrid w:val="0"/>
                    <w:spacing w:before="0" w:beforeAutospacing="0" w:after="0" w:afterAutospacing="0"/>
                    <w:ind w:left="0" w:right="0"/>
                    <w:jc w:val="center"/>
                    <w:textAlignment w:val="center"/>
                    <w:rPr>
                      <w:rFonts w:hint="default"/>
                      <w:color w:val="auto"/>
                      <w:kern w:val="0"/>
                      <w:szCs w:val="21"/>
                      <w:highlight w:val="none"/>
                    </w:rPr>
                  </w:pPr>
                  <w:r>
                    <w:rPr>
                      <w:rFonts w:hint="default"/>
                      <w:color w:val="auto"/>
                      <w:kern w:val="0"/>
                      <w:szCs w:val="21"/>
                      <w:highlight w:val="none"/>
                    </w:rPr>
                    <w:t>序号</w:t>
                  </w:r>
                </w:p>
              </w:tc>
              <w:tc>
                <w:tcPr>
                  <w:tcW w:w="1162" w:type="dxa"/>
                  <w:shd w:val="clear" w:color="auto" w:fill="auto"/>
                  <w:vAlign w:val="center"/>
                </w:tcPr>
                <w:p w14:paraId="117A5D56">
                  <w:pPr>
                    <w:keepNext w:val="0"/>
                    <w:keepLines w:val="0"/>
                    <w:suppressLineNumbers w:val="0"/>
                    <w:autoSpaceDE w:val="0"/>
                    <w:autoSpaceDN w:val="0"/>
                    <w:adjustRightInd w:val="0"/>
                    <w:snapToGrid w:val="0"/>
                    <w:spacing w:before="0" w:beforeAutospacing="0" w:after="0" w:afterAutospacing="0"/>
                    <w:ind w:left="0" w:right="0"/>
                    <w:jc w:val="center"/>
                    <w:textAlignment w:val="center"/>
                    <w:rPr>
                      <w:rFonts w:hint="default"/>
                      <w:color w:val="auto"/>
                      <w:kern w:val="0"/>
                      <w:szCs w:val="21"/>
                      <w:highlight w:val="none"/>
                    </w:rPr>
                  </w:pPr>
                  <w:r>
                    <w:rPr>
                      <w:rFonts w:hint="default"/>
                      <w:color w:val="auto"/>
                      <w:kern w:val="0"/>
                      <w:szCs w:val="21"/>
                      <w:highlight w:val="none"/>
                    </w:rPr>
                    <w:t>政策名称</w:t>
                  </w:r>
                </w:p>
              </w:tc>
              <w:tc>
                <w:tcPr>
                  <w:tcW w:w="4374" w:type="dxa"/>
                  <w:shd w:val="clear" w:color="auto" w:fill="auto"/>
                  <w:vAlign w:val="center"/>
                </w:tcPr>
                <w:p w14:paraId="1E5B69B0">
                  <w:pPr>
                    <w:keepNext w:val="0"/>
                    <w:keepLines w:val="0"/>
                    <w:suppressLineNumbers w:val="0"/>
                    <w:autoSpaceDE w:val="0"/>
                    <w:autoSpaceDN w:val="0"/>
                    <w:adjustRightInd w:val="0"/>
                    <w:snapToGrid w:val="0"/>
                    <w:spacing w:before="0" w:beforeAutospacing="0" w:after="0" w:afterAutospacing="0"/>
                    <w:ind w:left="0" w:right="0"/>
                    <w:jc w:val="center"/>
                    <w:textAlignment w:val="center"/>
                    <w:rPr>
                      <w:rFonts w:hint="default"/>
                      <w:color w:val="auto"/>
                      <w:kern w:val="0"/>
                      <w:szCs w:val="21"/>
                      <w:highlight w:val="none"/>
                    </w:rPr>
                  </w:pPr>
                  <w:r>
                    <w:rPr>
                      <w:rFonts w:hint="default"/>
                      <w:color w:val="auto"/>
                      <w:kern w:val="0"/>
                      <w:szCs w:val="21"/>
                      <w:highlight w:val="none"/>
                    </w:rPr>
                    <w:t>文件内容</w:t>
                  </w:r>
                </w:p>
              </w:tc>
              <w:tc>
                <w:tcPr>
                  <w:tcW w:w="1708" w:type="dxa"/>
                  <w:shd w:val="clear" w:color="auto" w:fill="auto"/>
                  <w:vAlign w:val="center"/>
                </w:tcPr>
                <w:p w14:paraId="33F23651">
                  <w:pPr>
                    <w:keepNext w:val="0"/>
                    <w:keepLines w:val="0"/>
                    <w:suppressLineNumbers w:val="0"/>
                    <w:autoSpaceDE w:val="0"/>
                    <w:autoSpaceDN w:val="0"/>
                    <w:adjustRightInd w:val="0"/>
                    <w:snapToGrid w:val="0"/>
                    <w:spacing w:before="0" w:beforeAutospacing="0" w:after="0" w:afterAutospacing="0"/>
                    <w:ind w:left="0" w:right="0"/>
                    <w:jc w:val="center"/>
                    <w:textAlignment w:val="center"/>
                    <w:rPr>
                      <w:rFonts w:hint="default"/>
                      <w:color w:val="auto"/>
                      <w:kern w:val="0"/>
                      <w:szCs w:val="21"/>
                      <w:highlight w:val="none"/>
                    </w:rPr>
                  </w:pPr>
                  <w:r>
                    <w:rPr>
                      <w:rFonts w:hint="default"/>
                      <w:color w:val="auto"/>
                      <w:kern w:val="0"/>
                      <w:szCs w:val="21"/>
                      <w:highlight w:val="none"/>
                    </w:rPr>
                    <w:t>本项目</w:t>
                  </w:r>
                </w:p>
              </w:tc>
              <w:tc>
                <w:tcPr>
                  <w:tcW w:w="670" w:type="dxa"/>
                  <w:shd w:val="clear" w:color="auto" w:fill="auto"/>
                  <w:vAlign w:val="center"/>
                </w:tcPr>
                <w:p w14:paraId="6E1A8FCC">
                  <w:pPr>
                    <w:keepNext w:val="0"/>
                    <w:keepLines w:val="0"/>
                    <w:suppressLineNumbers w:val="0"/>
                    <w:autoSpaceDE w:val="0"/>
                    <w:autoSpaceDN w:val="0"/>
                    <w:adjustRightInd w:val="0"/>
                    <w:snapToGrid w:val="0"/>
                    <w:spacing w:before="0" w:beforeAutospacing="0" w:after="0" w:afterAutospacing="0"/>
                    <w:ind w:left="0" w:right="0"/>
                    <w:jc w:val="center"/>
                    <w:textAlignment w:val="center"/>
                    <w:rPr>
                      <w:rFonts w:hint="default"/>
                      <w:color w:val="auto"/>
                      <w:kern w:val="0"/>
                      <w:szCs w:val="21"/>
                      <w:highlight w:val="none"/>
                    </w:rPr>
                  </w:pPr>
                  <w:r>
                    <w:rPr>
                      <w:rFonts w:hint="default"/>
                      <w:color w:val="auto"/>
                      <w:kern w:val="0"/>
                      <w:szCs w:val="21"/>
                      <w:highlight w:val="none"/>
                    </w:rPr>
                    <w:t>符合性</w:t>
                  </w:r>
                </w:p>
              </w:tc>
            </w:tr>
            <w:tr w14:paraId="677C8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74" w:type="dxa"/>
                  <w:shd w:val="clear" w:color="auto" w:fill="auto"/>
                  <w:vAlign w:val="center"/>
                </w:tcPr>
                <w:p w14:paraId="31006012">
                  <w:pPr>
                    <w:keepNext w:val="0"/>
                    <w:keepLines w:val="0"/>
                    <w:suppressLineNumbers w:val="0"/>
                    <w:autoSpaceDE w:val="0"/>
                    <w:autoSpaceDN w:val="0"/>
                    <w:adjustRightInd w:val="0"/>
                    <w:snapToGrid w:val="0"/>
                    <w:spacing w:before="0" w:beforeAutospacing="0" w:after="0" w:afterAutospacing="0"/>
                    <w:ind w:left="0" w:right="0"/>
                    <w:jc w:val="center"/>
                    <w:textAlignment w:val="center"/>
                    <w:rPr>
                      <w:rFonts w:hint="default"/>
                      <w:color w:val="auto"/>
                      <w:kern w:val="0"/>
                      <w:szCs w:val="21"/>
                      <w:highlight w:val="none"/>
                    </w:rPr>
                  </w:pPr>
                  <w:r>
                    <w:rPr>
                      <w:rFonts w:hint="eastAsia"/>
                      <w:color w:val="auto"/>
                      <w:kern w:val="0"/>
                      <w:szCs w:val="21"/>
                      <w:highlight w:val="none"/>
                    </w:rPr>
                    <w:t>1</w:t>
                  </w:r>
                </w:p>
              </w:tc>
              <w:tc>
                <w:tcPr>
                  <w:tcW w:w="1162" w:type="dxa"/>
                  <w:shd w:val="clear" w:color="auto" w:fill="auto"/>
                  <w:vAlign w:val="center"/>
                </w:tcPr>
                <w:p w14:paraId="767254C6">
                  <w:pPr>
                    <w:keepNext w:val="0"/>
                    <w:keepLines w:val="0"/>
                    <w:suppressLineNumbers w:val="0"/>
                    <w:autoSpaceDE w:val="0"/>
                    <w:autoSpaceDN w:val="0"/>
                    <w:adjustRightInd w:val="0"/>
                    <w:snapToGrid w:val="0"/>
                    <w:spacing w:before="0" w:beforeAutospacing="0" w:after="0" w:afterAutospacing="0"/>
                    <w:ind w:left="0" w:right="0"/>
                    <w:jc w:val="center"/>
                    <w:textAlignment w:val="center"/>
                    <w:rPr>
                      <w:rFonts w:hint="default"/>
                      <w:color w:val="auto"/>
                      <w:kern w:val="0"/>
                      <w:szCs w:val="21"/>
                      <w:highlight w:val="none"/>
                    </w:rPr>
                  </w:pPr>
                  <w:r>
                    <w:rPr>
                      <w:rFonts w:hint="eastAsia"/>
                      <w:color w:val="auto"/>
                      <w:kern w:val="0"/>
                      <w:szCs w:val="21"/>
                      <w:highlight w:val="none"/>
                    </w:rPr>
                    <w:t>《秦皇岛市深入打好污染防治攻坚战实施方案》(秦传[2022]6号)</w:t>
                  </w:r>
                </w:p>
              </w:tc>
              <w:tc>
                <w:tcPr>
                  <w:tcW w:w="4374" w:type="dxa"/>
                  <w:shd w:val="clear" w:color="auto" w:fill="auto"/>
                  <w:vAlign w:val="center"/>
                </w:tcPr>
                <w:p w14:paraId="1B2B1FA6">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1、推进工业领域碳达峰，研究制定工业领域碳达峰行动方案，推进绿色制造，淘汰落后产能，促进工业节能降耗；</w:t>
                  </w:r>
                </w:p>
                <w:p w14:paraId="6069F68C">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2、健全排放源统计调查、核算核查、监测监管制度，将温室气体管控纳入环评管理，在环评文件中增加碳排放文件内容；</w:t>
                  </w:r>
                </w:p>
                <w:p w14:paraId="5C24517E">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3、严禁新建自备燃煤机组，推动自备燃煤机组实施清洁能源替代，大力发展风能、太阳能等可再生能源发电，拓展氢能应用领域；</w:t>
                  </w:r>
                </w:p>
                <w:p w14:paraId="7857398B">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4、严把项目准入关口，严格执行节能审查、煤炭替代审查和环境影响评价审查等制度，新上高耗能、高排放项目能效和污染物排放应达到行业先进水平。健全监督机制，建立存量、在建和拟建“两高”管理台账，实施分类处置，动态监控。严肃查处“两高”行业企业未批先建、未验先投、无证排污、不按证排污、无节能审查(煤炭替代方案)、无环评审查等违法违规行为。</w:t>
                  </w:r>
                </w:p>
                <w:p w14:paraId="4547837B">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5、全市用水总量控制在9.7亿立方米以内，地下水开采量控制在5.26亿立方米以内；</w:t>
                  </w:r>
                </w:p>
                <w:p w14:paraId="638BD46E">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6、推进砖瓦、石灰、铸造等重点行业深度治理。以工业炉窑污染综合治理为重点，深化工业氮氧化物减排。完善市县两级重污染天气应急预案体系，实施重点行业企业绩效分级管理，开展“升A晋B”行动。</w:t>
                  </w:r>
                </w:p>
              </w:tc>
              <w:tc>
                <w:tcPr>
                  <w:tcW w:w="1708" w:type="dxa"/>
                  <w:shd w:val="clear" w:color="auto" w:fill="auto"/>
                  <w:vAlign w:val="center"/>
                </w:tcPr>
                <w:p w14:paraId="06617C7F">
                  <w:pPr>
                    <w:keepNext w:val="0"/>
                    <w:keepLines w:val="0"/>
                    <w:suppressLineNumbers w:val="0"/>
                    <w:autoSpaceDE w:val="0"/>
                    <w:autoSpaceDN w:val="0"/>
                    <w:adjustRightInd w:val="0"/>
                    <w:snapToGrid w:val="0"/>
                    <w:spacing w:before="0" w:beforeAutospacing="0" w:after="0" w:afterAutospacing="0"/>
                    <w:ind w:left="0" w:right="0"/>
                    <w:jc w:val="center"/>
                    <w:textAlignment w:val="center"/>
                    <w:rPr>
                      <w:rFonts w:hint="default"/>
                      <w:color w:val="auto"/>
                      <w:kern w:val="0"/>
                      <w:szCs w:val="21"/>
                      <w:highlight w:val="none"/>
                    </w:rPr>
                  </w:pPr>
                  <w:r>
                    <w:rPr>
                      <w:rFonts w:hint="eastAsia"/>
                      <w:color w:val="auto"/>
                      <w:kern w:val="0"/>
                      <w:szCs w:val="21"/>
                      <w:highlight w:val="none"/>
                    </w:rPr>
                    <w:t>1、本项目</w:t>
                  </w:r>
                  <w:r>
                    <w:rPr>
                      <w:rFonts w:hint="default"/>
                      <w:color w:val="auto"/>
                      <w:kern w:val="0"/>
                      <w:szCs w:val="21"/>
                      <w:highlight w:val="none"/>
                    </w:rPr>
                    <w:t>仅使用电能，</w:t>
                  </w:r>
                  <w:r>
                    <w:rPr>
                      <w:rFonts w:hint="eastAsia"/>
                      <w:color w:val="auto"/>
                      <w:kern w:val="0"/>
                      <w:szCs w:val="21"/>
                      <w:highlight w:val="none"/>
                    </w:rPr>
                    <w:t>采用先进设备。</w:t>
                  </w:r>
                </w:p>
                <w:p w14:paraId="64F1C344">
                  <w:pPr>
                    <w:keepNext w:val="0"/>
                    <w:keepLines w:val="0"/>
                    <w:suppressLineNumbers w:val="0"/>
                    <w:autoSpaceDE w:val="0"/>
                    <w:autoSpaceDN w:val="0"/>
                    <w:adjustRightInd w:val="0"/>
                    <w:snapToGrid w:val="0"/>
                    <w:spacing w:before="0" w:beforeAutospacing="0" w:after="0" w:afterAutospacing="0"/>
                    <w:ind w:left="0" w:right="0"/>
                    <w:jc w:val="center"/>
                    <w:textAlignment w:val="center"/>
                    <w:rPr>
                      <w:rFonts w:hint="default"/>
                      <w:color w:val="auto"/>
                      <w:kern w:val="0"/>
                      <w:szCs w:val="21"/>
                      <w:highlight w:val="none"/>
                    </w:rPr>
                  </w:pPr>
                  <w:r>
                    <w:rPr>
                      <w:rFonts w:hint="default"/>
                      <w:color w:val="auto"/>
                      <w:kern w:val="0"/>
                      <w:szCs w:val="21"/>
                      <w:highlight w:val="none"/>
                    </w:rPr>
                    <w:t>2</w:t>
                  </w:r>
                  <w:r>
                    <w:rPr>
                      <w:rFonts w:hint="eastAsia"/>
                      <w:color w:val="auto"/>
                      <w:kern w:val="0"/>
                      <w:szCs w:val="21"/>
                      <w:highlight w:val="none"/>
                    </w:rPr>
                    <w:t>、本环评文件已添加碳排放章节。</w:t>
                  </w:r>
                </w:p>
                <w:p w14:paraId="29DCEB36">
                  <w:pPr>
                    <w:keepNext w:val="0"/>
                    <w:keepLines w:val="0"/>
                    <w:suppressLineNumbers w:val="0"/>
                    <w:autoSpaceDE w:val="0"/>
                    <w:autoSpaceDN w:val="0"/>
                    <w:adjustRightInd w:val="0"/>
                    <w:snapToGrid w:val="0"/>
                    <w:spacing w:before="0" w:beforeAutospacing="0" w:after="0" w:afterAutospacing="0"/>
                    <w:ind w:left="0" w:right="0"/>
                    <w:jc w:val="center"/>
                    <w:textAlignment w:val="center"/>
                    <w:rPr>
                      <w:rFonts w:hint="default"/>
                      <w:color w:val="auto"/>
                      <w:kern w:val="0"/>
                      <w:szCs w:val="21"/>
                      <w:highlight w:val="none"/>
                    </w:rPr>
                  </w:pPr>
                  <w:r>
                    <w:rPr>
                      <w:rFonts w:hint="eastAsia"/>
                      <w:color w:val="auto"/>
                      <w:kern w:val="0"/>
                      <w:szCs w:val="21"/>
                      <w:highlight w:val="none"/>
                    </w:rPr>
                    <w:t>3、本项目</w:t>
                  </w:r>
                  <w:r>
                    <w:rPr>
                      <w:rFonts w:hint="default"/>
                      <w:color w:val="auto"/>
                      <w:kern w:val="0"/>
                      <w:szCs w:val="21"/>
                      <w:highlight w:val="none"/>
                    </w:rPr>
                    <w:t>无燃煤机组。</w:t>
                  </w:r>
                </w:p>
                <w:p w14:paraId="1B38327D">
                  <w:pPr>
                    <w:keepNext w:val="0"/>
                    <w:keepLines w:val="0"/>
                    <w:suppressLineNumbers w:val="0"/>
                    <w:autoSpaceDE w:val="0"/>
                    <w:autoSpaceDN w:val="0"/>
                    <w:adjustRightInd w:val="0"/>
                    <w:snapToGrid w:val="0"/>
                    <w:spacing w:before="0" w:beforeAutospacing="0" w:after="0" w:afterAutospacing="0"/>
                    <w:ind w:left="0" w:right="0"/>
                    <w:jc w:val="center"/>
                    <w:textAlignment w:val="center"/>
                    <w:rPr>
                      <w:rFonts w:hint="default"/>
                      <w:color w:val="auto"/>
                      <w:kern w:val="0"/>
                      <w:szCs w:val="21"/>
                      <w:highlight w:val="none"/>
                    </w:rPr>
                  </w:pPr>
                  <w:r>
                    <w:rPr>
                      <w:rFonts w:hint="eastAsia"/>
                      <w:color w:val="auto"/>
                      <w:kern w:val="0"/>
                      <w:szCs w:val="21"/>
                      <w:highlight w:val="none"/>
                    </w:rPr>
                    <w:t>4、项目不属于</w:t>
                  </w:r>
                  <w:r>
                    <w:rPr>
                      <w:rFonts w:hint="default"/>
                      <w:color w:val="auto"/>
                      <w:kern w:val="0"/>
                      <w:szCs w:val="21"/>
                      <w:highlight w:val="none"/>
                    </w:rPr>
                    <w:t>“</w:t>
                  </w:r>
                  <w:r>
                    <w:rPr>
                      <w:rFonts w:hint="eastAsia"/>
                      <w:color w:val="auto"/>
                      <w:kern w:val="0"/>
                      <w:szCs w:val="21"/>
                      <w:highlight w:val="none"/>
                    </w:rPr>
                    <w:t>两高</w:t>
                  </w:r>
                  <w:r>
                    <w:rPr>
                      <w:rFonts w:hint="default"/>
                      <w:color w:val="auto"/>
                      <w:kern w:val="0"/>
                      <w:szCs w:val="21"/>
                      <w:highlight w:val="none"/>
                    </w:rPr>
                    <w:t>”</w:t>
                  </w:r>
                  <w:r>
                    <w:rPr>
                      <w:rFonts w:hint="eastAsia"/>
                      <w:color w:val="auto"/>
                      <w:kern w:val="0"/>
                      <w:szCs w:val="21"/>
                      <w:highlight w:val="none"/>
                    </w:rPr>
                    <w:t>行业。</w:t>
                  </w:r>
                </w:p>
                <w:p w14:paraId="55F59DE8">
                  <w:pPr>
                    <w:keepNext w:val="0"/>
                    <w:keepLines w:val="0"/>
                    <w:suppressLineNumbers w:val="0"/>
                    <w:autoSpaceDE w:val="0"/>
                    <w:autoSpaceDN w:val="0"/>
                    <w:adjustRightInd w:val="0"/>
                    <w:snapToGrid w:val="0"/>
                    <w:spacing w:before="0" w:beforeAutospacing="0" w:after="0" w:afterAutospacing="0"/>
                    <w:ind w:left="0" w:right="0"/>
                    <w:jc w:val="center"/>
                    <w:textAlignment w:val="center"/>
                    <w:rPr>
                      <w:rFonts w:hint="default"/>
                      <w:color w:val="auto"/>
                      <w:kern w:val="0"/>
                      <w:szCs w:val="21"/>
                      <w:highlight w:val="none"/>
                    </w:rPr>
                  </w:pPr>
                  <w:r>
                    <w:rPr>
                      <w:rFonts w:hint="eastAsia"/>
                      <w:color w:val="auto"/>
                      <w:kern w:val="0"/>
                      <w:szCs w:val="21"/>
                      <w:highlight w:val="none"/>
                    </w:rPr>
                    <w:t>5、项目用水来自市政</w:t>
                  </w:r>
                  <w:r>
                    <w:rPr>
                      <w:rFonts w:hint="default"/>
                      <w:color w:val="auto"/>
                      <w:kern w:val="0"/>
                      <w:szCs w:val="21"/>
                      <w:highlight w:val="none"/>
                    </w:rPr>
                    <w:t>供水。</w:t>
                  </w:r>
                </w:p>
                <w:p w14:paraId="4AB7A579">
                  <w:pPr>
                    <w:keepNext w:val="0"/>
                    <w:keepLines w:val="0"/>
                    <w:suppressLineNumbers w:val="0"/>
                    <w:autoSpaceDE w:val="0"/>
                    <w:autoSpaceDN w:val="0"/>
                    <w:adjustRightInd w:val="0"/>
                    <w:snapToGrid w:val="0"/>
                    <w:spacing w:before="0" w:beforeAutospacing="0" w:after="0" w:afterAutospacing="0"/>
                    <w:ind w:left="0" w:right="0"/>
                    <w:jc w:val="center"/>
                    <w:textAlignment w:val="center"/>
                    <w:rPr>
                      <w:rFonts w:hint="default"/>
                      <w:color w:val="auto"/>
                      <w:kern w:val="0"/>
                      <w:szCs w:val="21"/>
                      <w:highlight w:val="none"/>
                    </w:rPr>
                  </w:pPr>
                  <w:r>
                    <w:rPr>
                      <w:rFonts w:hint="default"/>
                      <w:color w:val="auto"/>
                      <w:kern w:val="0"/>
                      <w:szCs w:val="21"/>
                      <w:highlight w:val="none"/>
                    </w:rPr>
                    <w:t>6</w:t>
                  </w:r>
                  <w:r>
                    <w:rPr>
                      <w:rFonts w:hint="eastAsia"/>
                      <w:color w:val="auto"/>
                      <w:kern w:val="0"/>
                      <w:szCs w:val="21"/>
                      <w:highlight w:val="none"/>
                    </w:rPr>
                    <w:t>、项目不属于砖瓦、石灰、铸造等重点行业</w:t>
                  </w:r>
                  <w:r>
                    <w:rPr>
                      <w:rFonts w:hint="default"/>
                      <w:color w:val="auto"/>
                      <w:kern w:val="0"/>
                      <w:szCs w:val="21"/>
                      <w:highlight w:val="none"/>
                    </w:rPr>
                    <w:t>。</w:t>
                  </w:r>
                </w:p>
              </w:tc>
              <w:tc>
                <w:tcPr>
                  <w:tcW w:w="670" w:type="dxa"/>
                  <w:shd w:val="clear" w:color="auto" w:fill="auto"/>
                  <w:vAlign w:val="center"/>
                </w:tcPr>
                <w:p w14:paraId="0253E4C8">
                  <w:pPr>
                    <w:keepNext w:val="0"/>
                    <w:keepLines w:val="0"/>
                    <w:suppressLineNumbers w:val="0"/>
                    <w:autoSpaceDE w:val="0"/>
                    <w:autoSpaceDN w:val="0"/>
                    <w:adjustRightInd w:val="0"/>
                    <w:snapToGrid w:val="0"/>
                    <w:spacing w:before="0" w:beforeAutospacing="0" w:after="0" w:afterAutospacing="0"/>
                    <w:ind w:left="0" w:right="0"/>
                    <w:jc w:val="center"/>
                    <w:textAlignment w:val="center"/>
                    <w:rPr>
                      <w:rFonts w:hint="default"/>
                      <w:color w:val="auto"/>
                      <w:kern w:val="0"/>
                      <w:szCs w:val="21"/>
                      <w:highlight w:val="none"/>
                    </w:rPr>
                  </w:pPr>
                  <w:r>
                    <w:rPr>
                      <w:rFonts w:hint="eastAsia"/>
                      <w:color w:val="auto"/>
                      <w:kern w:val="0"/>
                      <w:szCs w:val="21"/>
                      <w:highlight w:val="none"/>
                    </w:rPr>
                    <w:t>符合</w:t>
                  </w:r>
                </w:p>
              </w:tc>
            </w:tr>
            <w:tr w14:paraId="1F786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74" w:type="dxa"/>
                  <w:shd w:val="clear" w:color="auto" w:fill="auto"/>
                  <w:vAlign w:val="center"/>
                </w:tcPr>
                <w:p w14:paraId="029DB473">
                  <w:pPr>
                    <w:keepNext w:val="0"/>
                    <w:keepLines w:val="0"/>
                    <w:suppressLineNumbers w:val="0"/>
                    <w:autoSpaceDE w:val="0"/>
                    <w:autoSpaceDN w:val="0"/>
                    <w:adjustRightInd w:val="0"/>
                    <w:snapToGrid w:val="0"/>
                    <w:spacing w:before="0" w:beforeAutospacing="0" w:after="0" w:afterAutospacing="0"/>
                    <w:ind w:left="0" w:right="0"/>
                    <w:jc w:val="center"/>
                    <w:textAlignment w:val="center"/>
                    <w:rPr>
                      <w:rFonts w:hint="eastAsia" w:eastAsia="宋体"/>
                      <w:color w:val="auto"/>
                      <w:kern w:val="0"/>
                      <w:szCs w:val="21"/>
                      <w:highlight w:val="none"/>
                      <w:lang w:val="en-US" w:eastAsia="zh-CN"/>
                    </w:rPr>
                  </w:pPr>
                  <w:r>
                    <w:rPr>
                      <w:rFonts w:hint="eastAsia"/>
                      <w:color w:val="auto"/>
                      <w:kern w:val="0"/>
                      <w:szCs w:val="21"/>
                      <w:highlight w:val="none"/>
                      <w:lang w:val="en-US" w:eastAsia="zh-CN"/>
                    </w:rPr>
                    <w:t>2</w:t>
                  </w:r>
                </w:p>
              </w:tc>
              <w:tc>
                <w:tcPr>
                  <w:tcW w:w="1162" w:type="dxa"/>
                  <w:shd w:val="clear" w:color="auto" w:fill="auto"/>
                  <w:vAlign w:val="center"/>
                </w:tcPr>
                <w:p w14:paraId="7720642F">
                  <w:pPr>
                    <w:keepNext w:val="0"/>
                    <w:keepLines w:val="0"/>
                    <w:suppressLineNumbers w:val="0"/>
                    <w:autoSpaceDE w:val="0"/>
                    <w:autoSpaceDN w:val="0"/>
                    <w:adjustRightInd w:val="0"/>
                    <w:snapToGrid w:val="0"/>
                    <w:spacing w:before="0" w:beforeAutospacing="0" w:after="0" w:afterAutospacing="0"/>
                    <w:ind w:left="0" w:right="0"/>
                    <w:jc w:val="center"/>
                    <w:textAlignment w:val="center"/>
                    <w:rPr>
                      <w:rFonts w:hint="default"/>
                      <w:color w:val="auto"/>
                      <w:kern w:val="0"/>
                      <w:szCs w:val="21"/>
                      <w:highlight w:val="none"/>
                    </w:rPr>
                  </w:pPr>
                  <w:r>
                    <w:rPr>
                      <w:rFonts w:hint="eastAsia"/>
                      <w:color w:val="auto"/>
                      <w:kern w:val="0"/>
                      <w:szCs w:val="21"/>
                      <w:highlight w:val="none"/>
                    </w:rPr>
                    <w:t>《秦皇岛市生态环境保护“十四五”规划》的通知(秦政字〔2022〕10号)</w:t>
                  </w:r>
                </w:p>
              </w:tc>
              <w:tc>
                <w:tcPr>
                  <w:tcW w:w="4374" w:type="dxa"/>
                  <w:shd w:val="clear" w:color="auto" w:fill="auto"/>
                  <w:vAlign w:val="center"/>
                </w:tcPr>
                <w:p w14:paraId="30B05910">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1、建立以“三线一单”为核心的全覆盖的生态环境分区管控体系；</w:t>
                  </w:r>
                </w:p>
                <w:p w14:paraId="78557A46">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2、严格执行产业准入负面清单；</w:t>
                  </w:r>
                </w:p>
                <w:p w14:paraId="0240C9DE">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3、严禁新增低端落后产能，加快淘汰落后产能；</w:t>
                  </w:r>
                </w:p>
                <w:p w14:paraId="0A8CF5A3">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4、全面推行清洁生产；</w:t>
                  </w:r>
                </w:p>
                <w:p w14:paraId="5CB8133B">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5、开展二氧化碳排放达峰行动、控制温室气体排放；</w:t>
                  </w:r>
                </w:p>
                <w:p w14:paraId="1CC6A4EE">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6、巩固和完善蓝天保卫战攻坚成效，坚持系统施治、歼灭战与持久战相结合，推进细颗粒物(PM2.5)与臭氧污染协同控制，持续削减氮氧化物和VOCs排放量，推动环境空气质量持续改善，努力实现“蓝天白云、繁星闪烁”；</w:t>
                  </w:r>
                </w:p>
                <w:p w14:paraId="0BB1F53D">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7、推进扬尘综合整治；</w:t>
                  </w:r>
                </w:p>
                <w:p w14:paraId="4519D02B">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8、聚焦固体废物、危险化学品生态环境风险防控，加快构建危险废物、医疗废物收集处置管理体系，全面推动废旧物资和可再生资源循环利用，加快垃圾分类和资源化利用，减少固体废物对环境的污染；</w:t>
                  </w:r>
                </w:p>
                <w:p w14:paraId="0A53E581">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9、公开环境治理信息。排污企业应通过企业网站等途径依法公开主要污染物名称、排放方式、执行标准以及污染防治设施建设和运行情况，并对信息真实性负责。鼓励排污企业在确保安全生产前提下，通过设立企业开放日、建设教育体验场所等形式，向社会公众开放。</w:t>
                  </w:r>
                </w:p>
              </w:tc>
              <w:tc>
                <w:tcPr>
                  <w:tcW w:w="1708" w:type="dxa"/>
                  <w:shd w:val="clear" w:color="auto" w:fill="auto"/>
                  <w:vAlign w:val="center"/>
                </w:tcPr>
                <w:p w14:paraId="4F983E35">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1、</w:t>
                  </w:r>
                  <w:r>
                    <w:rPr>
                      <w:rFonts w:hint="default"/>
                      <w:color w:val="auto"/>
                      <w:kern w:val="0"/>
                      <w:szCs w:val="21"/>
                      <w:highlight w:val="none"/>
                    </w:rPr>
                    <w:t>项目符合“</w:t>
                  </w:r>
                  <w:r>
                    <w:rPr>
                      <w:rFonts w:hint="eastAsia"/>
                      <w:color w:val="auto"/>
                      <w:kern w:val="0"/>
                      <w:szCs w:val="21"/>
                      <w:highlight w:val="none"/>
                    </w:rPr>
                    <w:t>三线一单</w:t>
                  </w:r>
                  <w:r>
                    <w:rPr>
                      <w:rFonts w:hint="default"/>
                      <w:color w:val="auto"/>
                      <w:kern w:val="0"/>
                      <w:szCs w:val="21"/>
                      <w:highlight w:val="none"/>
                    </w:rPr>
                    <w:t>”</w:t>
                  </w:r>
                  <w:r>
                    <w:rPr>
                      <w:rFonts w:hint="eastAsia"/>
                      <w:color w:val="auto"/>
                      <w:kern w:val="0"/>
                      <w:szCs w:val="21"/>
                      <w:highlight w:val="none"/>
                    </w:rPr>
                    <w:t>生态环境分区管控要求</w:t>
                  </w:r>
                  <w:r>
                    <w:rPr>
                      <w:rFonts w:hint="default"/>
                      <w:color w:val="auto"/>
                      <w:kern w:val="0"/>
                      <w:szCs w:val="21"/>
                      <w:highlight w:val="none"/>
                    </w:rPr>
                    <w:t>。</w:t>
                  </w:r>
                </w:p>
                <w:p w14:paraId="1E9767E0">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default"/>
                      <w:color w:val="auto"/>
                      <w:kern w:val="0"/>
                      <w:szCs w:val="21"/>
                      <w:highlight w:val="none"/>
                    </w:rPr>
                    <w:t>2</w:t>
                  </w:r>
                  <w:r>
                    <w:rPr>
                      <w:rFonts w:hint="eastAsia"/>
                      <w:color w:val="auto"/>
                      <w:kern w:val="0"/>
                      <w:szCs w:val="21"/>
                      <w:highlight w:val="none"/>
                    </w:rPr>
                    <w:t>、</w:t>
                  </w:r>
                  <w:r>
                    <w:rPr>
                      <w:rFonts w:hint="default"/>
                      <w:color w:val="auto"/>
                      <w:kern w:val="0"/>
                      <w:szCs w:val="21"/>
                      <w:highlight w:val="none"/>
                    </w:rPr>
                    <w:t>本项目不属于准入负面清单内</w:t>
                  </w:r>
                  <w:r>
                    <w:rPr>
                      <w:rFonts w:hint="eastAsia"/>
                      <w:color w:val="auto"/>
                      <w:kern w:val="0"/>
                      <w:szCs w:val="21"/>
                      <w:highlight w:val="none"/>
                    </w:rPr>
                    <w:t>容。</w:t>
                  </w:r>
                </w:p>
                <w:p w14:paraId="3178B014">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default"/>
                      <w:color w:val="auto"/>
                      <w:kern w:val="0"/>
                      <w:szCs w:val="21"/>
                      <w:highlight w:val="none"/>
                    </w:rPr>
                    <w:t>3</w:t>
                  </w:r>
                  <w:r>
                    <w:rPr>
                      <w:rFonts w:hint="eastAsia"/>
                      <w:color w:val="auto"/>
                      <w:kern w:val="0"/>
                      <w:szCs w:val="21"/>
                      <w:highlight w:val="none"/>
                    </w:rPr>
                    <w:t>、本项目</w:t>
                  </w:r>
                  <w:r>
                    <w:rPr>
                      <w:rFonts w:hint="default"/>
                      <w:color w:val="auto"/>
                      <w:kern w:val="0"/>
                      <w:szCs w:val="21"/>
                      <w:highlight w:val="none"/>
                    </w:rPr>
                    <w:t>不属于低端落后类项目。</w:t>
                  </w:r>
                </w:p>
                <w:p w14:paraId="7E07AF7A">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4、主要消耗的能源水、电，用量较小，本项目建设</w:t>
                  </w:r>
                  <w:r>
                    <w:rPr>
                      <w:rFonts w:hint="default"/>
                      <w:color w:val="auto"/>
                      <w:kern w:val="0"/>
                      <w:szCs w:val="21"/>
                      <w:highlight w:val="none"/>
                    </w:rPr>
                    <w:t>符合清洁生产要求。</w:t>
                  </w:r>
                </w:p>
                <w:p w14:paraId="07E3CEB7">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5、环评已进行碳排放影响分析。</w:t>
                  </w:r>
                </w:p>
                <w:p w14:paraId="497DEB77">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6、项目不涉及</w:t>
                  </w:r>
                  <w:r>
                    <w:rPr>
                      <w:rFonts w:hint="default"/>
                      <w:color w:val="auto"/>
                      <w:kern w:val="0"/>
                      <w:szCs w:val="21"/>
                      <w:highlight w:val="none"/>
                    </w:rPr>
                    <w:t>氮氧化物</w:t>
                  </w:r>
                  <w:r>
                    <w:rPr>
                      <w:rFonts w:hint="eastAsia"/>
                      <w:color w:val="auto"/>
                      <w:kern w:val="0"/>
                      <w:szCs w:val="21"/>
                      <w:highlight w:val="none"/>
                    </w:rPr>
                    <w:t>排放。</w:t>
                  </w:r>
                </w:p>
                <w:p w14:paraId="7EBF1BC7">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7、企业对施工期扬尘采取相应治理措施。</w:t>
                  </w:r>
                </w:p>
                <w:p w14:paraId="0499A28C">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8、本项目固体废物均合理处置不外排</w:t>
                  </w:r>
                  <w:r>
                    <w:rPr>
                      <w:rFonts w:hint="default"/>
                      <w:color w:val="auto"/>
                      <w:kern w:val="0"/>
                      <w:szCs w:val="21"/>
                      <w:highlight w:val="none"/>
                    </w:rPr>
                    <w:t>，不会对周围环境造成影响。</w:t>
                  </w:r>
                </w:p>
                <w:p w14:paraId="14FD9513">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default"/>
                      <w:color w:val="auto"/>
                      <w:kern w:val="0"/>
                      <w:szCs w:val="21"/>
                      <w:highlight w:val="none"/>
                    </w:rPr>
                    <w:t>9</w:t>
                  </w:r>
                  <w:r>
                    <w:rPr>
                      <w:rFonts w:hint="eastAsia"/>
                      <w:color w:val="auto"/>
                      <w:kern w:val="0"/>
                      <w:szCs w:val="21"/>
                      <w:highlight w:val="none"/>
                    </w:rPr>
                    <w:t>、项目</w:t>
                  </w:r>
                  <w:r>
                    <w:rPr>
                      <w:rFonts w:hint="default"/>
                      <w:color w:val="auto"/>
                      <w:kern w:val="0"/>
                      <w:szCs w:val="21"/>
                      <w:highlight w:val="none"/>
                    </w:rPr>
                    <w:t>排污前</w:t>
                  </w:r>
                  <w:r>
                    <w:rPr>
                      <w:rFonts w:hint="eastAsia"/>
                      <w:color w:val="auto"/>
                      <w:kern w:val="0"/>
                      <w:szCs w:val="21"/>
                      <w:highlight w:val="none"/>
                    </w:rPr>
                    <w:t>需</w:t>
                  </w:r>
                  <w:r>
                    <w:rPr>
                      <w:rFonts w:hint="default"/>
                      <w:color w:val="auto"/>
                      <w:kern w:val="0"/>
                      <w:szCs w:val="21"/>
                      <w:highlight w:val="none"/>
                    </w:rPr>
                    <w:t>进行排污</w:t>
                  </w:r>
                  <w:r>
                    <w:rPr>
                      <w:rFonts w:hint="eastAsia"/>
                      <w:color w:val="auto"/>
                      <w:kern w:val="0"/>
                      <w:szCs w:val="21"/>
                      <w:highlight w:val="none"/>
                      <w:lang w:val="en-US" w:eastAsia="zh-CN"/>
                    </w:rPr>
                    <w:t>许可申请</w:t>
                  </w:r>
                  <w:r>
                    <w:rPr>
                      <w:rFonts w:hint="eastAsia"/>
                      <w:color w:val="auto"/>
                      <w:kern w:val="0"/>
                      <w:szCs w:val="21"/>
                      <w:highlight w:val="none"/>
                    </w:rPr>
                    <w:t>。</w:t>
                  </w:r>
                </w:p>
              </w:tc>
              <w:tc>
                <w:tcPr>
                  <w:tcW w:w="670" w:type="dxa"/>
                  <w:shd w:val="clear" w:color="auto" w:fill="auto"/>
                  <w:vAlign w:val="center"/>
                </w:tcPr>
                <w:p w14:paraId="5F4CC6ED">
                  <w:pPr>
                    <w:keepNext w:val="0"/>
                    <w:keepLines w:val="0"/>
                    <w:suppressLineNumbers w:val="0"/>
                    <w:autoSpaceDE w:val="0"/>
                    <w:autoSpaceDN w:val="0"/>
                    <w:adjustRightInd w:val="0"/>
                    <w:snapToGrid w:val="0"/>
                    <w:spacing w:before="0" w:beforeAutospacing="0" w:after="0" w:afterAutospacing="0"/>
                    <w:ind w:left="0" w:right="0"/>
                    <w:jc w:val="center"/>
                    <w:textAlignment w:val="center"/>
                    <w:rPr>
                      <w:rFonts w:hint="default"/>
                      <w:color w:val="auto"/>
                      <w:kern w:val="0"/>
                      <w:szCs w:val="21"/>
                      <w:highlight w:val="none"/>
                    </w:rPr>
                  </w:pPr>
                  <w:r>
                    <w:rPr>
                      <w:rFonts w:hint="eastAsia"/>
                      <w:color w:val="auto"/>
                      <w:kern w:val="0"/>
                      <w:szCs w:val="21"/>
                      <w:highlight w:val="none"/>
                    </w:rPr>
                    <w:t>符合</w:t>
                  </w:r>
                </w:p>
              </w:tc>
            </w:tr>
            <w:tr w14:paraId="0904B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74" w:type="dxa"/>
                  <w:shd w:val="clear" w:color="auto" w:fill="auto"/>
                  <w:vAlign w:val="center"/>
                </w:tcPr>
                <w:p w14:paraId="693357BF">
                  <w:pPr>
                    <w:keepNext w:val="0"/>
                    <w:keepLines w:val="0"/>
                    <w:suppressLineNumbers w:val="0"/>
                    <w:autoSpaceDE w:val="0"/>
                    <w:autoSpaceDN w:val="0"/>
                    <w:adjustRightInd w:val="0"/>
                    <w:snapToGrid w:val="0"/>
                    <w:spacing w:before="0" w:beforeAutospacing="0" w:after="0" w:afterAutospacing="0"/>
                    <w:ind w:left="0" w:right="0"/>
                    <w:jc w:val="center"/>
                    <w:textAlignment w:val="center"/>
                    <w:rPr>
                      <w:rFonts w:hint="eastAsia" w:eastAsia="宋体"/>
                      <w:color w:val="auto"/>
                      <w:kern w:val="0"/>
                      <w:szCs w:val="21"/>
                      <w:highlight w:val="none"/>
                      <w:lang w:val="en-US" w:eastAsia="zh-CN"/>
                    </w:rPr>
                  </w:pPr>
                  <w:r>
                    <w:rPr>
                      <w:rFonts w:hint="eastAsia"/>
                      <w:color w:val="auto"/>
                      <w:kern w:val="0"/>
                      <w:szCs w:val="21"/>
                      <w:highlight w:val="none"/>
                      <w:lang w:val="en-US" w:eastAsia="zh-CN"/>
                    </w:rPr>
                    <w:t>3</w:t>
                  </w:r>
                </w:p>
              </w:tc>
              <w:tc>
                <w:tcPr>
                  <w:tcW w:w="1162" w:type="dxa"/>
                  <w:shd w:val="clear" w:color="auto" w:fill="auto"/>
                  <w:vAlign w:val="center"/>
                </w:tcPr>
                <w:p w14:paraId="71BA3BA3">
                  <w:pPr>
                    <w:keepNext w:val="0"/>
                    <w:keepLines w:val="0"/>
                    <w:suppressLineNumbers w:val="0"/>
                    <w:autoSpaceDE w:val="0"/>
                    <w:autoSpaceDN w:val="0"/>
                    <w:adjustRightInd w:val="0"/>
                    <w:snapToGrid w:val="0"/>
                    <w:spacing w:before="0" w:beforeAutospacing="0" w:after="0" w:afterAutospacing="0"/>
                    <w:ind w:left="-105" w:leftChars="-50" w:right="-105" w:rightChars="-50"/>
                    <w:jc w:val="center"/>
                    <w:textAlignment w:val="center"/>
                    <w:rPr>
                      <w:rFonts w:hint="default"/>
                      <w:color w:val="auto"/>
                      <w:kern w:val="0"/>
                      <w:szCs w:val="21"/>
                      <w:highlight w:val="none"/>
                    </w:rPr>
                  </w:pPr>
                  <w:r>
                    <w:rPr>
                      <w:rFonts w:hint="eastAsia"/>
                      <w:color w:val="auto"/>
                      <w:kern w:val="0"/>
                      <w:szCs w:val="21"/>
                      <w:highlight w:val="none"/>
                    </w:rPr>
                    <w:t>《住房和城乡建设部、国家发展改革委关于印发城乡建设领域碳达峰实施方案的通知（建标〔2022〕53号）》</w:t>
                  </w:r>
                </w:p>
              </w:tc>
              <w:tc>
                <w:tcPr>
                  <w:tcW w:w="4374" w:type="dxa"/>
                  <w:shd w:val="clear" w:color="auto" w:fill="auto"/>
                  <w:vAlign w:val="center"/>
                </w:tcPr>
                <w:p w14:paraId="108EC2B8">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1、推动城市生态修复，完善城市生态系统。严格控制新建超高层建筑，一般不得新建超高层住宅；</w:t>
                  </w:r>
                </w:p>
                <w:p w14:paraId="4FD0D2E7">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2、提高基础设施运行效率。基础设施体系化、智能化、生态绿色化建设和稳定运行，可以有效减少能源消耗和碳排放。</w:t>
                  </w:r>
                </w:p>
              </w:tc>
              <w:tc>
                <w:tcPr>
                  <w:tcW w:w="1708" w:type="dxa"/>
                  <w:shd w:val="clear" w:color="auto" w:fill="auto"/>
                  <w:vAlign w:val="center"/>
                </w:tcPr>
                <w:p w14:paraId="1937BB64">
                  <w:pPr>
                    <w:keepNext w:val="0"/>
                    <w:keepLines w:val="0"/>
                    <w:suppressLineNumbers w:val="0"/>
                    <w:autoSpaceDE w:val="0"/>
                    <w:autoSpaceDN w:val="0"/>
                    <w:adjustRightInd w:val="0"/>
                    <w:snapToGrid w:val="0"/>
                    <w:spacing w:before="0" w:beforeAutospacing="0" w:after="0" w:afterAutospacing="0"/>
                    <w:ind w:left="0" w:right="0"/>
                    <w:textAlignment w:val="center"/>
                    <w:rPr>
                      <w:rFonts w:hint="default"/>
                      <w:color w:val="auto"/>
                      <w:kern w:val="0"/>
                      <w:szCs w:val="21"/>
                      <w:highlight w:val="none"/>
                    </w:rPr>
                  </w:pPr>
                  <w:r>
                    <w:rPr>
                      <w:rFonts w:hint="eastAsia"/>
                      <w:color w:val="auto"/>
                      <w:kern w:val="0"/>
                      <w:szCs w:val="21"/>
                      <w:highlight w:val="none"/>
                    </w:rPr>
                    <w:t>项目</w:t>
                  </w:r>
                  <w:r>
                    <w:rPr>
                      <w:rFonts w:hint="default"/>
                      <w:color w:val="auto"/>
                      <w:kern w:val="0"/>
                      <w:szCs w:val="21"/>
                      <w:highlight w:val="none"/>
                    </w:rPr>
                    <w:t>不新建</w:t>
                  </w:r>
                  <w:r>
                    <w:rPr>
                      <w:rFonts w:hint="eastAsia"/>
                      <w:color w:val="auto"/>
                      <w:kern w:val="0"/>
                      <w:szCs w:val="21"/>
                      <w:highlight w:val="none"/>
                    </w:rPr>
                    <w:t>高层</w:t>
                  </w:r>
                  <w:r>
                    <w:rPr>
                      <w:rFonts w:hint="default"/>
                      <w:color w:val="auto"/>
                      <w:kern w:val="0"/>
                      <w:szCs w:val="21"/>
                      <w:highlight w:val="none"/>
                    </w:rPr>
                    <w:t>建筑。项目</w:t>
                  </w:r>
                  <w:r>
                    <w:rPr>
                      <w:rFonts w:hint="eastAsia"/>
                      <w:color w:val="auto"/>
                      <w:kern w:val="0"/>
                      <w:szCs w:val="21"/>
                      <w:highlight w:val="none"/>
                    </w:rPr>
                    <w:t>使用电能进行生产</w:t>
                  </w:r>
                  <w:r>
                    <w:rPr>
                      <w:rFonts w:hint="default"/>
                      <w:color w:val="auto"/>
                      <w:kern w:val="0"/>
                      <w:szCs w:val="21"/>
                      <w:highlight w:val="none"/>
                    </w:rPr>
                    <w:t>，</w:t>
                  </w:r>
                  <w:r>
                    <w:rPr>
                      <w:rFonts w:hint="eastAsia"/>
                      <w:color w:val="auto"/>
                      <w:kern w:val="0"/>
                      <w:szCs w:val="21"/>
                      <w:highlight w:val="none"/>
                    </w:rPr>
                    <w:t>用量较小</w:t>
                  </w:r>
                  <w:r>
                    <w:rPr>
                      <w:rFonts w:hint="default"/>
                      <w:color w:val="auto"/>
                      <w:kern w:val="0"/>
                      <w:szCs w:val="21"/>
                      <w:highlight w:val="none"/>
                    </w:rPr>
                    <w:t>。</w:t>
                  </w:r>
                </w:p>
              </w:tc>
              <w:tc>
                <w:tcPr>
                  <w:tcW w:w="670" w:type="dxa"/>
                  <w:shd w:val="clear" w:color="auto" w:fill="auto"/>
                  <w:vAlign w:val="center"/>
                </w:tcPr>
                <w:p w14:paraId="0A1CAC25">
                  <w:pPr>
                    <w:keepNext w:val="0"/>
                    <w:keepLines w:val="0"/>
                    <w:suppressLineNumbers w:val="0"/>
                    <w:autoSpaceDE w:val="0"/>
                    <w:autoSpaceDN w:val="0"/>
                    <w:adjustRightInd w:val="0"/>
                    <w:snapToGrid w:val="0"/>
                    <w:spacing w:before="0" w:beforeAutospacing="0" w:after="0" w:afterAutospacing="0"/>
                    <w:ind w:left="0" w:right="0"/>
                    <w:jc w:val="center"/>
                    <w:textAlignment w:val="center"/>
                    <w:rPr>
                      <w:rFonts w:hint="default"/>
                      <w:color w:val="auto"/>
                      <w:kern w:val="0"/>
                      <w:szCs w:val="21"/>
                      <w:highlight w:val="none"/>
                    </w:rPr>
                  </w:pPr>
                  <w:r>
                    <w:rPr>
                      <w:rFonts w:hint="eastAsia"/>
                      <w:color w:val="auto"/>
                      <w:kern w:val="0"/>
                      <w:szCs w:val="21"/>
                      <w:highlight w:val="none"/>
                    </w:rPr>
                    <w:t>符合</w:t>
                  </w:r>
                </w:p>
              </w:tc>
            </w:tr>
          </w:tbl>
          <w:p w14:paraId="1632F328">
            <w:pPr>
              <w:keepNext w:val="0"/>
              <w:keepLines w:val="0"/>
              <w:suppressLineNumbers w:val="0"/>
              <w:snapToGrid w:val="0"/>
              <w:spacing w:before="0" w:beforeAutospacing="0" w:after="0" w:afterAutospacing="0" w:line="360" w:lineRule="auto"/>
              <w:ind w:left="0" w:right="0" w:firstLine="480" w:firstLineChars="200"/>
              <w:jc w:val="left"/>
              <w:rPr>
                <w:rFonts w:hint="default"/>
                <w:color w:val="auto"/>
                <w:highlight w:val="none"/>
              </w:rPr>
            </w:pPr>
            <w:r>
              <w:rPr>
                <w:rFonts w:hint="default"/>
                <w:color w:val="auto"/>
                <w:sz w:val="24"/>
                <w:highlight w:val="none"/>
              </w:rPr>
              <w:t>根据以上分析，本项目建设符合相关产业政策</w:t>
            </w:r>
            <w:r>
              <w:rPr>
                <w:rFonts w:hint="eastAsia"/>
                <w:color w:val="auto"/>
                <w:highlight w:val="none"/>
              </w:rPr>
              <w:t>。</w:t>
            </w:r>
          </w:p>
          <w:p w14:paraId="3BA709B7">
            <w:pPr>
              <w:keepNext w:val="0"/>
              <w:keepLines w:val="0"/>
              <w:suppressLineNumbers w:val="0"/>
              <w:snapToGrid w:val="0"/>
              <w:spacing w:before="0" w:beforeAutospacing="0" w:after="0" w:afterAutospacing="0" w:line="360" w:lineRule="auto"/>
              <w:ind w:left="0" w:right="0" w:firstLine="482" w:firstLineChars="200"/>
              <w:jc w:val="left"/>
              <w:rPr>
                <w:rFonts w:hint="default"/>
                <w:b/>
                <w:bCs/>
                <w:color w:val="auto"/>
                <w:sz w:val="24"/>
                <w:highlight w:val="none"/>
              </w:rPr>
            </w:pPr>
            <w:r>
              <w:rPr>
                <w:rFonts w:hint="default"/>
                <w:b/>
                <w:bCs/>
                <w:color w:val="auto"/>
                <w:sz w:val="24"/>
                <w:highlight w:val="none"/>
              </w:rPr>
              <w:t>4、“三线一单”符合性</w:t>
            </w:r>
          </w:p>
          <w:p w14:paraId="122C9690">
            <w:pPr>
              <w:keepNext w:val="0"/>
              <w:keepLines w:val="0"/>
              <w:suppressLineNumbers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根据2016年10月27日印发《关于以改善环境质量为核心加强环境影响评价管理的通知》（环环评[2016]150号），环境影响评价落实“生态保护红线、环境质量底线、资源利用上限和环境准入负面清单”约束。</w:t>
            </w:r>
          </w:p>
          <w:p w14:paraId="5398C710">
            <w:pPr>
              <w:keepNext w:val="0"/>
              <w:keepLines w:val="0"/>
              <w:suppressLineNumbers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（1）生态保护红线</w:t>
            </w:r>
          </w:p>
          <w:p w14:paraId="271985DC">
            <w:pPr>
              <w:keepNext w:val="0"/>
              <w:keepLines w:val="0"/>
              <w:suppressLineNumbers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根据经河北省人民政府发布的《河北省生态保护红线》（冀政字[2018]23号），秦皇岛生态保护范围为秦皇岛市中北部山区，主要保护内容为：森林生态系统、珍稀野生动植物栖息地与集中分布区、内陆河流、淡水湿地生态系统、海岸海域生态系统与沿海防护林。</w:t>
            </w:r>
          </w:p>
          <w:p w14:paraId="1931029F">
            <w:pPr>
              <w:keepNext w:val="0"/>
              <w:keepLines w:val="0"/>
              <w:suppressLineNumbers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本项目位于</w:t>
            </w:r>
            <w:r>
              <w:rPr>
                <w:rFonts w:hint="eastAsia"/>
                <w:color w:val="auto"/>
                <w:sz w:val="24"/>
                <w:highlight w:val="none"/>
              </w:rPr>
              <w:t>秦皇岛市经济技术开发区龙海道37号戴河国际产业园</w:t>
            </w:r>
            <w:r>
              <w:rPr>
                <w:rFonts w:hint="eastAsia"/>
                <w:color w:val="auto"/>
                <w:sz w:val="24"/>
                <w:highlight w:val="none"/>
                <w:lang w:val="en-US" w:eastAsia="zh-CN"/>
              </w:rPr>
              <w:t>13</w:t>
            </w:r>
            <w:r>
              <w:rPr>
                <w:rFonts w:hint="eastAsia"/>
                <w:color w:val="auto"/>
                <w:sz w:val="24"/>
                <w:highlight w:val="none"/>
              </w:rPr>
              <w:t>号厂房</w:t>
            </w:r>
            <w:r>
              <w:rPr>
                <w:rFonts w:hint="default"/>
                <w:color w:val="auto"/>
                <w:sz w:val="24"/>
                <w:highlight w:val="none"/>
              </w:rPr>
              <w:t>，不在生态红线范围内。</w:t>
            </w:r>
          </w:p>
          <w:p w14:paraId="083E3BFF">
            <w:pPr>
              <w:keepNext w:val="0"/>
              <w:keepLines w:val="0"/>
              <w:suppressLineNumbers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本项目与生态保护红线位置关系见图1-1。</w:t>
            </w:r>
          </w:p>
          <w:p w14:paraId="56905BE2">
            <w:pPr>
              <w:keepNext w:val="0"/>
              <w:keepLines w:val="0"/>
              <w:numPr>
                <w:ilvl w:val="255"/>
                <w:numId w:val="0"/>
              </w:numPr>
              <w:suppressLineNumbers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（2）环境质量底线</w:t>
            </w:r>
          </w:p>
          <w:p w14:paraId="7B21DA6B">
            <w:pPr>
              <w:keepNext w:val="0"/>
              <w:keepLines w:val="0"/>
              <w:widowControl/>
              <w:suppressLineNumbers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文件要求：环境质量底线是国家和地方设置的大气、水和土壤环境质量目标，也是改善环境质量的基准线。项目环评应对照区域环境质量目标，深入分析预测项目建设对环境质量的影响，强化污染防治措施和污染物排放控制要求。</w:t>
            </w:r>
          </w:p>
          <w:p w14:paraId="5CC53B99">
            <w:pPr>
              <w:keepNext w:val="0"/>
              <w:keepLines w:val="0"/>
              <w:widowControl/>
              <w:suppressLineNumbers w:val="0"/>
              <w:snapToGrid w:val="0"/>
              <w:spacing w:before="0" w:beforeAutospacing="0" w:after="0" w:afterAutospacing="0" w:line="360" w:lineRule="auto"/>
              <w:ind w:left="0" w:right="0" w:firstLine="480" w:firstLineChars="200"/>
              <w:jc w:val="left"/>
              <w:rPr>
                <w:rFonts w:hint="default"/>
                <w:color w:val="auto"/>
                <w:kern w:val="0"/>
                <w:sz w:val="24"/>
                <w:highlight w:val="none"/>
              </w:rPr>
            </w:pPr>
            <w:r>
              <w:rPr>
                <w:rFonts w:hint="default"/>
                <w:color w:val="auto"/>
                <w:sz w:val="24"/>
                <w:highlight w:val="none"/>
              </w:rPr>
              <w:t>项目区域大气环境为二类区，</w:t>
            </w:r>
            <w:r>
              <w:rPr>
                <w:rFonts w:hint="eastAsia"/>
                <w:color w:val="auto"/>
                <w:sz w:val="24"/>
                <w:highlight w:val="none"/>
                <w:lang w:val="en-US" w:eastAsia="zh-CN"/>
              </w:rPr>
              <w:t>由于秦皇岛市生态环境局网站未完全公布2024年空气污染物指标变化情况，所以</w:t>
            </w:r>
            <w:r>
              <w:rPr>
                <w:rFonts w:hint="default"/>
                <w:color w:val="auto"/>
                <w:sz w:val="24"/>
                <w:highlight w:val="none"/>
              </w:rPr>
              <w:t>根据</w:t>
            </w:r>
            <w:r>
              <w:rPr>
                <w:rFonts w:hint="default"/>
                <w:color w:val="auto"/>
                <w:kern w:val="0"/>
                <w:sz w:val="24"/>
                <w:highlight w:val="none"/>
                <w:lang w:bidi="ar"/>
              </w:rPr>
              <w:t>《2023年1-12月份各县区空气质量综合指数排名及各项污染物指标变化情况》，</w:t>
            </w:r>
            <w:r>
              <w:rPr>
                <w:rFonts w:hint="default"/>
                <w:color w:val="auto"/>
                <w:sz w:val="24"/>
                <w:highlight w:val="none"/>
              </w:rPr>
              <w:t>2023年秦皇岛经济技术开发区SO</w:t>
            </w:r>
            <w:r>
              <w:rPr>
                <w:rFonts w:hint="default"/>
                <w:color w:val="auto"/>
                <w:sz w:val="24"/>
                <w:highlight w:val="none"/>
                <w:vertAlign w:val="subscript"/>
              </w:rPr>
              <w:t>2</w:t>
            </w:r>
            <w:r>
              <w:rPr>
                <w:rFonts w:hint="default"/>
                <w:color w:val="auto"/>
                <w:sz w:val="24"/>
                <w:highlight w:val="none"/>
              </w:rPr>
              <w:t>、NO</w:t>
            </w:r>
            <w:r>
              <w:rPr>
                <w:rFonts w:hint="default"/>
                <w:color w:val="auto"/>
                <w:sz w:val="24"/>
                <w:highlight w:val="none"/>
                <w:vertAlign w:val="subscript"/>
              </w:rPr>
              <w:t>2</w:t>
            </w:r>
            <w:r>
              <w:rPr>
                <w:rFonts w:hint="default"/>
                <w:color w:val="auto"/>
                <w:sz w:val="24"/>
                <w:highlight w:val="none"/>
              </w:rPr>
              <w:t>、PM</w:t>
            </w:r>
            <w:r>
              <w:rPr>
                <w:rFonts w:hint="default"/>
                <w:color w:val="auto"/>
                <w:sz w:val="24"/>
                <w:highlight w:val="none"/>
                <w:vertAlign w:val="subscript"/>
              </w:rPr>
              <w:t>10</w:t>
            </w:r>
            <w:r>
              <w:rPr>
                <w:rFonts w:hint="default"/>
                <w:color w:val="auto"/>
                <w:sz w:val="24"/>
                <w:highlight w:val="none"/>
              </w:rPr>
              <w:t>、CO、PM</w:t>
            </w:r>
            <w:r>
              <w:rPr>
                <w:rFonts w:hint="default"/>
                <w:color w:val="auto"/>
                <w:sz w:val="24"/>
                <w:highlight w:val="none"/>
                <w:vertAlign w:val="subscript"/>
              </w:rPr>
              <w:t>2.5</w:t>
            </w:r>
            <w:r>
              <w:rPr>
                <w:rFonts w:hint="default"/>
                <w:color w:val="auto"/>
                <w:sz w:val="24"/>
                <w:highlight w:val="none"/>
              </w:rPr>
              <w:t>、O</w:t>
            </w:r>
            <w:r>
              <w:rPr>
                <w:rFonts w:hint="default"/>
                <w:color w:val="auto"/>
                <w:sz w:val="24"/>
                <w:highlight w:val="none"/>
                <w:vertAlign w:val="subscript"/>
              </w:rPr>
              <w:t>3</w:t>
            </w:r>
            <w:r>
              <w:rPr>
                <w:rFonts w:hint="default"/>
                <w:color w:val="auto"/>
                <w:sz w:val="24"/>
                <w:highlight w:val="none"/>
              </w:rPr>
              <w:t>大气污染基本污染物均能够满足《环境空气质量标准》（GB3095-2012）及2018年修改单（二级）的限值要求，故本项目所在区域的环境空气质量为达标区。</w:t>
            </w:r>
            <w:r>
              <w:rPr>
                <w:rFonts w:hint="default"/>
                <w:color w:val="auto"/>
                <w:kern w:val="0"/>
                <w:sz w:val="24"/>
                <w:highlight w:val="none"/>
              </w:rPr>
              <w:t>项目所在地声环境质量符合《声环境质量标准》（GB3096-2008）中3类标准要求。</w:t>
            </w:r>
          </w:p>
          <w:p w14:paraId="158C38D2">
            <w:pPr>
              <w:keepNext w:val="0"/>
              <w:keepLines w:val="0"/>
              <w:suppressLineNumbers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kern w:val="0"/>
                <w:sz w:val="24"/>
                <w:highlight w:val="none"/>
              </w:rPr>
              <w:t>根据工程分析，</w:t>
            </w:r>
            <w:r>
              <w:rPr>
                <w:rFonts w:hint="eastAsia"/>
                <w:color w:val="auto"/>
                <w:kern w:val="0"/>
                <w:sz w:val="24"/>
                <w:highlight w:val="none"/>
                <w:lang w:val="en-US" w:eastAsia="zh-CN"/>
              </w:rPr>
              <w:t>本项目废气主要为颗粒物，不涉及非甲烷总烃的产生和排放，</w:t>
            </w:r>
            <w:r>
              <w:rPr>
                <w:rFonts w:hint="default"/>
                <w:color w:val="auto"/>
                <w:kern w:val="0"/>
                <w:sz w:val="24"/>
                <w:highlight w:val="none"/>
              </w:rPr>
              <w:t>项目各产污环节采取了完善的污染防治措施，严格控制污染物排放。本项目采取完善的污染源处理措施，各类污染物均能够实现达标排放，在严格落实废气、废水、噪声、固废等污染防治措施的前提下，项目的实施不会对周围环境产生明显影响。</w:t>
            </w:r>
            <w:r>
              <w:rPr>
                <w:rFonts w:hint="default"/>
                <w:color w:val="auto"/>
                <w:sz w:val="24"/>
                <w:highlight w:val="none"/>
              </w:rPr>
              <w:t>本项目不会突破区域环境质量底线。</w:t>
            </w:r>
          </w:p>
          <w:p w14:paraId="3F6C9AC5">
            <w:pPr>
              <w:keepNext w:val="0"/>
              <w:keepLines w:val="0"/>
              <w:widowControl/>
              <w:suppressLineNumbers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（3）资源利用上线</w:t>
            </w:r>
          </w:p>
          <w:p w14:paraId="447A402C">
            <w:pPr>
              <w:keepNext w:val="0"/>
              <w:keepLines w:val="0"/>
              <w:widowControl/>
              <w:suppressLineNumbers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本项目租用现有厂房进行建设，运营过程中有一定量的水、电等资源消耗，项目资源消耗量相对较少，现有市政供电能力可满足项目使用，不会超过区域能源使用上限；项目不使用高能耗工艺及生产设备，资源利用符合国家相关要求，满足资源利用上线要求。</w:t>
            </w:r>
          </w:p>
          <w:p w14:paraId="20FCB233">
            <w:pPr>
              <w:keepNext w:val="0"/>
              <w:keepLines w:val="0"/>
              <w:widowControl/>
              <w:suppressLineNumbers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4</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项目符合区域污染控制要求，不在区域环境准入负面清单范围内</w:t>
            </w:r>
            <w:r>
              <w:rPr>
                <w:rFonts w:hint="eastAsia" w:ascii="Times New Roman" w:hAnsi="Times New Roman" w:eastAsia="宋体" w:cs="Times New Roman"/>
                <w:color w:val="auto"/>
                <w:sz w:val="24"/>
                <w:highlight w:val="none"/>
              </w:rPr>
              <w:t>。</w:t>
            </w:r>
          </w:p>
          <w:p w14:paraId="45B0EEEC">
            <w:pPr>
              <w:pStyle w:val="33"/>
              <w:keepNext w:val="0"/>
              <w:keepLines w:val="0"/>
              <w:suppressLineNumbers w:val="0"/>
              <w:spacing w:beforeAutospacing="0" w:afterAutospacing="0"/>
              <w:ind w:left="0"/>
              <w:rPr>
                <w:rFonts w:hint="eastAsia"/>
                <w:snapToGrid w:val="0"/>
                <w:color w:val="auto"/>
                <w:szCs w:val="24"/>
                <w:highlight w:val="none"/>
              </w:rPr>
            </w:pPr>
          </w:p>
          <w:p w14:paraId="254EEAB3">
            <w:pPr>
              <w:pStyle w:val="7"/>
              <w:suppressLineNumbers w:val="0"/>
              <w:spacing w:before="0" w:beforeAutospacing="0" w:after="0" w:afterAutospacing="0"/>
              <w:ind w:left="0" w:right="0"/>
              <w:rPr>
                <w:rFonts w:hint="default"/>
                <w:highlight w:val="none"/>
              </w:rPr>
            </w:pPr>
          </w:p>
          <w:p w14:paraId="194D1CAE">
            <w:pPr>
              <w:keepNext w:val="0"/>
              <w:keepLines w:val="0"/>
              <w:suppressLineNumbers w:val="0"/>
              <w:spacing w:before="0" w:beforeAutospacing="0" w:after="0" w:afterAutospacing="0"/>
              <w:ind w:left="0" w:right="0"/>
              <w:rPr>
                <w:rFonts w:hint="default"/>
                <w:color w:val="auto"/>
                <w:highlight w:val="none"/>
              </w:rPr>
            </w:pPr>
          </w:p>
          <w:p w14:paraId="3E5203FF">
            <w:pPr>
              <w:keepNext w:val="0"/>
              <w:keepLines w:val="0"/>
              <w:suppressLineNumbers w:val="0"/>
              <w:spacing w:before="0" w:beforeAutospacing="0" w:after="0" w:afterAutospacing="0"/>
              <w:ind w:left="0" w:right="0"/>
              <w:rPr>
                <w:rFonts w:hint="default"/>
                <w:color w:val="auto"/>
                <w:highlight w:val="none"/>
              </w:rPr>
            </w:pPr>
          </w:p>
          <w:p w14:paraId="6B701DBC">
            <w:pPr>
              <w:keepNext w:val="0"/>
              <w:keepLines w:val="0"/>
              <w:suppressLineNumbers w:val="0"/>
              <w:spacing w:before="0" w:beforeAutospacing="0" w:after="0" w:afterAutospacing="0"/>
              <w:ind w:left="0" w:right="0"/>
              <w:rPr>
                <w:rFonts w:hint="default"/>
                <w:color w:val="auto"/>
                <w:highlight w:val="none"/>
              </w:rPr>
            </w:pPr>
          </w:p>
          <w:p w14:paraId="473195CE">
            <w:pPr>
              <w:keepNext w:val="0"/>
              <w:keepLines w:val="0"/>
              <w:suppressLineNumbers w:val="0"/>
              <w:spacing w:before="0" w:beforeAutospacing="0" w:after="0" w:afterAutospacing="0"/>
              <w:ind w:left="0" w:right="0"/>
              <w:rPr>
                <w:rFonts w:hint="default"/>
                <w:color w:val="auto"/>
                <w:highlight w:val="none"/>
              </w:rPr>
            </w:pPr>
          </w:p>
          <w:p w14:paraId="0C1CE80B">
            <w:pPr>
              <w:keepNext w:val="0"/>
              <w:keepLines w:val="0"/>
              <w:suppressLineNumbers w:val="0"/>
              <w:spacing w:before="0" w:beforeAutospacing="0" w:after="0" w:afterAutospacing="0"/>
              <w:ind w:left="0" w:right="0"/>
              <w:rPr>
                <w:rFonts w:hint="default"/>
                <w:color w:val="auto"/>
                <w:highlight w:val="none"/>
              </w:rPr>
            </w:pPr>
          </w:p>
          <w:p w14:paraId="0F95447C">
            <w:pPr>
              <w:keepNext w:val="0"/>
              <w:keepLines w:val="0"/>
              <w:suppressLineNumbers w:val="0"/>
              <w:spacing w:before="0" w:beforeAutospacing="0" w:after="0" w:afterAutospacing="0"/>
              <w:ind w:left="0" w:right="0"/>
              <w:rPr>
                <w:rFonts w:hint="default"/>
                <w:color w:val="auto"/>
                <w:highlight w:val="none"/>
              </w:rPr>
            </w:pPr>
          </w:p>
          <w:p w14:paraId="39D23B4A">
            <w:pPr>
              <w:keepNext w:val="0"/>
              <w:keepLines w:val="0"/>
              <w:suppressLineNumbers w:val="0"/>
              <w:spacing w:before="0" w:beforeAutospacing="0" w:after="0" w:afterAutospacing="0"/>
              <w:ind w:left="0" w:right="0"/>
              <w:rPr>
                <w:rFonts w:hint="default"/>
                <w:color w:val="auto"/>
                <w:highlight w:val="none"/>
              </w:rPr>
            </w:pPr>
          </w:p>
          <w:p w14:paraId="731AD0F8">
            <w:pPr>
              <w:keepNext w:val="0"/>
              <w:keepLines w:val="0"/>
              <w:suppressLineNumbers w:val="0"/>
              <w:spacing w:before="0" w:beforeAutospacing="0" w:after="0" w:afterAutospacing="0"/>
              <w:ind w:left="0" w:right="0"/>
              <w:rPr>
                <w:rFonts w:hint="default"/>
                <w:color w:val="auto"/>
                <w:highlight w:val="none"/>
              </w:rPr>
            </w:pPr>
          </w:p>
          <w:p w14:paraId="3AA6F8F4">
            <w:pPr>
              <w:keepNext w:val="0"/>
              <w:keepLines w:val="0"/>
              <w:suppressLineNumbers w:val="0"/>
              <w:spacing w:before="0" w:beforeAutospacing="0" w:after="0" w:afterAutospacing="0"/>
              <w:ind w:left="0" w:right="0"/>
              <w:rPr>
                <w:rFonts w:hint="default"/>
                <w:color w:val="auto"/>
                <w:highlight w:val="none"/>
              </w:rPr>
            </w:pPr>
          </w:p>
          <w:p w14:paraId="40F2663F">
            <w:pPr>
              <w:keepNext w:val="0"/>
              <w:keepLines w:val="0"/>
              <w:suppressLineNumbers w:val="0"/>
              <w:spacing w:before="0" w:beforeAutospacing="0" w:after="0" w:afterAutospacing="0"/>
              <w:ind w:left="0" w:right="0"/>
              <w:rPr>
                <w:rFonts w:hint="default"/>
                <w:color w:val="auto"/>
                <w:highlight w:val="none"/>
              </w:rPr>
            </w:pPr>
          </w:p>
          <w:p w14:paraId="63E074AB">
            <w:pPr>
              <w:keepNext w:val="0"/>
              <w:keepLines w:val="0"/>
              <w:suppressLineNumbers w:val="0"/>
              <w:spacing w:before="0" w:beforeAutospacing="0" w:after="0" w:afterAutospacing="0"/>
              <w:ind w:left="0" w:right="0"/>
              <w:rPr>
                <w:rFonts w:hint="default"/>
                <w:color w:val="auto"/>
                <w:highlight w:val="none"/>
              </w:rPr>
            </w:pPr>
          </w:p>
          <w:p w14:paraId="09E010E5">
            <w:pPr>
              <w:keepNext w:val="0"/>
              <w:keepLines w:val="0"/>
              <w:suppressLineNumbers w:val="0"/>
              <w:spacing w:before="0" w:beforeAutospacing="0" w:after="0" w:afterAutospacing="0"/>
              <w:ind w:left="0" w:right="0"/>
              <w:rPr>
                <w:rFonts w:hint="default"/>
                <w:color w:val="auto"/>
                <w:highlight w:val="none"/>
              </w:rPr>
            </w:pPr>
          </w:p>
          <w:p w14:paraId="6FAB5D00">
            <w:pPr>
              <w:keepNext w:val="0"/>
              <w:keepLines w:val="0"/>
              <w:suppressLineNumbers w:val="0"/>
              <w:spacing w:before="0" w:beforeAutospacing="0" w:after="0" w:afterAutospacing="0"/>
              <w:ind w:left="0" w:right="0"/>
              <w:rPr>
                <w:rFonts w:hint="default"/>
                <w:color w:val="auto"/>
                <w:highlight w:val="none"/>
              </w:rPr>
            </w:pPr>
          </w:p>
          <w:p w14:paraId="66CA6F22">
            <w:pPr>
              <w:keepNext w:val="0"/>
              <w:keepLines w:val="0"/>
              <w:suppressLineNumbers w:val="0"/>
              <w:spacing w:before="0" w:beforeAutospacing="0" w:after="0" w:afterAutospacing="0"/>
              <w:ind w:left="0" w:right="0"/>
              <w:rPr>
                <w:rFonts w:hint="default"/>
                <w:color w:val="auto"/>
                <w:highlight w:val="none"/>
              </w:rPr>
            </w:pPr>
          </w:p>
          <w:p w14:paraId="4531C769">
            <w:pPr>
              <w:keepNext w:val="0"/>
              <w:keepLines w:val="0"/>
              <w:suppressLineNumbers w:val="0"/>
              <w:spacing w:before="0" w:beforeAutospacing="0" w:after="0" w:afterAutospacing="0"/>
              <w:ind w:left="0" w:right="0"/>
              <w:rPr>
                <w:rFonts w:hint="default"/>
                <w:color w:val="auto"/>
                <w:highlight w:val="none"/>
              </w:rPr>
            </w:pPr>
          </w:p>
          <w:p w14:paraId="1702E838">
            <w:pPr>
              <w:keepNext w:val="0"/>
              <w:keepLines w:val="0"/>
              <w:suppressLineNumbers w:val="0"/>
              <w:spacing w:before="0" w:beforeAutospacing="0" w:after="0" w:afterAutospacing="0"/>
              <w:ind w:left="0" w:right="0"/>
              <w:rPr>
                <w:rFonts w:hint="default"/>
                <w:color w:val="auto"/>
                <w:highlight w:val="none"/>
              </w:rPr>
            </w:pPr>
          </w:p>
          <w:p w14:paraId="69C31C23">
            <w:pPr>
              <w:keepNext w:val="0"/>
              <w:keepLines w:val="0"/>
              <w:suppressLineNumbers w:val="0"/>
              <w:spacing w:before="0" w:beforeAutospacing="0" w:after="0" w:afterAutospacing="0"/>
              <w:ind w:left="0" w:right="0"/>
              <w:rPr>
                <w:rFonts w:hint="default"/>
                <w:color w:val="auto"/>
                <w:highlight w:val="none"/>
              </w:rPr>
            </w:pPr>
          </w:p>
          <w:p w14:paraId="19F0EFC2">
            <w:pPr>
              <w:keepNext w:val="0"/>
              <w:keepLines w:val="0"/>
              <w:suppressLineNumbers w:val="0"/>
              <w:spacing w:before="0" w:beforeAutospacing="0" w:after="0" w:afterAutospacing="0"/>
              <w:ind w:left="0" w:right="0"/>
              <w:rPr>
                <w:rFonts w:hint="default"/>
                <w:color w:val="auto"/>
                <w:highlight w:val="none"/>
              </w:rPr>
            </w:pPr>
          </w:p>
          <w:p w14:paraId="19817936">
            <w:pPr>
              <w:keepNext w:val="0"/>
              <w:keepLines w:val="0"/>
              <w:suppressLineNumbers w:val="0"/>
              <w:spacing w:before="0" w:beforeAutospacing="0" w:after="0" w:afterAutospacing="0"/>
              <w:ind w:left="0" w:right="0"/>
              <w:rPr>
                <w:rFonts w:hint="default"/>
                <w:color w:val="auto"/>
                <w:highlight w:val="none"/>
              </w:rPr>
            </w:pPr>
          </w:p>
          <w:p w14:paraId="23F132D5">
            <w:pPr>
              <w:keepNext w:val="0"/>
              <w:keepLines w:val="0"/>
              <w:suppressLineNumbers w:val="0"/>
              <w:spacing w:before="0" w:beforeAutospacing="0" w:after="0" w:afterAutospacing="0"/>
              <w:ind w:left="0" w:right="0"/>
              <w:rPr>
                <w:rFonts w:hint="default"/>
                <w:color w:val="auto"/>
                <w:highlight w:val="none"/>
              </w:rPr>
            </w:pPr>
          </w:p>
          <w:p w14:paraId="32871B75">
            <w:pPr>
              <w:keepNext w:val="0"/>
              <w:keepLines w:val="0"/>
              <w:suppressLineNumbers w:val="0"/>
              <w:spacing w:before="0" w:beforeAutospacing="0" w:after="0" w:afterAutospacing="0"/>
              <w:ind w:left="0" w:right="0"/>
              <w:rPr>
                <w:rFonts w:hint="default"/>
                <w:color w:val="auto"/>
                <w:highlight w:val="none"/>
              </w:rPr>
            </w:pPr>
          </w:p>
          <w:p w14:paraId="21558388">
            <w:pPr>
              <w:keepNext w:val="0"/>
              <w:keepLines w:val="0"/>
              <w:suppressLineNumbers w:val="0"/>
              <w:spacing w:before="0" w:beforeAutospacing="0" w:after="0" w:afterAutospacing="0"/>
              <w:ind w:left="0" w:right="0"/>
              <w:rPr>
                <w:rFonts w:hint="default"/>
                <w:color w:val="auto"/>
                <w:highlight w:val="none"/>
              </w:rPr>
            </w:pPr>
          </w:p>
          <w:p w14:paraId="01F783A9">
            <w:pPr>
              <w:keepNext w:val="0"/>
              <w:keepLines w:val="0"/>
              <w:suppressLineNumbers w:val="0"/>
              <w:spacing w:before="0" w:beforeAutospacing="0" w:after="0" w:afterAutospacing="0"/>
              <w:ind w:left="0" w:right="0"/>
              <w:rPr>
                <w:rFonts w:hint="default"/>
                <w:color w:val="auto"/>
                <w:highlight w:val="none"/>
              </w:rPr>
            </w:pPr>
          </w:p>
          <w:p w14:paraId="544CD7E0">
            <w:pPr>
              <w:keepNext w:val="0"/>
              <w:keepLines w:val="0"/>
              <w:suppressLineNumbers w:val="0"/>
              <w:spacing w:before="0" w:beforeAutospacing="0" w:after="0" w:afterAutospacing="0"/>
              <w:ind w:left="0" w:right="0"/>
              <w:rPr>
                <w:rFonts w:hint="default"/>
                <w:color w:val="auto"/>
                <w:highlight w:val="none"/>
              </w:rPr>
            </w:pPr>
          </w:p>
          <w:p w14:paraId="230296A0">
            <w:pPr>
              <w:keepNext w:val="0"/>
              <w:keepLines w:val="0"/>
              <w:suppressLineNumbers w:val="0"/>
              <w:spacing w:before="0" w:beforeAutospacing="0" w:after="0" w:afterAutospacing="0"/>
              <w:ind w:left="0" w:right="0"/>
              <w:rPr>
                <w:rFonts w:hint="default"/>
                <w:color w:val="auto"/>
                <w:highlight w:val="none"/>
              </w:rPr>
            </w:pPr>
          </w:p>
          <w:p w14:paraId="35594155">
            <w:pPr>
              <w:keepNext w:val="0"/>
              <w:keepLines w:val="0"/>
              <w:suppressLineNumbers w:val="0"/>
              <w:spacing w:before="0" w:beforeAutospacing="0" w:after="0" w:afterAutospacing="0"/>
              <w:ind w:left="0" w:right="0"/>
              <w:rPr>
                <w:rFonts w:hint="default"/>
                <w:color w:val="auto"/>
                <w:highlight w:val="none"/>
              </w:rPr>
            </w:pPr>
            <w:r>
              <w:rPr>
                <w:rFonts w:hint="eastAsia" w:eastAsiaTheme="minorEastAsia"/>
                <w:color w:val="auto"/>
                <w:highlight w:val="none"/>
              </w:rPr>
              <w:drawing>
                <wp:anchor distT="0" distB="0" distL="114300" distR="114300" simplePos="0" relativeHeight="251663360" behindDoc="1" locked="0" layoutInCell="1" allowOverlap="1">
                  <wp:simplePos x="0" y="0"/>
                  <wp:positionH relativeFrom="column">
                    <wp:posOffset>55880</wp:posOffset>
                  </wp:positionH>
                  <wp:positionV relativeFrom="paragraph">
                    <wp:posOffset>46355</wp:posOffset>
                  </wp:positionV>
                  <wp:extent cx="5160010" cy="6750685"/>
                  <wp:effectExtent l="0" t="0" r="2540" b="12065"/>
                  <wp:wrapNone/>
                  <wp:docPr id="18" name="图片 18" descr="秦皇岛市生态红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秦皇岛市生态红线图"/>
                          <pic:cNvPicPr>
                            <a:picLocks noChangeAspect="1"/>
                          </pic:cNvPicPr>
                        </pic:nvPicPr>
                        <pic:blipFill>
                          <a:blip r:embed="rId20"/>
                          <a:stretch>
                            <a:fillRect/>
                          </a:stretch>
                        </pic:blipFill>
                        <pic:spPr>
                          <a:xfrm>
                            <a:off x="0" y="0"/>
                            <a:ext cx="5160010" cy="6750685"/>
                          </a:xfrm>
                          <a:prstGeom prst="rect">
                            <a:avLst/>
                          </a:prstGeom>
                        </pic:spPr>
                      </pic:pic>
                    </a:graphicData>
                  </a:graphic>
                </wp:anchor>
              </w:drawing>
            </w:r>
          </w:p>
          <w:p w14:paraId="3C2C1F1D">
            <w:pPr>
              <w:keepNext w:val="0"/>
              <w:keepLines w:val="0"/>
              <w:suppressLineNumbers w:val="0"/>
              <w:spacing w:before="0" w:beforeAutospacing="0" w:after="0" w:afterAutospacing="0"/>
              <w:ind w:left="0" w:right="0"/>
              <w:rPr>
                <w:rFonts w:hint="default"/>
                <w:color w:val="auto"/>
                <w:highlight w:val="none"/>
              </w:rPr>
            </w:pPr>
          </w:p>
          <w:p w14:paraId="03B26F16">
            <w:pPr>
              <w:keepNext w:val="0"/>
              <w:keepLines w:val="0"/>
              <w:suppressLineNumbers w:val="0"/>
              <w:spacing w:before="0" w:beforeAutospacing="0" w:after="0" w:afterAutospacing="0"/>
              <w:ind w:left="0" w:right="0"/>
              <w:rPr>
                <w:rFonts w:hint="default"/>
                <w:color w:val="auto"/>
                <w:highlight w:val="none"/>
              </w:rPr>
            </w:pPr>
          </w:p>
          <w:p w14:paraId="6F5C4068">
            <w:pPr>
              <w:keepNext w:val="0"/>
              <w:keepLines w:val="0"/>
              <w:suppressLineNumbers w:val="0"/>
              <w:spacing w:before="0" w:beforeAutospacing="0" w:after="0" w:afterAutospacing="0"/>
              <w:ind w:left="0" w:right="0"/>
              <w:rPr>
                <w:rFonts w:hint="default"/>
                <w:color w:val="auto"/>
                <w:highlight w:val="none"/>
              </w:rPr>
            </w:pPr>
          </w:p>
          <w:p w14:paraId="411FD66F">
            <w:pPr>
              <w:keepNext w:val="0"/>
              <w:keepLines w:val="0"/>
              <w:suppressLineNumbers w:val="0"/>
              <w:spacing w:before="0" w:beforeAutospacing="0" w:after="0" w:afterAutospacing="0"/>
              <w:ind w:left="0" w:right="0"/>
              <w:rPr>
                <w:rFonts w:hint="default"/>
                <w:color w:val="auto"/>
                <w:highlight w:val="none"/>
              </w:rPr>
            </w:pPr>
          </w:p>
          <w:p w14:paraId="7D723584">
            <w:pPr>
              <w:keepNext w:val="0"/>
              <w:keepLines w:val="0"/>
              <w:suppressLineNumbers w:val="0"/>
              <w:spacing w:before="0" w:beforeAutospacing="0" w:after="0" w:afterAutospacing="0"/>
              <w:ind w:left="0" w:right="0"/>
              <w:rPr>
                <w:rFonts w:hint="default"/>
                <w:color w:val="auto"/>
                <w:highlight w:val="none"/>
              </w:rPr>
            </w:pPr>
          </w:p>
          <w:p w14:paraId="217BF6F3">
            <w:pPr>
              <w:keepNext w:val="0"/>
              <w:keepLines w:val="0"/>
              <w:suppressLineNumbers w:val="0"/>
              <w:spacing w:before="0" w:beforeAutospacing="0" w:after="0" w:afterAutospacing="0"/>
              <w:ind w:left="0" w:right="0"/>
              <w:rPr>
                <w:rFonts w:hint="default"/>
                <w:color w:val="auto"/>
                <w:highlight w:val="none"/>
              </w:rPr>
            </w:pPr>
          </w:p>
          <w:p w14:paraId="2BBD94A1">
            <w:pPr>
              <w:keepNext w:val="0"/>
              <w:keepLines w:val="0"/>
              <w:suppressLineNumbers w:val="0"/>
              <w:spacing w:before="0" w:beforeAutospacing="0" w:after="0" w:afterAutospacing="0"/>
              <w:ind w:left="0" w:right="0"/>
              <w:rPr>
                <w:rFonts w:hint="default"/>
                <w:color w:val="auto"/>
                <w:highlight w:val="none"/>
              </w:rPr>
            </w:pPr>
          </w:p>
          <w:p w14:paraId="22FBC1DA">
            <w:pPr>
              <w:keepNext w:val="0"/>
              <w:keepLines w:val="0"/>
              <w:suppressLineNumbers w:val="0"/>
              <w:spacing w:before="0" w:beforeAutospacing="0" w:after="0" w:afterAutospacing="0"/>
              <w:ind w:left="0" w:right="0"/>
              <w:rPr>
                <w:rFonts w:hint="default"/>
                <w:color w:val="auto"/>
                <w:highlight w:val="none"/>
              </w:rPr>
            </w:pPr>
          </w:p>
          <w:p w14:paraId="2F48881C">
            <w:pPr>
              <w:keepNext w:val="0"/>
              <w:keepLines w:val="0"/>
              <w:suppressLineNumbers w:val="0"/>
              <w:spacing w:before="0" w:beforeAutospacing="0" w:after="0" w:afterAutospacing="0"/>
              <w:ind w:left="0" w:right="0"/>
              <w:rPr>
                <w:rFonts w:hint="default"/>
                <w:color w:val="auto"/>
                <w:highlight w:val="none"/>
              </w:rPr>
            </w:pPr>
          </w:p>
          <w:p w14:paraId="0C9A71B1">
            <w:pPr>
              <w:keepNext w:val="0"/>
              <w:keepLines w:val="0"/>
              <w:suppressLineNumbers w:val="0"/>
              <w:spacing w:before="0" w:beforeAutospacing="0" w:after="0" w:afterAutospacing="0"/>
              <w:ind w:left="0" w:right="0"/>
              <w:rPr>
                <w:rFonts w:hint="default"/>
                <w:color w:val="auto"/>
                <w:highlight w:val="none"/>
              </w:rPr>
            </w:pPr>
          </w:p>
          <w:p w14:paraId="1C084CC6">
            <w:pPr>
              <w:keepNext w:val="0"/>
              <w:keepLines w:val="0"/>
              <w:suppressLineNumbers w:val="0"/>
              <w:spacing w:before="0" w:beforeAutospacing="0" w:after="0" w:afterAutospacing="0"/>
              <w:ind w:left="0" w:right="0"/>
              <w:rPr>
                <w:rFonts w:hint="default"/>
                <w:color w:val="auto"/>
                <w:highlight w:val="none"/>
              </w:rPr>
            </w:pPr>
          </w:p>
          <w:p w14:paraId="0576079F">
            <w:pPr>
              <w:keepNext w:val="0"/>
              <w:keepLines w:val="0"/>
              <w:suppressLineNumbers w:val="0"/>
              <w:spacing w:before="0" w:beforeAutospacing="0" w:after="0" w:afterAutospacing="0"/>
              <w:ind w:left="0" w:right="0"/>
              <w:rPr>
                <w:rFonts w:hint="default"/>
                <w:color w:val="auto"/>
                <w:highlight w:val="none"/>
              </w:rPr>
            </w:pPr>
            <w:r>
              <w:rPr>
                <w:rFonts w:hint="default"/>
                <w:color w:val="auto"/>
                <w:highlight w:val="none"/>
              </w:rPr>
              <mc:AlternateContent>
                <mc:Choice Requires="wps">
                  <w:drawing>
                    <wp:anchor distT="0" distB="0" distL="114300" distR="114300" simplePos="0" relativeHeight="251664384" behindDoc="0" locked="0" layoutInCell="1" allowOverlap="1">
                      <wp:simplePos x="0" y="0"/>
                      <wp:positionH relativeFrom="column">
                        <wp:posOffset>3803650</wp:posOffset>
                      </wp:positionH>
                      <wp:positionV relativeFrom="paragraph">
                        <wp:posOffset>59690</wp:posOffset>
                      </wp:positionV>
                      <wp:extent cx="190500" cy="142875"/>
                      <wp:effectExtent l="12700" t="12700" r="25400" b="15875"/>
                      <wp:wrapNone/>
                      <wp:docPr id="19" name="矩形 19"/>
                      <wp:cNvGraphicFramePr/>
                      <a:graphic xmlns:a="http://schemas.openxmlformats.org/drawingml/2006/main">
                        <a:graphicData uri="http://schemas.microsoft.com/office/word/2010/wordprocessingShape">
                          <wps:wsp>
                            <wps:cNvSpPr/>
                            <wps:spPr>
                              <a:xfrm>
                                <a:off x="5137785" y="6085205"/>
                                <a:ext cx="190500" cy="14287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9.5pt;margin-top:4.7pt;height:11.25pt;width:15pt;z-index:251664384;v-text-anchor:middle;mso-width-relative:page;mso-height-relative:page;" filled="f" stroked="t" coordsize="21600,21600" o:gfxdata="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BmJDgTXAAAACAEAAA8AAAAAAAAAAQAgAAAAIgAAAGRycy9kb3ducmV2Lnht&#10;bFBLAQIUABQAAAAIAIdO4kB+njCwbAIAAMEEAAAOAAAAAAAAAAEAIAAAACYBAABkcnMvZTJvRG9j&#10;LnhtbFBLBQYAAAAABgAGAFkBAAAEBgAAAAA=&#10;">
                      <v:fill on="f" focussize="0,0"/>
                      <v:stroke weight="2pt" color="#FF0000 [2404]" joinstyle="round"/>
                      <v:imagedata o:title=""/>
                      <o:lock v:ext="edit" aspectratio="f"/>
                    </v:rect>
                  </w:pict>
                </mc:Fallback>
              </mc:AlternateContent>
            </w:r>
          </w:p>
          <w:p w14:paraId="1C0F2160">
            <w:pPr>
              <w:keepNext w:val="0"/>
              <w:keepLines w:val="0"/>
              <w:suppressLineNumbers w:val="0"/>
              <w:spacing w:before="0" w:beforeAutospacing="0" w:after="0" w:afterAutospacing="0"/>
              <w:ind w:left="0" w:right="0"/>
              <w:rPr>
                <w:rFonts w:hint="default"/>
                <w:color w:val="auto"/>
                <w:highlight w:val="none"/>
              </w:rPr>
            </w:pPr>
            <w:r>
              <w:rPr>
                <w:rFonts w:hint="default"/>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1459230</wp:posOffset>
                      </wp:positionH>
                      <wp:positionV relativeFrom="paragraph">
                        <wp:posOffset>1905</wp:posOffset>
                      </wp:positionV>
                      <wp:extent cx="2451735" cy="1216660"/>
                      <wp:effectExtent l="5715" t="11430" r="19050" b="29210"/>
                      <wp:wrapNone/>
                      <wp:docPr id="20" name="直接连接符 20"/>
                      <wp:cNvGraphicFramePr/>
                      <a:graphic xmlns:a="http://schemas.openxmlformats.org/drawingml/2006/main">
                        <a:graphicData uri="http://schemas.microsoft.com/office/word/2010/wordprocessingShape">
                          <wps:wsp>
                            <wps:cNvCnPr/>
                            <wps:spPr>
                              <a:xfrm flipV="1">
                                <a:off x="3766185" y="6156960"/>
                                <a:ext cx="2451735" cy="121666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114.9pt;margin-top:0.15pt;height:95.8pt;width:193.05pt;z-index:251665408;mso-width-relative:page;mso-height-relative:page;" filled="f" stroked="t" coordsize="21600,21600" o:gfxdata="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QANPzVAAAACAEAAA8AAAAAAAAAAQAgAAAAIgAAAGRycy9kb3ducmV2LnhtbFBLAQIU&#10;ABQAAAAIAIdO4kC7PiRr9gEAALkDAAAOAAAAAAAAAAEAIAAAACQBAABkcnMvZTJvRG9jLnhtbFBL&#10;BQYAAAAABgAGAFkBAACMBQAAAAA=&#10;">
                      <v:fill on="f" focussize="0,0"/>
                      <v:stroke weight="2pt" color="#FF0000 [3204]" joinstyle="round"/>
                      <v:imagedata o:title=""/>
                      <o:lock v:ext="edit" aspectratio="f"/>
                    </v:line>
                  </w:pict>
                </mc:Fallback>
              </mc:AlternateContent>
            </w:r>
          </w:p>
          <w:p w14:paraId="0B8025B6">
            <w:pPr>
              <w:keepNext w:val="0"/>
              <w:keepLines w:val="0"/>
              <w:suppressLineNumbers w:val="0"/>
              <w:spacing w:before="0" w:beforeAutospacing="0" w:after="0" w:afterAutospacing="0"/>
              <w:ind w:left="0" w:right="0"/>
              <w:rPr>
                <w:rFonts w:hint="default"/>
                <w:color w:val="auto"/>
                <w:highlight w:val="none"/>
              </w:rPr>
            </w:pPr>
          </w:p>
          <w:p w14:paraId="4E3375AF">
            <w:pPr>
              <w:keepNext w:val="0"/>
              <w:keepLines w:val="0"/>
              <w:suppressLineNumbers w:val="0"/>
              <w:spacing w:before="0" w:beforeAutospacing="0" w:after="0" w:afterAutospacing="0"/>
              <w:ind w:left="0" w:right="0"/>
              <w:rPr>
                <w:rFonts w:hint="default"/>
                <w:color w:val="auto"/>
                <w:highlight w:val="none"/>
              </w:rPr>
            </w:pPr>
          </w:p>
          <w:p w14:paraId="273687C1">
            <w:pPr>
              <w:keepNext w:val="0"/>
              <w:keepLines w:val="0"/>
              <w:suppressLineNumbers w:val="0"/>
              <w:spacing w:before="0" w:beforeAutospacing="0" w:after="0" w:afterAutospacing="0"/>
              <w:ind w:left="0" w:right="0"/>
              <w:rPr>
                <w:rFonts w:hint="default"/>
                <w:color w:val="auto"/>
                <w:highlight w:val="none"/>
              </w:rPr>
            </w:pPr>
          </w:p>
          <w:p w14:paraId="7202AE08">
            <w:pPr>
              <w:keepNext w:val="0"/>
              <w:keepLines w:val="0"/>
              <w:suppressLineNumbers w:val="0"/>
              <w:spacing w:before="0" w:beforeAutospacing="0" w:after="0" w:afterAutospacing="0"/>
              <w:ind w:left="0" w:right="0"/>
              <w:rPr>
                <w:rFonts w:hint="default"/>
                <w:color w:val="auto"/>
                <w:highlight w:val="none"/>
              </w:rPr>
            </w:pPr>
          </w:p>
          <w:p w14:paraId="6BDB6E93">
            <w:pPr>
              <w:keepNext w:val="0"/>
              <w:keepLines w:val="0"/>
              <w:suppressLineNumbers w:val="0"/>
              <w:spacing w:before="0" w:beforeAutospacing="0" w:after="0" w:afterAutospacing="0"/>
              <w:ind w:left="0" w:right="0"/>
              <w:rPr>
                <w:rFonts w:hint="default"/>
                <w:color w:val="auto"/>
                <w:highlight w:val="none"/>
              </w:rPr>
            </w:pPr>
          </w:p>
          <w:p w14:paraId="5C2DFF67">
            <w:pPr>
              <w:keepNext w:val="0"/>
              <w:keepLines w:val="0"/>
              <w:suppressLineNumbers w:val="0"/>
              <w:spacing w:before="0" w:beforeAutospacing="0" w:after="0" w:afterAutospacing="0"/>
              <w:ind w:left="0" w:right="0"/>
              <w:rPr>
                <w:rFonts w:hint="default"/>
                <w:color w:val="auto"/>
                <w:highlight w:val="none"/>
              </w:rPr>
            </w:pPr>
          </w:p>
          <w:p w14:paraId="6BABF1F3">
            <w:pPr>
              <w:keepNext w:val="0"/>
              <w:keepLines w:val="0"/>
              <w:suppressLineNumbers w:val="0"/>
              <w:spacing w:before="0" w:beforeAutospacing="0" w:after="0" w:afterAutospacing="0"/>
              <w:ind w:left="0" w:right="0"/>
              <w:rPr>
                <w:rFonts w:hint="default"/>
                <w:color w:val="auto"/>
                <w:highlight w:val="none"/>
              </w:rPr>
            </w:pPr>
          </w:p>
          <w:p w14:paraId="3E6DE7D2">
            <w:pPr>
              <w:keepNext w:val="0"/>
              <w:keepLines w:val="0"/>
              <w:suppressLineNumbers w:val="0"/>
              <w:spacing w:before="0" w:beforeAutospacing="0" w:after="0" w:afterAutospacing="0"/>
              <w:ind w:left="0" w:right="0"/>
              <w:rPr>
                <w:rFonts w:hint="default"/>
                <w:color w:val="auto"/>
                <w:highlight w:val="none"/>
              </w:rPr>
            </w:pPr>
            <w:r>
              <w:rPr>
                <w:rFonts w:hint="default"/>
                <w:b/>
                <w:bCs/>
                <w:color w:val="auto"/>
                <w:highlight w:val="none"/>
              </w:rPr>
              <w:drawing>
                <wp:anchor distT="0" distB="0" distL="114300" distR="114300" simplePos="0" relativeHeight="251659264" behindDoc="0" locked="0" layoutInCell="1" allowOverlap="1">
                  <wp:simplePos x="0" y="0"/>
                  <wp:positionH relativeFrom="column">
                    <wp:posOffset>351790</wp:posOffset>
                  </wp:positionH>
                  <wp:positionV relativeFrom="paragraph">
                    <wp:posOffset>15875</wp:posOffset>
                  </wp:positionV>
                  <wp:extent cx="2214245" cy="1542415"/>
                  <wp:effectExtent l="19050" t="19050" r="33655" b="19685"/>
                  <wp:wrapNone/>
                  <wp:docPr id="46" name="图片 46" descr="C:\Users\Administrator\Desktop\微信截图_20220824090629.png微信截图_20220824090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Administrator\Desktop\微信截图_20220824090629.png微信截图_20220824090629"/>
                          <pic:cNvPicPr>
                            <a:picLocks noChangeAspect="1"/>
                          </pic:cNvPicPr>
                        </pic:nvPicPr>
                        <pic:blipFill>
                          <a:blip r:embed="rId21"/>
                          <a:srcRect/>
                          <a:stretch>
                            <a:fillRect/>
                          </a:stretch>
                        </pic:blipFill>
                        <pic:spPr>
                          <a:xfrm>
                            <a:off x="0" y="0"/>
                            <a:ext cx="2214245" cy="1542415"/>
                          </a:xfrm>
                          <a:prstGeom prst="rect">
                            <a:avLst/>
                          </a:prstGeom>
                          <a:ln w="19050">
                            <a:solidFill>
                              <a:srgbClr val="FF0000"/>
                            </a:solidFill>
                          </a:ln>
                        </pic:spPr>
                      </pic:pic>
                    </a:graphicData>
                  </a:graphic>
                </wp:anchor>
              </w:drawing>
            </w:r>
          </w:p>
          <w:p w14:paraId="19633689">
            <w:pPr>
              <w:keepNext w:val="0"/>
              <w:keepLines w:val="0"/>
              <w:suppressLineNumbers w:val="0"/>
              <w:spacing w:before="0" w:beforeAutospacing="0" w:after="0" w:afterAutospacing="0"/>
              <w:ind w:left="0" w:right="0"/>
              <w:rPr>
                <w:rFonts w:hint="default"/>
                <w:color w:val="auto"/>
                <w:highlight w:val="none"/>
              </w:rPr>
            </w:pPr>
          </w:p>
          <w:p w14:paraId="0E2FF80B">
            <w:pPr>
              <w:keepNext w:val="0"/>
              <w:keepLines w:val="0"/>
              <w:suppressLineNumbers w:val="0"/>
              <w:spacing w:before="0" w:beforeAutospacing="0" w:after="0" w:afterAutospacing="0"/>
              <w:ind w:left="0" w:right="0"/>
              <w:rPr>
                <w:rFonts w:hint="default"/>
                <w:color w:val="auto"/>
                <w:highlight w:val="none"/>
              </w:rPr>
            </w:pPr>
          </w:p>
          <w:p w14:paraId="614B8267">
            <w:pPr>
              <w:keepNext w:val="0"/>
              <w:keepLines w:val="0"/>
              <w:suppressLineNumbers w:val="0"/>
              <w:spacing w:before="0" w:beforeAutospacing="0" w:after="0" w:afterAutospacing="0"/>
              <w:ind w:left="0" w:right="0"/>
              <w:rPr>
                <w:rFonts w:hint="default"/>
                <w:color w:val="auto"/>
                <w:highlight w:val="none"/>
              </w:rPr>
            </w:pPr>
          </w:p>
          <w:p w14:paraId="28D6A367">
            <w:pPr>
              <w:keepNext w:val="0"/>
              <w:keepLines w:val="0"/>
              <w:suppressLineNumbers w:val="0"/>
              <w:spacing w:before="0" w:beforeAutospacing="0" w:after="0" w:afterAutospacing="0"/>
              <w:ind w:left="0" w:right="0"/>
              <w:rPr>
                <w:rFonts w:hint="default"/>
                <w:color w:val="auto"/>
                <w:highlight w:val="none"/>
              </w:rPr>
            </w:pPr>
          </w:p>
          <w:p w14:paraId="4D47752B">
            <w:pPr>
              <w:keepNext w:val="0"/>
              <w:keepLines w:val="0"/>
              <w:suppressLineNumbers w:val="0"/>
              <w:spacing w:before="0" w:beforeAutospacing="0" w:after="0" w:afterAutospacing="0"/>
              <w:ind w:left="0" w:right="0"/>
              <w:rPr>
                <w:rFonts w:hint="default"/>
                <w:color w:val="auto"/>
                <w:highlight w:val="none"/>
              </w:rPr>
            </w:pPr>
          </w:p>
          <w:p w14:paraId="4966C8CA">
            <w:pPr>
              <w:keepNext w:val="0"/>
              <w:keepLines w:val="0"/>
              <w:suppressLineNumbers w:val="0"/>
              <w:spacing w:before="0" w:beforeAutospacing="0" w:after="0" w:afterAutospacing="0"/>
              <w:ind w:left="0" w:right="0"/>
              <w:rPr>
                <w:rFonts w:hint="default"/>
                <w:color w:val="auto"/>
                <w:highlight w:val="none"/>
              </w:rPr>
            </w:pPr>
          </w:p>
          <w:p w14:paraId="0731C2E1">
            <w:pPr>
              <w:keepNext w:val="0"/>
              <w:keepLines w:val="0"/>
              <w:suppressLineNumbers w:val="0"/>
              <w:spacing w:before="0" w:beforeAutospacing="0" w:after="0" w:afterAutospacing="0"/>
              <w:ind w:left="0" w:right="0"/>
              <w:rPr>
                <w:rFonts w:hint="default"/>
                <w:color w:val="auto"/>
                <w:highlight w:val="none"/>
              </w:rPr>
            </w:pPr>
            <w:r>
              <w:rPr>
                <w:rFonts w:hint="default"/>
                <w:color w:val="auto"/>
                <w:highlight w:val="none"/>
              </w:rPr>
              <mc:AlternateContent>
                <mc:Choice Requires="wps">
                  <w:drawing>
                    <wp:anchor distT="0" distB="0" distL="114300" distR="114300" simplePos="0" relativeHeight="251660288" behindDoc="0" locked="0" layoutInCell="1" allowOverlap="1">
                      <wp:simplePos x="0" y="0"/>
                      <wp:positionH relativeFrom="column">
                        <wp:posOffset>1963420</wp:posOffset>
                      </wp:positionH>
                      <wp:positionV relativeFrom="paragraph">
                        <wp:posOffset>79375</wp:posOffset>
                      </wp:positionV>
                      <wp:extent cx="931545" cy="370840"/>
                      <wp:effectExtent l="12700" t="205740" r="27305" b="13970"/>
                      <wp:wrapNone/>
                      <wp:docPr id="42" name="圆角矩形标注 42"/>
                      <wp:cNvGraphicFramePr/>
                      <a:graphic xmlns:a="http://schemas.openxmlformats.org/drawingml/2006/main">
                        <a:graphicData uri="http://schemas.microsoft.com/office/word/2010/wordprocessingShape">
                          <wps:wsp>
                            <wps:cNvSpPr/>
                            <wps:spPr>
                              <a:xfrm>
                                <a:off x="0" y="0"/>
                                <a:ext cx="931545" cy="370840"/>
                              </a:xfrm>
                              <a:prstGeom prst="wedgeRoundRectCallout">
                                <a:avLst>
                                  <a:gd name="adj1" fmla="val -49398"/>
                                  <a:gd name="adj2" fmla="val -102054"/>
                                  <a:gd name="adj3" fmla="val 16667"/>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F58166A">
                                  <w:r>
                                    <w:rPr>
                                      <w:rFonts w:hint="eastAsia"/>
                                    </w:rPr>
                                    <w:t>项目</w:t>
                                  </w:r>
                                  <w:r>
                                    <w:t>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54.6pt;margin-top:6.25pt;height:29.2pt;width:73.35pt;z-index:251660288;v-text-anchor:middle;mso-width-relative:page;mso-height-relative:page;" fillcolor="#C7EDCC [3212]" filled="t" stroked="t" coordsize="21600,21600" o:gfxdata="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3Ep4RtsAAAAJAQAA&#10;DwAAAAAAAAABACAAAAAiAAAAZHJzL2Rvd25yZXYueG1sUEsBAhQAFAAAAAgAh07iQAQHeC/BAgAA&#10;fgUAAA4AAAAAAAAAAQAgAAAAKgEAAGRycy9lMm9Eb2MueG1sUEsFBgAAAAAGAAYAWQEAAF0GAAAA&#10;AA==&#10;" adj="130,-11244,14400">
                      <v:fill on="t" focussize="0,0"/>
                      <v:stroke weight="2pt" color="#000000 [3213]" joinstyle="round"/>
                      <v:imagedata o:title=""/>
                      <o:lock v:ext="edit" aspectratio="f"/>
                      <v:textbox>
                        <w:txbxContent>
                          <w:p w14:paraId="7F58166A">
                            <w:r>
                              <w:rPr>
                                <w:rFonts w:hint="eastAsia"/>
                              </w:rPr>
                              <w:t>项目</w:t>
                            </w:r>
                            <w:r>
                              <w:t>所在地</w:t>
                            </w:r>
                          </w:p>
                        </w:txbxContent>
                      </v:textbox>
                    </v:shape>
                  </w:pict>
                </mc:Fallback>
              </mc:AlternateContent>
            </w:r>
          </w:p>
          <w:p w14:paraId="1B0DEEE2">
            <w:pPr>
              <w:keepNext w:val="0"/>
              <w:keepLines w:val="0"/>
              <w:suppressLineNumbers w:val="0"/>
              <w:spacing w:before="0" w:beforeAutospacing="0" w:after="0" w:afterAutospacing="0"/>
              <w:ind w:left="0" w:right="0"/>
              <w:rPr>
                <w:rFonts w:hint="default"/>
                <w:color w:val="auto"/>
                <w:highlight w:val="none"/>
              </w:rPr>
            </w:pPr>
          </w:p>
          <w:p w14:paraId="00920FF9">
            <w:pPr>
              <w:keepNext w:val="0"/>
              <w:keepLines w:val="0"/>
              <w:suppressLineNumbers w:val="0"/>
              <w:spacing w:before="0" w:beforeAutospacing="0" w:after="0" w:afterAutospacing="0"/>
              <w:ind w:left="0" w:right="0"/>
              <w:rPr>
                <w:rFonts w:hint="default"/>
                <w:color w:val="auto"/>
                <w:highlight w:val="none"/>
              </w:rPr>
            </w:pPr>
          </w:p>
          <w:p w14:paraId="7E7B7BF3">
            <w:pPr>
              <w:keepNext w:val="0"/>
              <w:keepLines w:val="0"/>
              <w:suppressLineNumbers w:val="0"/>
              <w:spacing w:before="0" w:beforeAutospacing="0" w:after="0" w:afterAutospacing="0"/>
              <w:ind w:left="0" w:right="0"/>
              <w:rPr>
                <w:rFonts w:hint="default"/>
                <w:color w:val="auto"/>
                <w:highlight w:val="none"/>
              </w:rPr>
            </w:pPr>
          </w:p>
          <w:p w14:paraId="624F17D5">
            <w:pPr>
              <w:keepNext w:val="0"/>
              <w:keepLines w:val="0"/>
              <w:suppressLineNumbers w:val="0"/>
              <w:spacing w:before="0" w:beforeAutospacing="0" w:after="0" w:afterAutospacing="0"/>
              <w:ind w:left="0" w:right="0"/>
              <w:rPr>
                <w:rFonts w:hint="default"/>
                <w:color w:val="auto"/>
                <w:highlight w:val="none"/>
              </w:rPr>
            </w:pPr>
          </w:p>
          <w:p w14:paraId="5D34CFCE">
            <w:pPr>
              <w:keepNext w:val="0"/>
              <w:keepLines w:val="0"/>
              <w:suppressLineNumbers w:val="0"/>
              <w:spacing w:before="0" w:beforeAutospacing="0" w:after="0" w:afterAutospacing="0"/>
              <w:ind w:left="0" w:right="0"/>
              <w:rPr>
                <w:rFonts w:hint="default"/>
                <w:color w:val="auto"/>
                <w:highlight w:val="none"/>
              </w:rPr>
            </w:pPr>
          </w:p>
          <w:p w14:paraId="714042A2">
            <w:pPr>
              <w:keepNext w:val="0"/>
              <w:keepLines w:val="0"/>
              <w:suppressLineNumbers w:val="0"/>
              <w:spacing w:before="0" w:beforeAutospacing="0" w:after="0" w:afterAutospacing="0"/>
              <w:ind w:left="0" w:right="0"/>
              <w:jc w:val="center"/>
              <w:rPr>
                <w:rFonts w:hint="default"/>
                <w:b/>
                <w:bCs/>
                <w:snapToGrid w:val="0"/>
                <w:color w:val="auto"/>
                <w:kern w:val="0"/>
                <w:sz w:val="24"/>
                <w:highlight w:val="none"/>
              </w:rPr>
            </w:pPr>
          </w:p>
          <w:p w14:paraId="537F2461">
            <w:pPr>
              <w:keepNext w:val="0"/>
              <w:keepLines w:val="0"/>
              <w:suppressLineNumbers w:val="0"/>
              <w:spacing w:before="0" w:beforeAutospacing="0" w:after="0" w:afterAutospacing="0"/>
              <w:ind w:left="0" w:right="0"/>
              <w:jc w:val="center"/>
              <w:rPr>
                <w:rFonts w:hint="default"/>
                <w:b/>
                <w:bCs/>
                <w:snapToGrid w:val="0"/>
                <w:color w:val="auto"/>
                <w:kern w:val="0"/>
                <w:sz w:val="24"/>
                <w:highlight w:val="none"/>
              </w:rPr>
            </w:pPr>
          </w:p>
          <w:p w14:paraId="1CF94B78">
            <w:pPr>
              <w:keepNext w:val="0"/>
              <w:keepLines w:val="0"/>
              <w:suppressLineNumbers w:val="0"/>
              <w:spacing w:before="0" w:beforeAutospacing="0" w:after="0" w:afterAutospacing="0"/>
              <w:ind w:left="0" w:right="0"/>
              <w:jc w:val="center"/>
              <w:rPr>
                <w:rFonts w:hint="default"/>
                <w:b/>
                <w:bCs/>
                <w:snapToGrid w:val="0"/>
                <w:color w:val="auto"/>
                <w:kern w:val="0"/>
                <w:sz w:val="24"/>
                <w:highlight w:val="none"/>
              </w:rPr>
            </w:pPr>
          </w:p>
          <w:p w14:paraId="357293A9">
            <w:pPr>
              <w:keepNext w:val="0"/>
              <w:keepLines w:val="0"/>
              <w:suppressLineNumbers w:val="0"/>
              <w:spacing w:before="0" w:beforeAutospacing="0" w:after="0" w:afterAutospacing="0"/>
              <w:ind w:left="0" w:right="0"/>
              <w:jc w:val="center"/>
              <w:rPr>
                <w:rFonts w:hint="default"/>
                <w:b/>
                <w:bCs/>
                <w:snapToGrid w:val="0"/>
                <w:color w:val="auto"/>
                <w:kern w:val="0"/>
                <w:sz w:val="24"/>
                <w:highlight w:val="none"/>
              </w:rPr>
            </w:pPr>
          </w:p>
          <w:p w14:paraId="5BC1C58F">
            <w:pPr>
              <w:keepNext w:val="0"/>
              <w:keepLines w:val="0"/>
              <w:suppressLineNumbers w:val="0"/>
              <w:spacing w:before="0" w:beforeAutospacing="0" w:after="0" w:afterAutospacing="0"/>
              <w:ind w:left="0" w:right="0"/>
              <w:jc w:val="center"/>
              <w:rPr>
                <w:rFonts w:hint="default"/>
                <w:b/>
                <w:bCs/>
                <w:snapToGrid w:val="0"/>
                <w:color w:val="auto"/>
                <w:kern w:val="0"/>
                <w:sz w:val="24"/>
                <w:highlight w:val="none"/>
              </w:rPr>
            </w:pPr>
          </w:p>
          <w:p w14:paraId="514CF67E">
            <w:pPr>
              <w:keepNext w:val="0"/>
              <w:keepLines w:val="0"/>
              <w:suppressLineNumbers w:val="0"/>
              <w:spacing w:before="0" w:beforeAutospacing="0" w:after="0" w:afterAutospacing="0"/>
              <w:ind w:left="0" w:right="0"/>
              <w:jc w:val="center"/>
              <w:rPr>
                <w:rFonts w:hint="default"/>
                <w:b/>
                <w:bCs/>
                <w:snapToGrid w:val="0"/>
                <w:color w:val="auto"/>
                <w:kern w:val="0"/>
                <w:sz w:val="24"/>
                <w:highlight w:val="none"/>
              </w:rPr>
            </w:pPr>
          </w:p>
          <w:p w14:paraId="7FDA06C0">
            <w:pPr>
              <w:keepNext w:val="0"/>
              <w:keepLines w:val="0"/>
              <w:suppressLineNumbers w:val="0"/>
              <w:spacing w:before="0" w:beforeAutospacing="0" w:after="0" w:afterAutospacing="0"/>
              <w:ind w:left="0" w:right="0"/>
              <w:jc w:val="center"/>
              <w:rPr>
                <w:rFonts w:hint="default"/>
                <w:b/>
                <w:bCs/>
                <w:snapToGrid w:val="0"/>
                <w:color w:val="auto"/>
                <w:kern w:val="0"/>
                <w:sz w:val="24"/>
                <w:highlight w:val="none"/>
              </w:rPr>
            </w:pPr>
          </w:p>
          <w:p w14:paraId="3A8658EB">
            <w:pPr>
              <w:keepNext w:val="0"/>
              <w:keepLines w:val="0"/>
              <w:suppressLineNumbers w:val="0"/>
              <w:spacing w:before="0" w:beforeAutospacing="0" w:after="0" w:afterAutospacing="0"/>
              <w:ind w:left="0" w:right="0"/>
              <w:jc w:val="center"/>
              <w:rPr>
                <w:rFonts w:hint="default"/>
                <w:b/>
                <w:bCs/>
                <w:snapToGrid w:val="0"/>
                <w:color w:val="auto"/>
                <w:kern w:val="0"/>
                <w:sz w:val="24"/>
                <w:highlight w:val="none"/>
              </w:rPr>
            </w:pPr>
          </w:p>
          <w:p w14:paraId="694571B4">
            <w:pPr>
              <w:keepNext w:val="0"/>
              <w:keepLines w:val="0"/>
              <w:suppressLineNumbers w:val="0"/>
              <w:spacing w:before="0" w:beforeAutospacing="0" w:after="0" w:afterAutospacing="0"/>
              <w:ind w:left="0" w:right="0"/>
              <w:jc w:val="center"/>
              <w:rPr>
                <w:rFonts w:hint="default"/>
                <w:b/>
                <w:bCs/>
                <w:snapToGrid w:val="0"/>
                <w:color w:val="auto"/>
                <w:kern w:val="0"/>
                <w:sz w:val="24"/>
                <w:highlight w:val="none"/>
              </w:rPr>
            </w:pPr>
          </w:p>
          <w:p w14:paraId="05AE52A1">
            <w:pPr>
              <w:keepNext w:val="0"/>
              <w:keepLines w:val="0"/>
              <w:suppressLineNumbers w:val="0"/>
              <w:spacing w:before="0" w:beforeAutospacing="0" w:after="0" w:afterAutospacing="0"/>
              <w:ind w:left="0" w:right="0"/>
              <w:jc w:val="center"/>
              <w:rPr>
                <w:rFonts w:hint="default"/>
                <w:b/>
                <w:bCs/>
                <w:snapToGrid w:val="0"/>
                <w:color w:val="auto"/>
                <w:kern w:val="0"/>
                <w:sz w:val="24"/>
                <w:highlight w:val="none"/>
              </w:rPr>
            </w:pPr>
          </w:p>
          <w:p w14:paraId="03AC79E4">
            <w:pPr>
              <w:keepNext w:val="0"/>
              <w:keepLines w:val="0"/>
              <w:suppressLineNumbers w:val="0"/>
              <w:spacing w:before="0" w:beforeAutospacing="0" w:after="0" w:afterAutospacing="0"/>
              <w:ind w:left="0" w:right="0"/>
              <w:jc w:val="center"/>
              <w:rPr>
                <w:rFonts w:hint="default"/>
                <w:b/>
                <w:bCs/>
                <w:snapToGrid w:val="0"/>
                <w:color w:val="auto"/>
                <w:kern w:val="0"/>
                <w:sz w:val="24"/>
                <w:highlight w:val="none"/>
              </w:rPr>
            </w:pPr>
          </w:p>
          <w:p w14:paraId="0D49745C">
            <w:pPr>
              <w:keepNext w:val="0"/>
              <w:keepLines w:val="0"/>
              <w:suppressLineNumbers w:val="0"/>
              <w:spacing w:before="0" w:beforeAutospacing="0" w:after="0" w:afterAutospacing="0"/>
              <w:ind w:left="0" w:right="0"/>
              <w:jc w:val="center"/>
              <w:rPr>
                <w:rFonts w:hint="default"/>
                <w:color w:val="auto"/>
                <w:highlight w:val="none"/>
              </w:rPr>
            </w:pPr>
            <w:r>
              <w:rPr>
                <w:rFonts w:hint="default"/>
                <w:b/>
                <w:bCs/>
                <w:snapToGrid w:val="0"/>
                <w:color w:val="auto"/>
                <w:kern w:val="0"/>
                <w:sz w:val="24"/>
                <w:highlight w:val="none"/>
              </w:rPr>
              <w:t>图</w:t>
            </w:r>
            <w:r>
              <w:rPr>
                <w:rFonts w:hint="eastAsia"/>
                <w:b/>
                <w:bCs/>
                <w:snapToGrid w:val="0"/>
                <w:color w:val="auto"/>
                <w:kern w:val="0"/>
                <w:sz w:val="24"/>
                <w:highlight w:val="none"/>
              </w:rPr>
              <w:t>1-</w:t>
            </w:r>
            <w:r>
              <w:rPr>
                <w:rFonts w:hint="eastAsia"/>
                <w:b/>
                <w:bCs/>
                <w:snapToGrid w:val="0"/>
                <w:color w:val="auto"/>
                <w:kern w:val="0"/>
                <w:sz w:val="24"/>
                <w:highlight w:val="none"/>
                <w:lang w:val="en-US" w:eastAsia="zh-CN"/>
              </w:rPr>
              <w:t>1</w:t>
            </w:r>
            <w:r>
              <w:rPr>
                <w:rFonts w:hint="default"/>
                <w:b/>
                <w:bCs/>
                <w:snapToGrid w:val="0"/>
                <w:color w:val="auto"/>
                <w:kern w:val="0"/>
                <w:sz w:val="24"/>
                <w:highlight w:val="none"/>
              </w:rPr>
              <w:t xml:space="preserve">  </w:t>
            </w:r>
            <w:r>
              <w:rPr>
                <w:rFonts w:hint="eastAsia"/>
                <w:b/>
                <w:bCs/>
                <w:snapToGrid w:val="0"/>
                <w:color w:val="auto"/>
                <w:kern w:val="0"/>
                <w:sz w:val="24"/>
                <w:highlight w:val="none"/>
              </w:rPr>
              <w:t>秦皇岛市</w:t>
            </w:r>
            <w:r>
              <w:rPr>
                <w:rFonts w:hint="default"/>
                <w:b/>
                <w:bCs/>
                <w:snapToGrid w:val="0"/>
                <w:color w:val="auto"/>
                <w:kern w:val="0"/>
                <w:sz w:val="24"/>
                <w:highlight w:val="none"/>
              </w:rPr>
              <w:t>生态保护红线分布图</w:t>
            </w:r>
          </w:p>
          <w:p w14:paraId="6C3B4981">
            <w:pPr>
              <w:pStyle w:val="34"/>
              <w:keepNext w:val="0"/>
              <w:keepLines w:val="0"/>
              <w:suppressLineNumbers w:val="0"/>
              <w:spacing w:before="0" w:beforeAutospacing="0" w:after="0" w:afterAutospacing="0"/>
              <w:ind w:left="0" w:leftChars="0" w:right="0" w:firstLine="0" w:firstLineChars="0"/>
              <w:jc w:val="center"/>
              <w:rPr>
                <w:rFonts w:hint="default"/>
                <w:b/>
                <w:bCs/>
                <w:snapToGrid w:val="0"/>
                <w:color w:val="auto"/>
                <w:szCs w:val="24"/>
                <w:highlight w:val="none"/>
              </w:rPr>
            </w:pPr>
          </w:p>
          <w:p w14:paraId="59143BCB">
            <w:pPr>
              <w:pStyle w:val="34"/>
              <w:keepNext w:val="0"/>
              <w:keepLines w:val="0"/>
              <w:suppressLineNumbers w:val="0"/>
              <w:spacing w:before="0" w:beforeAutospacing="0" w:after="0" w:afterAutospacing="0"/>
              <w:ind w:left="0" w:leftChars="0" w:right="0" w:firstLine="0" w:firstLineChars="0"/>
              <w:jc w:val="center"/>
              <w:rPr>
                <w:rFonts w:hint="default"/>
                <w:b/>
                <w:bCs/>
                <w:snapToGrid w:val="0"/>
                <w:color w:val="auto"/>
                <w:szCs w:val="24"/>
                <w:highlight w:val="none"/>
              </w:rPr>
            </w:pPr>
          </w:p>
          <w:p w14:paraId="5601B521">
            <w:pPr>
              <w:pStyle w:val="34"/>
              <w:keepNext w:val="0"/>
              <w:keepLines w:val="0"/>
              <w:suppressLineNumbers w:val="0"/>
              <w:spacing w:before="0" w:beforeAutospacing="0" w:after="0" w:afterAutospacing="0"/>
              <w:ind w:left="0" w:leftChars="0" w:right="0" w:firstLine="0" w:firstLineChars="0"/>
              <w:jc w:val="center"/>
              <w:rPr>
                <w:rFonts w:hint="default"/>
                <w:b/>
                <w:bCs/>
                <w:snapToGrid w:val="0"/>
                <w:color w:val="auto"/>
                <w:szCs w:val="24"/>
                <w:highlight w:val="none"/>
              </w:rPr>
            </w:pPr>
            <w:r>
              <w:rPr>
                <w:rFonts w:hint="default"/>
                <w:b/>
                <w:bCs/>
                <w:snapToGrid w:val="0"/>
                <w:color w:val="auto"/>
                <w:szCs w:val="24"/>
                <w:highlight w:val="none"/>
              </w:rPr>
              <w:t>表</w:t>
            </w:r>
            <w:r>
              <w:rPr>
                <w:rFonts w:hint="eastAsia"/>
                <w:b/>
                <w:bCs/>
                <w:snapToGrid w:val="0"/>
                <w:color w:val="auto"/>
                <w:szCs w:val="24"/>
                <w:highlight w:val="none"/>
              </w:rPr>
              <w:t>1-</w:t>
            </w:r>
            <w:r>
              <w:rPr>
                <w:rFonts w:hint="eastAsia"/>
                <w:b/>
                <w:bCs/>
                <w:snapToGrid w:val="0"/>
                <w:color w:val="auto"/>
                <w:szCs w:val="24"/>
                <w:highlight w:val="none"/>
                <w:lang w:val="en-US" w:eastAsia="zh-CN"/>
              </w:rPr>
              <w:t>6</w:t>
            </w:r>
            <w:r>
              <w:rPr>
                <w:rFonts w:hint="default"/>
                <w:b/>
                <w:bCs/>
                <w:snapToGrid w:val="0"/>
                <w:color w:val="auto"/>
                <w:szCs w:val="24"/>
                <w:highlight w:val="none"/>
              </w:rPr>
              <w:t xml:space="preserve">  </w:t>
            </w:r>
            <w:r>
              <w:rPr>
                <w:rFonts w:hint="eastAsia" w:ascii="宋体" w:hAnsi="宋体" w:cs="宋体"/>
                <w:b/>
                <w:bCs/>
                <w:color w:val="auto"/>
                <w:szCs w:val="21"/>
                <w:highlight w:val="none"/>
              </w:rPr>
              <w:t>环境准入负面清单分析对照表</w:t>
            </w:r>
          </w:p>
          <w:tbl>
            <w:tblPr>
              <w:tblStyle w:val="35"/>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518"/>
              <w:gridCol w:w="1583"/>
              <w:gridCol w:w="4801"/>
              <w:gridCol w:w="1512"/>
            </w:tblGrid>
            <w:tr w14:paraId="4D3562A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5" w:type="dxa"/>
                  <w:vAlign w:val="center"/>
                </w:tcPr>
                <w:p w14:paraId="1A8E8650">
                  <w:pPr>
                    <w:keepNext w:val="0"/>
                    <w:keepLines w:val="0"/>
                    <w:widowControl/>
                    <w:suppressLineNumbers w:val="0"/>
                    <w:suppressAutoHyphens/>
                    <w:spacing w:before="0" w:beforeAutospacing="0" w:after="0" w:afterAutospacing="0"/>
                    <w:ind w:left="-105" w:leftChars="-50" w:right="-105" w:rightChars="-50"/>
                    <w:jc w:val="center"/>
                    <w:rPr>
                      <w:rFonts w:hint="default"/>
                      <w:color w:val="auto"/>
                      <w:szCs w:val="21"/>
                      <w:highlight w:val="none"/>
                    </w:rPr>
                  </w:pPr>
                  <w:r>
                    <w:rPr>
                      <w:rFonts w:hint="default"/>
                      <w:color w:val="auto"/>
                      <w:szCs w:val="21"/>
                      <w:highlight w:val="none"/>
                    </w:rPr>
                    <w:t>序号</w:t>
                  </w:r>
                </w:p>
              </w:tc>
              <w:tc>
                <w:tcPr>
                  <w:tcW w:w="1513" w:type="dxa"/>
                  <w:vAlign w:val="center"/>
                </w:tcPr>
                <w:p w14:paraId="68C35DF0">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default"/>
                      <w:color w:val="auto"/>
                      <w:szCs w:val="21"/>
                      <w:highlight w:val="none"/>
                    </w:rPr>
                    <w:t>文件</w:t>
                  </w:r>
                </w:p>
              </w:tc>
              <w:tc>
                <w:tcPr>
                  <w:tcW w:w="4588" w:type="dxa"/>
                  <w:vAlign w:val="center"/>
                </w:tcPr>
                <w:p w14:paraId="29F7A6D7">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default"/>
                      <w:color w:val="auto"/>
                      <w:szCs w:val="21"/>
                      <w:highlight w:val="none"/>
                    </w:rPr>
                    <w:t>相关内容</w:t>
                  </w:r>
                </w:p>
              </w:tc>
              <w:tc>
                <w:tcPr>
                  <w:tcW w:w="1445" w:type="dxa"/>
                  <w:vAlign w:val="center"/>
                </w:tcPr>
                <w:p w14:paraId="1CC85A1A">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eastAsia"/>
                      <w:color w:val="auto"/>
                      <w:szCs w:val="21"/>
                      <w:highlight w:val="none"/>
                    </w:rPr>
                    <w:t>符合性</w:t>
                  </w:r>
                  <w:r>
                    <w:rPr>
                      <w:rFonts w:hint="default"/>
                      <w:color w:val="auto"/>
                      <w:szCs w:val="21"/>
                      <w:highlight w:val="none"/>
                    </w:rPr>
                    <w:t>分析</w:t>
                  </w:r>
                </w:p>
              </w:tc>
            </w:tr>
            <w:tr w14:paraId="79C07AD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5" w:type="dxa"/>
                  <w:vAlign w:val="center"/>
                </w:tcPr>
                <w:p w14:paraId="1417486A">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default"/>
                      <w:color w:val="auto"/>
                      <w:szCs w:val="21"/>
                      <w:highlight w:val="none"/>
                    </w:rPr>
                    <w:t>1</w:t>
                  </w:r>
                </w:p>
              </w:tc>
              <w:tc>
                <w:tcPr>
                  <w:tcW w:w="1513" w:type="dxa"/>
                  <w:vAlign w:val="center"/>
                </w:tcPr>
                <w:p w14:paraId="5C41BB82">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default"/>
                      <w:color w:val="auto"/>
                      <w:szCs w:val="21"/>
                      <w:highlight w:val="none"/>
                    </w:rPr>
                    <w:t>《市场准入负面清单（202</w:t>
                  </w:r>
                  <w:r>
                    <w:rPr>
                      <w:rFonts w:hint="eastAsia"/>
                      <w:color w:val="auto"/>
                      <w:szCs w:val="21"/>
                      <w:highlight w:val="none"/>
                      <w:lang w:val="en-US" w:eastAsia="zh-CN"/>
                    </w:rPr>
                    <w:t>5</w:t>
                  </w:r>
                  <w:r>
                    <w:rPr>
                      <w:rFonts w:hint="default"/>
                      <w:color w:val="auto"/>
                      <w:szCs w:val="21"/>
                      <w:highlight w:val="none"/>
                    </w:rPr>
                    <w:t>年版）》</w:t>
                  </w:r>
                </w:p>
              </w:tc>
              <w:tc>
                <w:tcPr>
                  <w:tcW w:w="4588" w:type="dxa"/>
                  <w:vAlign w:val="center"/>
                </w:tcPr>
                <w:p w14:paraId="60C3627C">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default"/>
                      <w:color w:val="auto"/>
                      <w:szCs w:val="21"/>
                      <w:highlight w:val="none"/>
                    </w:rPr>
                    <w:t>禁止准入类和</w:t>
                  </w:r>
                  <w:r>
                    <w:rPr>
                      <w:rFonts w:hint="eastAsia"/>
                      <w:color w:val="auto"/>
                      <w:szCs w:val="21"/>
                      <w:highlight w:val="none"/>
                      <w:lang w:eastAsia="zh-CN"/>
                    </w:rPr>
                    <w:t>许可</w:t>
                  </w:r>
                  <w:r>
                    <w:rPr>
                      <w:rFonts w:hint="default"/>
                      <w:color w:val="auto"/>
                      <w:szCs w:val="21"/>
                      <w:highlight w:val="none"/>
                    </w:rPr>
                    <w:t>准入类项目</w:t>
                  </w:r>
                </w:p>
              </w:tc>
              <w:tc>
                <w:tcPr>
                  <w:tcW w:w="1445" w:type="dxa"/>
                  <w:vAlign w:val="center"/>
                </w:tcPr>
                <w:p w14:paraId="42A61D57">
                  <w:pPr>
                    <w:keepNext w:val="0"/>
                    <w:keepLines w:val="0"/>
                    <w:widowControl/>
                    <w:suppressLineNumbers w:val="0"/>
                    <w:suppressAutoHyphens/>
                    <w:adjustRightInd w:val="0"/>
                    <w:spacing w:before="0" w:beforeAutospacing="0" w:after="0" w:afterAutospacing="0"/>
                    <w:ind w:left="-105" w:leftChars="-50" w:right="-105" w:rightChars="-50"/>
                    <w:jc w:val="center"/>
                    <w:rPr>
                      <w:rFonts w:hint="default"/>
                      <w:color w:val="auto"/>
                      <w:szCs w:val="21"/>
                      <w:highlight w:val="none"/>
                    </w:rPr>
                  </w:pPr>
                  <w:r>
                    <w:rPr>
                      <w:rFonts w:hint="default"/>
                      <w:color w:val="auto"/>
                      <w:szCs w:val="21"/>
                      <w:highlight w:val="none"/>
                    </w:rPr>
                    <w:t>不属于禁止准入类</w:t>
                  </w:r>
                  <w:r>
                    <w:rPr>
                      <w:rFonts w:hint="eastAsia"/>
                      <w:color w:val="auto"/>
                      <w:szCs w:val="21"/>
                      <w:highlight w:val="none"/>
                      <w:lang w:eastAsia="zh-CN"/>
                    </w:rPr>
                    <w:t>，属于许可</w:t>
                  </w:r>
                  <w:r>
                    <w:rPr>
                      <w:rFonts w:hint="default"/>
                      <w:color w:val="auto"/>
                      <w:szCs w:val="21"/>
                      <w:highlight w:val="none"/>
                    </w:rPr>
                    <w:t>准入类项目</w:t>
                  </w:r>
                </w:p>
              </w:tc>
            </w:tr>
            <w:tr w14:paraId="5EEAE0F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5" w:type="dxa"/>
                  <w:vAlign w:val="center"/>
                </w:tcPr>
                <w:p w14:paraId="68350A41">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default"/>
                      <w:color w:val="auto"/>
                      <w:szCs w:val="21"/>
                      <w:highlight w:val="none"/>
                    </w:rPr>
                    <w:t>2</w:t>
                  </w:r>
                </w:p>
              </w:tc>
              <w:tc>
                <w:tcPr>
                  <w:tcW w:w="1513" w:type="dxa"/>
                  <w:vAlign w:val="center"/>
                </w:tcPr>
                <w:p w14:paraId="55D7478A">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default"/>
                      <w:color w:val="auto"/>
                      <w:szCs w:val="21"/>
                      <w:highlight w:val="none"/>
                    </w:rPr>
                    <w:t>产业结构调整指导目录（20</w:t>
                  </w:r>
                  <w:r>
                    <w:rPr>
                      <w:rFonts w:hint="eastAsia"/>
                      <w:color w:val="auto"/>
                      <w:szCs w:val="21"/>
                      <w:highlight w:val="none"/>
                    </w:rPr>
                    <w:t>24</w:t>
                  </w:r>
                  <w:r>
                    <w:rPr>
                      <w:rFonts w:hint="default"/>
                      <w:color w:val="auto"/>
                      <w:szCs w:val="21"/>
                      <w:highlight w:val="none"/>
                    </w:rPr>
                    <w:t>年本）</w:t>
                  </w:r>
                </w:p>
              </w:tc>
              <w:tc>
                <w:tcPr>
                  <w:tcW w:w="4588" w:type="dxa"/>
                  <w:vAlign w:val="center"/>
                </w:tcPr>
                <w:p w14:paraId="3EE05080">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default"/>
                      <w:color w:val="auto"/>
                      <w:szCs w:val="21"/>
                      <w:highlight w:val="none"/>
                    </w:rPr>
                    <w:t>淘汰类或限制类建设项目</w:t>
                  </w:r>
                </w:p>
              </w:tc>
              <w:tc>
                <w:tcPr>
                  <w:tcW w:w="1445" w:type="dxa"/>
                  <w:vAlign w:val="center"/>
                </w:tcPr>
                <w:p w14:paraId="3E7D1066">
                  <w:pPr>
                    <w:keepNext w:val="0"/>
                    <w:keepLines w:val="0"/>
                    <w:widowControl/>
                    <w:suppressLineNumbers w:val="0"/>
                    <w:suppressAutoHyphens/>
                    <w:adjustRightInd w:val="0"/>
                    <w:spacing w:before="0" w:beforeAutospacing="0" w:after="0" w:afterAutospacing="0"/>
                    <w:ind w:left="-105" w:leftChars="-50" w:right="-105" w:rightChars="-50"/>
                    <w:jc w:val="center"/>
                    <w:rPr>
                      <w:rFonts w:hint="default"/>
                      <w:color w:val="auto"/>
                      <w:szCs w:val="21"/>
                      <w:highlight w:val="none"/>
                    </w:rPr>
                  </w:pPr>
                  <w:r>
                    <w:rPr>
                      <w:rFonts w:hint="default"/>
                      <w:color w:val="auto"/>
                      <w:szCs w:val="21"/>
                      <w:highlight w:val="none"/>
                    </w:rPr>
                    <w:t>不属于限制类和淘汰类建设项目</w:t>
                  </w:r>
                </w:p>
              </w:tc>
            </w:tr>
            <w:tr w14:paraId="48F95C2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5" w:type="dxa"/>
                  <w:vAlign w:val="center"/>
                </w:tcPr>
                <w:p w14:paraId="73C60BC5">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eastAsia"/>
                      <w:color w:val="auto"/>
                      <w:szCs w:val="21"/>
                      <w:highlight w:val="none"/>
                    </w:rPr>
                    <w:t>3</w:t>
                  </w:r>
                </w:p>
              </w:tc>
              <w:tc>
                <w:tcPr>
                  <w:tcW w:w="1513" w:type="dxa"/>
                  <w:vAlign w:val="center"/>
                </w:tcPr>
                <w:p w14:paraId="0FBE77CF">
                  <w:pPr>
                    <w:keepNext w:val="0"/>
                    <w:keepLines w:val="0"/>
                    <w:widowControl/>
                    <w:suppressLineNumbers w:val="0"/>
                    <w:suppressAutoHyphens/>
                    <w:spacing w:before="0" w:beforeAutospacing="0" w:after="0" w:afterAutospacing="0"/>
                    <w:ind w:left="-105" w:leftChars="-50" w:right="-105" w:rightChars="-50"/>
                    <w:jc w:val="center"/>
                    <w:rPr>
                      <w:rFonts w:hint="default"/>
                      <w:color w:val="auto"/>
                      <w:szCs w:val="21"/>
                      <w:highlight w:val="none"/>
                    </w:rPr>
                  </w:pPr>
                  <w:r>
                    <w:rPr>
                      <w:rFonts w:hint="default"/>
                      <w:color w:val="auto"/>
                      <w:szCs w:val="21"/>
                      <w:highlight w:val="none"/>
                    </w:rPr>
                    <w:t>《</w:t>
                  </w:r>
                  <w:r>
                    <w:rPr>
                      <w:rFonts w:hint="eastAsia"/>
                      <w:color w:val="auto"/>
                      <w:szCs w:val="21"/>
                      <w:highlight w:val="none"/>
                      <w:lang w:eastAsia="zh-CN"/>
                    </w:rPr>
                    <w:t>自然资源要素支撑产业高质量发展指导目录</w:t>
                  </w:r>
                  <w:r>
                    <w:rPr>
                      <w:rFonts w:hint="default"/>
                      <w:color w:val="auto"/>
                      <w:szCs w:val="21"/>
                      <w:highlight w:val="none"/>
                    </w:rPr>
                    <w:t>》</w:t>
                  </w:r>
                  <w:r>
                    <w:rPr>
                      <w:rFonts w:hint="eastAsia"/>
                      <w:color w:val="auto"/>
                      <w:szCs w:val="21"/>
                      <w:highlight w:val="none"/>
                    </w:rPr>
                    <w:t>（</w:t>
                  </w:r>
                  <w:r>
                    <w:rPr>
                      <w:rFonts w:hint="default"/>
                      <w:color w:val="auto"/>
                      <w:szCs w:val="21"/>
                      <w:highlight w:val="none"/>
                    </w:rPr>
                    <w:t>20</w:t>
                  </w:r>
                  <w:r>
                    <w:rPr>
                      <w:rFonts w:hint="eastAsia"/>
                      <w:color w:val="auto"/>
                      <w:szCs w:val="21"/>
                      <w:highlight w:val="none"/>
                      <w:lang w:val="en-US" w:eastAsia="zh-CN"/>
                    </w:rPr>
                    <w:t>24</w:t>
                  </w:r>
                  <w:r>
                    <w:rPr>
                      <w:rFonts w:hint="default"/>
                      <w:color w:val="auto"/>
                      <w:szCs w:val="21"/>
                      <w:highlight w:val="none"/>
                    </w:rPr>
                    <w:t>年本</w:t>
                  </w:r>
                  <w:r>
                    <w:rPr>
                      <w:rFonts w:hint="eastAsia"/>
                      <w:color w:val="auto"/>
                      <w:szCs w:val="21"/>
                      <w:highlight w:val="none"/>
                    </w:rPr>
                    <w:t>）</w:t>
                  </w:r>
                </w:p>
              </w:tc>
              <w:tc>
                <w:tcPr>
                  <w:tcW w:w="4588" w:type="dxa"/>
                  <w:vAlign w:val="center"/>
                </w:tcPr>
                <w:p w14:paraId="190701C4">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eastAsia"/>
                      <w:color w:val="auto"/>
                      <w:szCs w:val="21"/>
                      <w:highlight w:val="none"/>
                      <w:lang w:eastAsia="zh-CN"/>
                    </w:rPr>
                    <w:t>鼓励类、</w:t>
                  </w:r>
                  <w:r>
                    <w:rPr>
                      <w:rFonts w:hint="default"/>
                      <w:color w:val="auto"/>
                      <w:szCs w:val="21"/>
                      <w:highlight w:val="none"/>
                    </w:rPr>
                    <w:t>限制</w:t>
                  </w:r>
                  <w:r>
                    <w:rPr>
                      <w:rFonts w:hint="eastAsia"/>
                      <w:color w:val="auto"/>
                      <w:szCs w:val="21"/>
                      <w:highlight w:val="none"/>
                      <w:lang w:eastAsia="zh-CN"/>
                    </w:rPr>
                    <w:t>类</w:t>
                  </w:r>
                  <w:r>
                    <w:rPr>
                      <w:rFonts w:hint="default"/>
                      <w:color w:val="auto"/>
                      <w:szCs w:val="21"/>
                      <w:highlight w:val="none"/>
                    </w:rPr>
                    <w:t>和禁止类用地</w:t>
                  </w:r>
                </w:p>
              </w:tc>
              <w:tc>
                <w:tcPr>
                  <w:tcW w:w="1445" w:type="dxa"/>
                  <w:vAlign w:val="center"/>
                </w:tcPr>
                <w:p w14:paraId="3CDB6D35">
                  <w:pPr>
                    <w:keepNext w:val="0"/>
                    <w:keepLines w:val="0"/>
                    <w:widowControl/>
                    <w:suppressLineNumbers w:val="0"/>
                    <w:suppressAutoHyphens/>
                    <w:adjustRightInd w:val="0"/>
                    <w:spacing w:before="0" w:beforeAutospacing="0" w:after="0" w:afterAutospacing="0"/>
                    <w:ind w:left="-105" w:leftChars="-50" w:right="-105" w:rightChars="-50"/>
                    <w:jc w:val="center"/>
                    <w:rPr>
                      <w:rFonts w:hint="eastAsia" w:eastAsia="宋体"/>
                      <w:color w:val="auto"/>
                      <w:szCs w:val="21"/>
                      <w:highlight w:val="none"/>
                      <w:lang w:eastAsia="zh-CN"/>
                    </w:rPr>
                  </w:pPr>
                  <w:r>
                    <w:rPr>
                      <w:rFonts w:hint="default"/>
                      <w:color w:val="auto"/>
                      <w:szCs w:val="21"/>
                      <w:highlight w:val="none"/>
                    </w:rPr>
                    <w:t>不属于限制用地和禁止用地类</w:t>
                  </w:r>
                  <w:r>
                    <w:rPr>
                      <w:rFonts w:hint="eastAsia"/>
                      <w:color w:val="auto"/>
                      <w:szCs w:val="21"/>
                      <w:highlight w:val="none"/>
                      <w:lang w:eastAsia="zh-CN"/>
                    </w:rPr>
                    <w:t>、属于鼓励类</w:t>
                  </w:r>
                </w:p>
              </w:tc>
            </w:tr>
            <w:tr w14:paraId="1BCB3187">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5" w:type="dxa"/>
                  <w:vAlign w:val="center"/>
                </w:tcPr>
                <w:p w14:paraId="21510C1A">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eastAsia"/>
                      <w:color w:val="auto"/>
                      <w:szCs w:val="21"/>
                      <w:highlight w:val="none"/>
                    </w:rPr>
                    <w:t>4</w:t>
                  </w:r>
                </w:p>
              </w:tc>
              <w:tc>
                <w:tcPr>
                  <w:tcW w:w="1513" w:type="dxa"/>
                  <w:vAlign w:val="center"/>
                </w:tcPr>
                <w:p w14:paraId="3D4A034F">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default"/>
                      <w:color w:val="auto"/>
                      <w:szCs w:val="21"/>
                      <w:highlight w:val="none"/>
                    </w:rPr>
                    <w:t>《关于印发改善大气环境质量实施区域差别化环境准入的指导意见的通知》（冀环环评函【2019】308号）</w:t>
                  </w:r>
                </w:p>
              </w:tc>
              <w:tc>
                <w:tcPr>
                  <w:tcW w:w="4588" w:type="dxa"/>
                  <w:vAlign w:val="center"/>
                </w:tcPr>
                <w:p w14:paraId="5B6DBA93">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default"/>
                      <w:color w:val="auto"/>
                      <w:szCs w:val="21"/>
                      <w:highlight w:val="none"/>
                    </w:rPr>
                    <w:t>实施差别化环境准入负面清单管理：秦皇岛市属于重点生态功能区，提高金属制品加工等行业环境准入要求；推进煤电(热电联产及等量替代方式建设项目除外)、钢铁、水泥、焦化等行业转型升级或有序退出；禁止露天采矿、石灰和石膏制造、平板玻璃制造、氮肥制造等。</w:t>
                  </w:r>
                </w:p>
                <w:p w14:paraId="1B9B812E">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default"/>
                      <w:color w:val="auto"/>
                      <w:szCs w:val="21"/>
                      <w:highlight w:val="none"/>
                    </w:rPr>
                    <w:t>改善大气环境质量实施差别化环境管控要求汇总表：严格禁止新增NOx污染排放工业项目；加快“散乱污”企业和工业大院综合整治。实施机动车增长控制制度并尽快提高排放标准，重点加强落后车型淘汰，逐步推广新能源汽车。</w:t>
                  </w:r>
                </w:p>
                <w:p w14:paraId="37B78B24">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default"/>
                      <w:color w:val="auto"/>
                      <w:szCs w:val="21"/>
                      <w:highlight w:val="none"/>
                    </w:rPr>
                    <w:t>改善大气环境质量实施差别化环境准入管理名录：限制金属制品表面处理及热处理加工、矿山开采；禁止热电联产之外的燃煤发电、露天采矿（此前已取得采矿许可证的除外）、煤矿开采等项目。</w:t>
                  </w:r>
                </w:p>
              </w:tc>
              <w:tc>
                <w:tcPr>
                  <w:tcW w:w="1445" w:type="dxa"/>
                  <w:vAlign w:val="center"/>
                </w:tcPr>
                <w:p w14:paraId="1761BE38">
                  <w:pPr>
                    <w:keepNext w:val="0"/>
                    <w:keepLines w:val="0"/>
                    <w:widowControl/>
                    <w:suppressLineNumbers w:val="0"/>
                    <w:suppressAutoHyphens/>
                    <w:adjustRightInd w:val="0"/>
                    <w:spacing w:before="0" w:beforeAutospacing="0" w:after="0" w:afterAutospacing="0"/>
                    <w:ind w:left="-105" w:leftChars="-50" w:right="-105" w:rightChars="-50"/>
                    <w:jc w:val="center"/>
                    <w:rPr>
                      <w:rFonts w:hint="default"/>
                      <w:color w:val="auto"/>
                      <w:szCs w:val="21"/>
                      <w:highlight w:val="none"/>
                    </w:rPr>
                  </w:pPr>
                  <w:r>
                    <w:rPr>
                      <w:rFonts w:hint="default"/>
                      <w:color w:val="auto"/>
                      <w:szCs w:val="21"/>
                      <w:highlight w:val="none"/>
                    </w:rPr>
                    <w:t>满足大气环境质量实施差别化环境管控要求；不属于限制类和禁止类项目</w:t>
                  </w:r>
                </w:p>
              </w:tc>
            </w:tr>
            <w:tr w14:paraId="3A1784D0">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5" w:type="dxa"/>
                  <w:vAlign w:val="center"/>
                </w:tcPr>
                <w:p w14:paraId="5D37D0F2">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eastAsia"/>
                      <w:color w:val="auto"/>
                      <w:szCs w:val="21"/>
                      <w:highlight w:val="none"/>
                    </w:rPr>
                    <w:t>5</w:t>
                  </w:r>
                </w:p>
              </w:tc>
              <w:tc>
                <w:tcPr>
                  <w:tcW w:w="1513" w:type="dxa"/>
                  <w:vAlign w:val="center"/>
                </w:tcPr>
                <w:p w14:paraId="4157CA00">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default"/>
                      <w:color w:val="auto"/>
                      <w:szCs w:val="21"/>
                      <w:highlight w:val="none"/>
                    </w:rPr>
                    <w:t>《国务院关于化解产能严重过剩矛盾的指导意见》</w:t>
                  </w:r>
                </w:p>
              </w:tc>
              <w:tc>
                <w:tcPr>
                  <w:tcW w:w="4588" w:type="dxa"/>
                  <w:vAlign w:val="center"/>
                </w:tcPr>
                <w:p w14:paraId="5FED4607">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default"/>
                      <w:color w:val="auto"/>
                      <w:szCs w:val="21"/>
                      <w:highlight w:val="none"/>
                    </w:rPr>
                    <w:t>所列产能严重过剩行业；淘汰和退出落后产能</w:t>
                  </w:r>
                </w:p>
              </w:tc>
              <w:tc>
                <w:tcPr>
                  <w:tcW w:w="1445" w:type="dxa"/>
                  <w:vAlign w:val="center"/>
                </w:tcPr>
                <w:p w14:paraId="2CA46731">
                  <w:pPr>
                    <w:keepNext w:val="0"/>
                    <w:keepLines w:val="0"/>
                    <w:widowControl/>
                    <w:suppressLineNumbers w:val="0"/>
                    <w:suppressAutoHyphens/>
                    <w:adjustRightInd w:val="0"/>
                    <w:spacing w:before="0" w:beforeAutospacing="0" w:after="0" w:afterAutospacing="0"/>
                    <w:ind w:left="-105" w:leftChars="-50" w:right="-105" w:rightChars="-50"/>
                    <w:jc w:val="center"/>
                    <w:rPr>
                      <w:rFonts w:hint="default"/>
                      <w:color w:val="auto"/>
                      <w:szCs w:val="21"/>
                      <w:highlight w:val="none"/>
                    </w:rPr>
                  </w:pPr>
                  <w:r>
                    <w:rPr>
                      <w:rFonts w:hint="default"/>
                      <w:color w:val="auto"/>
                      <w:szCs w:val="21"/>
                      <w:highlight w:val="none"/>
                    </w:rPr>
                    <w:t>不属于所列产能严重过剩行业；不属于淘汰和退出落后产能</w:t>
                  </w:r>
                </w:p>
              </w:tc>
            </w:tr>
            <w:tr w14:paraId="28B70C5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5" w:type="dxa"/>
                  <w:vAlign w:val="center"/>
                </w:tcPr>
                <w:p w14:paraId="334EFA60">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eastAsia"/>
                      <w:color w:val="auto"/>
                      <w:szCs w:val="21"/>
                      <w:highlight w:val="none"/>
                    </w:rPr>
                    <w:t>6</w:t>
                  </w:r>
                </w:p>
              </w:tc>
              <w:tc>
                <w:tcPr>
                  <w:tcW w:w="1513" w:type="dxa"/>
                  <w:vAlign w:val="center"/>
                </w:tcPr>
                <w:p w14:paraId="77E81468">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default"/>
                      <w:color w:val="auto"/>
                      <w:szCs w:val="21"/>
                      <w:highlight w:val="none"/>
                    </w:rPr>
                    <w:t>《高耗能落后机电设备（产品）淘汰目录》</w:t>
                  </w:r>
                </w:p>
              </w:tc>
              <w:tc>
                <w:tcPr>
                  <w:tcW w:w="4588" w:type="dxa"/>
                  <w:vAlign w:val="center"/>
                </w:tcPr>
                <w:p w14:paraId="1D63CA53">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default"/>
                      <w:color w:val="auto"/>
                      <w:szCs w:val="21"/>
                      <w:highlight w:val="none"/>
                    </w:rPr>
                    <w:t>第一批、第二批、第三批、第四批名录中所列高耗能落后机电设备</w:t>
                  </w:r>
                </w:p>
              </w:tc>
              <w:tc>
                <w:tcPr>
                  <w:tcW w:w="1445" w:type="dxa"/>
                  <w:vAlign w:val="center"/>
                </w:tcPr>
                <w:p w14:paraId="1855A567">
                  <w:pPr>
                    <w:keepNext w:val="0"/>
                    <w:keepLines w:val="0"/>
                    <w:widowControl/>
                    <w:suppressLineNumbers w:val="0"/>
                    <w:suppressAutoHyphens/>
                    <w:adjustRightInd w:val="0"/>
                    <w:spacing w:before="0" w:beforeAutospacing="0" w:after="0" w:afterAutospacing="0"/>
                    <w:ind w:left="-105" w:leftChars="-50" w:right="-105" w:rightChars="-50"/>
                    <w:jc w:val="center"/>
                    <w:rPr>
                      <w:rFonts w:hint="default"/>
                      <w:color w:val="auto"/>
                      <w:szCs w:val="21"/>
                      <w:highlight w:val="none"/>
                    </w:rPr>
                  </w:pPr>
                  <w:r>
                    <w:rPr>
                      <w:rFonts w:hint="default"/>
                      <w:color w:val="auto"/>
                      <w:szCs w:val="21"/>
                      <w:highlight w:val="none"/>
                    </w:rPr>
                    <w:t>不属于第一批、第二批、第三批、第四批名录中所列高耗能落后机电设备</w:t>
                  </w:r>
                </w:p>
              </w:tc>
            </w:tr>
            <w:tr w14:paraId="1BC3269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5" w:type="dxa"/>
                  <w:vAlign w:val="center"/>
                </w:tcPr>
                <w:p w14:paraId="1160B6EE">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eastAsia"/>
                      <w:color w:val="auto"/>
                      <w:szCs w:val="21"/>
                      <w:highlight w:val="none"/>
                    </w:rPr>
                    <w:t>7</w:t>
                  </w:r>
                </w:p>
              </w:tc>
              <w:tc>
                <w:tcPr>
                  <w:tcW w:w="1513" w:type="dxa"/>
                  <w:vAlign w:val="center"/>
                </w:tcPr>
                <w:p w14:paraId="465675B8">
                  <w:pPr>
                    <w:keepNext w:val="0"/>
                    <w:keepLines w:val="0"/>
                    <w:widowControl/>
                    <w:suppressLineNumbers w:val="0"/>
                    <w:suppressAutoHyphens/>
                    <w:spacing w:before="0" w:beforeAutospacing="0" w:after="0" w:afterAutospacing="0"/>
                    <w:ind w:left="0" w:right="0"/>
                    <w:jc w:val="center"/>
                    <w:rPr>
                      <w:rFonts w:hint="default" w:eastAsia="宋体"/>
                      <w:color w:val="auto"/>
                      <w:szCs w:val="21"/>
                      <w:highlight w:val="none"/>
                    </w:rPr>
                  </w:pPr>
                  <w:r>
                    <w:rPr>
                      <w:rFonts w:hint="eastAsia" w:eastAsia="宋体"/>
                      <w:color w:val="auto"/>
                      <w:szCs w:val="21"/>
                      <w:highlight w:val="none"/>
                    </w:rPr>
                    <w:t>《汽车工业污染防治可行技术指南》（HJ 1181-2021）</w:t>
                  </w:r>
                </w:p>
              </w:tc>
              <w:tc>
                <w:tcPr>
                  <w:tcW w:w="4588" w:type="dxa"/>
                  <w:vAlign w:val="center"/>
                </w:tcPr>
                <w:p w14:paraId="7DEEE297">
                  <w:pPr>
                    <w:keepNext w:val="0"/>
                    <w:keepLines w:val="0"/>
                    <w:widowControl/>
                    <w:suppressLineNumbers w:val="0"/>
                    <w:suppressAutoHyphens/>
                    <w:spacing w:before="0" w:beforeAutospacing="0" w:after="0" w:afterAutospacing="0"/>
                    <w:ind w:left="0" w:right="0"/>
                    <w:jc w:val="center"/>
                    <w:rPr>
                      <w:rFonts w:hint="default" w:eastAsia="宋体"/>
                      <w:color w:val="auto"/>
                      <w:szCs w:val="21"/>
                      <w:highlight w:val="none"/>
                    </w:rPr>
                  </w:pPr>
                  <w:r>
                    <w:rPr>
                      <w:rFonts w:hint="eastAsia" w:eastAsia="宋体"/>
                      <w:color w:val="auto"/>
                      <w:szCs w:val="21"/>
                      <w:highlight w:val="none"/>
                    </w:rPr>
                    <w:t>喷砂、酸洗、喷漆、喷涂、电镀等表面处理工序</w:t>
                  </w:r>
                </w:p>
              </w:tc>
              <w:tc>
                <w:tcPr>
                  <w:tcW w:w="1445" w:type="dxa"/>
                  <w:vAlign w:val="center"/>
                </w:tcPr>
                <w:p w14:paraId="5077B763">
                  <w:pPr>
                    <w:keepNext w:val="0"/>
                    <w:keepLines w:val="0"/>
                    <w:widowControl/>
                    <w:suppressLineNumbers w:val="0"/>
                    <w:suppressAutoHyphens/>
                    <w:adjustRightInd w:val="0"/>
                    <w:spacing w:before="0" w:beforeAutospacing="0" w:after="0" w:afterAutospacing="0"/>
                    <w:ind w:left="-105" w:leftChars="-50" w:right="-105" w:rightChars="-50"/>
                    <w:jc w:val="center"/>
                    <w:rPr>
                      <w:rFonts w:hint="eastAsia" w:eastAsia="宋体"/>
                      <w:color w:val="auto"/>
                      <w:szCs w:val="21"/>
                      <w:highlight w:val="none"/>
                      <w:lang w:val="en-US" w:eastAsia="zh-CN"/>
                    </w:rPr>
                  </w:pPr>
                  <w:r>
                    <w:rPr>
                      <w:rFonts w:hint="default"/>
                      <w:color w:val="auto"/>
                      <w:szCs w:val="21"/>
                      <w:highlight w:val="none"/>
                    </w:rPr>
                    <w:t>不</w:t>
                  </w:r>
                  <w:r>
                    <w:rPr>
                      <w:rFonts w:hint="eastAsia"/>
                      <w:color w:val="auto"/>
                      <w:szCs w:val="21"/>
                      <w:highlight w:val="none"/>
                      <w:lang w:val="en-US" w:eastAsia="zh-CN"/>
                    </w:rPr>
                    <w:t>涉及</w:t>
                  </w:r>
                  <w:r>
                    <w:rPr>
                      <w:rFonts w:hint="eastAsia" w:eastAsia="宋体"/>
                      <w:color w:val="auto"/>
                      <w:szCs w:val="21"/>
                      <w:highlight w:val="none"/>
                    </w:rPr>
                    <w:t>喷砂、酸洗、喷漆、喷涂、电镀等表面处理工序</w:t>
                  </w:r>
                </w:p>
              </w:tc>
            </w:tr>
            <w:tr w14:paraId="741F3AF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5" w:type="dxa"/>
                  <w:vAlign w:val="center"/>
                </w:tcPr>
                <w:p w14:paraId="28ACF9C0">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eastAsia"/>
                      <w:color w:val="auto"/>
                      <w:szCs w:val="21"/>
                      <w:highlight w:val="none"/>
                    </w:rPr>
                    <w:t>8</w:t>
                  </w:r>
                </w:p>
              </w:tc>
              <w:tc>
                <w:tcPr>
                  <w:tcW w:w="1513" w:type="dxa"/>
                  <w:vAlign w:val="center"/>
                </w:tcPr>
                <w:p w14:paraId="0EF614BE">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eastAsia"/>
                      <w:color w:val="auto"/>
                      <w:szCs w:val="21"/>
                      <w:highlight w:val="none"/>
                    </w:rPr>
                    <w:t>规划环评中环境准入负面清单</w:t>
                  </w:r>
                </w:p>
              </w:tc>
              <w:tc>
                <w:tcPr>
                  <w:tcW w:w="4588" w:type="dxa"/>
                  <w:vAlign w:val="center"/>
                </w:tcPr>
                <w:p w14:paraId="11867646">
                  <w:pPr>
                    <w:keepNext w:val="0"/>
                    <w:keepLines w:val="0"/>
                    <w:widowControl/>
                    <w:suppressLineNumbers w:val="0"/>
                    <w:suppressAutoHyphens/>
                    <w:spacing w:before="0" w:beforeAutospacing="0" w:after="0" w:afterAutospacing="0"/>
                    <w:ind w:left="0" w:right="0"/>
                    <w:jc w:val="center"/>
                    <w:rPr>
                      <w:rFonts w:hint="default"/>
                      <w:color w:val="auto"/>
                      <w:szCs w:val="21"/>
                      <w:highlight w:val="none"/>
                    </w:rPr>
                  </w:pPr>
                  <w:r>
                    <w:rPr>
                      <w:rFonts w:hint="eastAsia"/>
                      <w:color w:val="auto"/>
                      <w:szCs w:val="21"/>
                      <w:highlight w:val="none"/>
                    </w:rPr>
                    <w:t>负面清单中所列禁止类以及限制类项目</w:t>
                  </w:r>
                </w:p>
              </w:tc>
              <w:tc>
                <w:tcPr>
                  <w:tcW w:w="1445" w:type="dxa"/>
                  <w:vAlign w:val="center"/>
                </w:tcPr>
                <w:p w14:paraId="6E740636">
                  <w:pPr>
                    <w:keepNext w:val="0"/>
                    <w:keepLines w:val="0"/>
                    <w:widowControl/>
                    <w:suppressLineNumbers w:val="0"/>
                    <w:suppressAutoHyphens/>
                    <w:adjustRightInd w:val="0"/>
                    <w:spacing w:before="0" w:beforeAutospacing="0" w:after="0" w:afterAutospacing="0"/>
                    <w:ind w:left="-105" w:leftChars="-50" w:right="-105" w:rightChars="-50"/>
                    <w:jc w:val="center"/>
                    <w:rPr>
                      <w:rFonts w:hint="default"/>
                      <w:color w:val="auto"/>
                      <w:szCs w:val="21"/>
                      <w:highlight w:val="none"/>
                    </w:rPr>
                  </w:pPr>
                  <w:r>
                    <w:rPr>
                      <w:rFonts w:hint="eastAsia"/>
                      <w:color w:val="auto"/>
                      <w:szCs w:val="21"/>
                      <w:highlight w:val="none"/>
                    </w:rPr>
                    <w:t>本项目不属于负面清单中所列禁止类以及限制类项目，符合准入要求</w:t>
                  </w:r>
                </w:p>
              </w:tc>
            </w:tr>
          </w:tbl>
          <w:p w14:paraId="6D258DDC">
            <w:pPr>
              <w:keepNext w:val="0"/>
              <w:keepLines w:val="0"/>
              <w:suppressLineNumbers w:val="0"/>
              <w:adjustRightInd w:val="0"/>
              <w:snapToGrid w:val="0"/>
              <w:spacing w:before="0" w:beforeAutospacing="0" w:after="0" w:afterAutospacing="0"/>
              <w:ind w:left="0" w:right="0" w:firstLine="480" w:firstLineChars="200"/>
              <w:rPr>
                <w:rFonts w:hint="default"/>
                <w:color w:val="auto"/>
                <w:sz w:val="24"/>
                <w:highlight w:val="none"/>
              </w:rPr>
            </w:pPr>
            <w:r>
              <w:rPr>
                <w:rFonts w:hint="default"/>
                <w:color w:val="auto"/>
                <w:sz w:val="24"/>
                <w:highlight w:val="none"/>
              </w:rPr>
              <w:t>因此，项目的实施符合“三线一单”要求。</w:t>
            </w:r>
          </w:p>
          <w:p w14:paraId="54C02E6D">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根据文件要求，环境管控单元包括优先保护单元、重点管控单元和一般管控单元，具体管控要求如下：</w:t>
            </w:r>
          </w:p>
          <w:p w14:paraId="6BC1EF06">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1）优先保护单元。严格落实生态保护红线管理要求，除有限人为活动外，依法依规禁止其他城镇开发和建设要求。一般生态空间突出生态保护，严禁不符合主体功能定位的各类开发活动，严禁任意改变用途。</w:t>
            </w:r>
          </w:p>
          <w:p w14:paraId="09FBBACF">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2）重点管控单元。优先工业布局，有序实施高污染、高排放工业企业整改或有序退出；强化船舶和区域移动源管控；完善污水治理措施；加快城镇河流水系环境整治；加强工业污染场地环境风险防控和开发再利用监管。</w:t>
            </w:r>
          </w:p>
          <w:p w14:paraId="193A53F8">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3）一般管控单元。严格执行国家、河北省、秦皇岛市有关产业准入、总量控制和污染物排放标准等管控要求。</w:t>
            </w:r>
          </w:p>
          <w:p w14:paraId="6DB4107B">
            <w:pPr>
              <w:pStyle w:val="15"/>
              <w:keepNext w:val="0"/>
              <w:keepLines w:val="0"/>
              <w:suppressLineNumbers w:val="0"/>
              <w:spacing w:before="0" w:beforeAutospacing="0" w:after="0" w:afterAutospacing="0" w:line="240" w:lineRule="auto"/>
              <w:ind w:left="0" w:leftChars="0" w:right="0" w:rightChars="0"/>
              <w:jc w:val="center"/>
              <w:rPr>
                <w:rFonts w:hint="default"/>
                <w:color w:val="auto"/>
                <w:sz w:val="24"/>
                <w:highlight w:val="none"/>
              </w:rPr>
            </w:pPr>
            <w:r>
              <w:rPr>
                <w:rFonts w:hint="default"/>
                <w:b/>
                <w:bCs/>
                <w:color w:val="auto"/>
                <w:sz w:val="24"/>
                <w:highlight w:val="none"/>
              </w:rPr>
              <w:t>表1-</w:t>
            </w:r>
            <w:r>
              <w:rPr>
                <w:rFonts w:hint="eastAsia"/>
                <w:b/>
                <w:bCs/>
                <w:color w:val="auto"/>
                <w:sz w:val="24"/>
                <w:highlight w:val="none"/>
                <w:lang w:val="en-US" w:eastAsia="zh-CN"/>
              </w:rPr>
              <w:t>7</w:t>
            </w:r>
            <w:r>
              <w:rPr>
                <w:rFonts w:hint="default"/>
                <w:b/>
                <w:bCs/>
                <w:color w:val="auto"/>
                <w:sz w:val="24"/>
                <w:highlight w:val="none"/>
              </w:rPr>
              <w:t xml:space="preserve"> 本项目与《秦皇岛市生态环境准入清单（</w:t>
            </w:r>
            <w:r>
              <w:rPr>
                <w:rFonts w:hint="eastAsia"/>
                <w:b/>
                <w:bCs/>
                <w:color w:val="auto"/>
                <w:sz w:val="24"/>
                <w:highlight w:val="none"/>
                <w:lang w:val="en-US" w:eastAsia="zh-CN"/>
              </w:rPr>
              <w:t>2023年版</w:t>
            </w:r>
            <w:r>
              <w:rPr>
                <w:rFonts w:hint="default"/>
                <w:b/>
                <w:bCs/>
                <w:color w:val="auto"/>
                <w:sz w:val="24"/>
                <w:highlight w:val="none"/>
              </w:rPr>
              <w:t>）》符合性分析</w:t>
            </w:r>
          </w:p>
          <w:tbl>
            <w:tblPr>
              <w:tblStyle w:val="35"/>
              <w:tblW w:w="8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8"/>
              <w:gridCol w:w="5395"/>
              <w:gridCol w:w="1620"/>
              <w:gridCol w:w="753"/>
            </w:tblGrid>
            <w:tr w14:paraId="567C4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2" w:hRule="atLeast"/>
                <w:jc w:val="center"/>
              </w:trPr>
              <w:tc>
                <w:tcPr>
                  <w:tcW w:w="518" w:type="dxa"/>
                  <w:vAlign w:val="center"/>
                </w:tcPr>
                <w:p w14:paraId="2FE93226">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6"/>
                      <w:highlight w:val="none"/>
                    </w:rPr>
                  </w:pPr>
                  <w:r>
                    <w:rPr>
                      <w:rFonts w:hint="default" w:ascii="Times New Roman" w:hAnsi="Times New Roman" w:cs="Times New Roman"/>
                      <w:color w:val="auto"/>
                      <w:spacing w:val="6"/>
                      <w:highlight w:val="none"/>
                    </w:rPr>
                    <w:t>清单</w:t>
                  </w:r>
                </w:p>
                <w:p w14:paraId="2035B233">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pacing w:val="6"/>
                      <w:highlight w:val="none"/>
                    </w:rPr>
                    <w:t>类</w:t>
                  </w:r>
                  <w:r>
                    <w:rPr>
                      <w:rFonts w:hint="default" w:ascii="Times New Roman" w:hAnsi="Times New Roman" w:cs="Times New Roman"/>
                      <w:color w:val="auto"/>
                      <w:highlight w:val="none"/>
                    </w:rPr>
                    <w:t>型</w:t>
                  </w:r>
                </w:p>
              </w:tc>
              <w:tc>
                <w:tcPr>
                  <w:tcW w:w="5395" w:type="dxa"/>
                  <w:vAlign w:val="center"/>
                </w:tcPr>
                <w:p w14:paraId="47021290">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pacing w:val="6"/>
                      <w:highlight w:val="none"/>
                    </w:rPr>
                    <w:t>管控要求</w:t>
                  </w:r>
                </w:p>
              </w:tc>
              <w:tc>
                <w:tcPr>
                  <w:tcW w:w="1620" w:type="dxa"/>
                  <w:vAlign w:val="center"/>
                </w:tcPr>
                <w:p w14:paraId="358EF574">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spacing w:val="8"/>
                      <w:highlight w:val="none"/>
                      <w:lang w:eastAsia="zh-CN"/>
                    </w:rPr>
                    <w:t>本项目</w:t>
                  </w:r>
                </w:p>
              </w:tc>
              <w:tc>
                <w:tcPr>
                  <w:tcW w:w="753" w:type="dxa"/>
                  <w:vAlign w:val="center"/>
                </w:tcPr>
                <w:p w14:paraId="486B467F">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pacing w:val="6"/>
                      <w:highlight w:val="none"/>
                    </w:rPr>
                    <w:t>符合性</w:t>
                  </w:r>
                </w:p>
              </w:tc>
            </w:tr>
            <w:tr w14:paraId="290A9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8286" w:type="dxa"/>
                  <w:gridSpan w:val="4"/>
                  <w:vAlign w:val="center"/>
                </w:tcPr>
                <w:p w14:paraId="27074C87">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3"/>
                      <w:highlight w:val="none"/>
                    </w:rPr>
                  </w:pPr>
                  <w:r>
                    <w:rPr>
                      <w:rFonts w:hint="default" w:ascii="Times New Roman" w:hAnsi="Times New Roman" w:cs="Times New Roman"/>
                      <w:color w:val="auto"/>
                      <w:spacing w:val="-14"/>
                      <w:highlight w:val="none"/>
                    </w:rPr>
                    <w:t>总</w:t>
                  </w:r>
                  <w:r>
                    <w:rPr>
                      <w:rFonts w:hint="default" w:ascii="Times New Roman" w:hAnsi="Times New Roman" w:cs="Times New Roman"/>
                      <w:color w:val="auto"/>
                      <w:spacing w:val="-4"/>
                      <w:highlight w:val="none"/>
                    </w:rPr>
                    <w:t>体准</w:t>
                  </w:r>
                  <w:r>
                    <w:rPr>
                      <w:rFonts w:hint="default" w:ascii="Times New Roman" w:hAnsi="Times New Roman" w:cs="Times New Roman"/>
                      <w:color w:val="auto"/>
                      <w:spacing w:val="-3"/>
                      <w:highlight w:val="none"/>
                    </w:rPr>
                    <w:t>入要</w:t>
                  </w:r>
                  <w:r>
                    <w:rPr>
                      <w:rFonts w:hint="default" w:ascii="Times New Roman" w:hAnsi="Times New Roman" w:cs="Times New Roman"/>
                      <w:color w:val="auto"/>
                      <w:highlight w:val="none"/>
                    </w:rPr>
                    <w:t>求</w:t>
                  </w:r>
                </w:p>
              </w:tc>
            </w:tr>
            <w:tr w14:paraId="1906D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7" w:hRule="atLeast"/>
                <w:jc w:val="center"/>
              </w:trPr>
              <w:tc>
                <w:tcPr>
                  <w:tcW w:w="518" w:type="dxa"/>
                  <w:vAlign w:val="center"/>
                </w:tcPr>
                <w:p w14:paraId="7940450F">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环境目标</w:t>
                  </w:r>
                </w:p>
              </w:tc>
              <w:tc>
                <w:tcPr>
                  <w:tcW w:w="5395" w:type="dxa"/>
                  <w:vAlign w:val="center"/>
                </w:tcPr>
                <w:p w14:paraId="59B9326E">
                  <w:pPr>
                    <w:pStyle w:val="109"/>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pacing w:val="6"/>
                      <w:highlight w:val="none"/>
                      <w:lang w:eastAsia="zh-CN"/>
                    </w:rPr>
                  </w:pPr>
                  <w:r>
                    <w:rPr>
                      <w:rFonts w:hint="eastAsia" w:ascii="Times New Roman" w:hAnsi="Times New Roman" w:eastAsia="宋体" w:cs="Times New Roman"/>
                      <w:color w:val="auto"/>
                      <w:spacing w:val="6"/>
                      <w:highlight w:val="none"/>
                      <w:lang w:val="en-US" w:eastAsia="zh-CN"/>
                    </w:rPr>
                    <w:t xml:space="preserve">大气环境目标： </w:t>
                  </w:r>
                </w:p>
                <w:p w14:paraId="74357AFB">
                  <w:pPr>
                    <w:pStyle w:val="109"/>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pacing w:val="6"/>
                      <w:highlight w:val="none"/>
                      <w:lang w:eastAsia="zh-CN"/>
                    </w:rPr>
                  </w:pPr>
                  <w:r>
                    <w:rPr>
                      <w:rFonts w:hint="eastAsia" w:ascii="Times New Roman" w:hAnsi="Times New Roman" w:eastAsia="宋体" w:cs="Times New Roman"/>
                      <w:color w:val="auto"/>
                      <w:spacing w:val="6"/>
                      <w:highlight w:val="none"/>
                      <w:lang w:val="en-US" w:eastAsia="zh-CN"/>
                    </w:rPr>
                    <w:t>1.2025年，主要污染物排放总量持续下降，单位地区生产总值二氧化碳排放比2020年下降比例达到省要求；全市细颗粒物（PM</w:t>
                  </w:r>
                  <w:r>
                    <w:rPr>
                      <w:rFonts w:hint="eastAsia" w:ascii="Times New Roman" w:hAnsi="Times New Roman" w:eastAsia="宋体" w:cs="Times New Roman"/>
                      <w:color w:val="auto"/>
                      <w:spacing w:val="6"/>
                      <w:highlight w:val="none"/>
                      <w:vertAlign w:val="subscript"/>
                      <w:lang w:val="en-US" w:eastAsia="zh-CN"/>
                    </w:rPr>
                    <w:t>2.5</w:t>
                  </w:r>
                  <w:r>
                    <w:rPr>
                      <w:rFonts w:hint="eastAsia" w:ascii="Times New Roman" w:hAnsi="Times New Roman" w:eastAsia="宋体" w:cs="Times New Roman"/>
                      <w:color w:val="auto"/>
                      <w:spacing w:val="6"/>
                      <w:highlight w:val="none"/>
                      <w:lang w:val="en-US" w:eastAsia="zh-CN"/>
                    </w:rPr>
                    <w:t xml:space="preserve">）平均浓度和空气质量优良天数比率确保完成省下达指标任务。 </w:t>
                  </w:r>
                </w:p>
                <w:p w14:paraId="083E4325">
                  <w:pPr>
                    <w:pStyle w:val="109"/>
                    <w:keepNext w:val="0"/>
                    <w:keepLines w:val="0"/>
                    <w:suppressLineNumbers w:val="0"/>
                    <w:adjustRightInd w:val="0"/>
                    <w:snapToGrid w:val="0"/>
                    <w:spacing w:before="0" w:beforeAutospacing="0" w:after="0" w:afterAutospacing="0"/>
                    <w:ind w:left="0" w:right="0"/>
                    <w:jc w:val="left"/>
                    <w:rPr>
                      <w:rFonts w:hint="eastAsia" w:ascii="Times New Roman" w:hAnsi="Times New Roman" w:eastAsia="宋体" w:cs="Times New Roman"/>
                      <w:color w:val="auto"/>
                      <w:spacing w:val="6"/>
                      <w:highlight w:val="none"/>
                      <w:lang w:val="en-US" w:eastAsia="zh-CN"/>
                    </w:rPr>
                  </w:pPr>
                  <w:r>
                    <w:rPr>
                      <w:rFonts w:hint="default" w:ascii="Times New Roman" w:hAnsi="Times New Roman" w:eastAsia="宋体" w:cs="Times New Roman"/>
                      <w:color w:val="auto"/>
                      <w:spacing w:val="6"/>
                      <w:highlight w:val="none"/>
                      <w:lang w:val="en-US" w:eastAsia="zh-CN"/>
                    </w:rPr>
                    <w:t>2.2035</w:t>
                  </w:r>
                  <w:r>
                    <w:rPr>
                      <w:rFonts w:hint="eastAsia" w:ascii="Times New Roman" w:hAnsi="Times New Roman" w:eastAsia="宋体" w:cs="Times New Roman"/>
                      <w:color w:val="auto"/>
                      <w:spacing w:val="6"/>
                      <w:highlight w:val="none"/>
                      <w:lang w:val="en-US" w:eastAsia="zh-CN"/>
                    </w:rPr>
                    <w:t>年，碳排放达峰后稳中有降，生态环境根本好转。</w:t>
                  </w:r>
                </w:p>
                <w:p w14:paraId="6AF5A407">
                  <w:pPr>
                    <w:pStyle w:val="109"/>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pacing w:val="6"/>
                      <w:highlight w:val="none"/>
                      <w:lang w:eastAsia="zh-CN"/>
                    </w:rPr>
                  </w:pPr>
                  <w:r>
                    <w:rPr>
                      <w:rFonts w:hint="eastAsia" w:ascii="Times New Roman" w:hAnsi="Times New Roman" w:eastAsia="宋体" w:cs="Times New Roman"/>
                      <w:color w:val="auto"/>
                      <w:spacing w:val="6"/>
                      <w:highlight w:val="none"/>
                      <w:lang w:val="en-US" w:eastAsia="zh-CN"/>
                    </w:rPr>
                    <w:t xml:space="preserve">水环境目标： </w:t>
                  </w:r>
                </w:p>
                <w:p w14:paraId="12DCBDAB">
                  <w:pPr>
                    <w:pStyle w:val="109"/>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pacing w:val="6"/>
                      <w:highlight w:val="none"/>
                      <w:lang w:eastAsia="zh-CN"/>
                    </w:rPr>
                  </w:pPr>
                  <w:r>
                    <w:rPr>
                      <w:rFonts w:hint="default" w:ascii="Times New Roman" w:hAnsi="Times New Roman" w:eastAsia="宋体" w:cs="Times New Roman"/>
                      <w:color w:val="auto"/>
                      <w:spacing w:val="6"/>
                      <w:highlight w:val="none"/>
                      <w:lang w:val="en-US" w:eastAsia="zh-CN"/>
                    </w:rPr>
                    <w:t>1. 2025</w:t>
                  </w:r>
                  <w:r>
                    <w:rPr>
                      <w:rFonts w:hint="eastAsia" w:ascii="Times New Roman" w:hAnsi="Times New Roman" w:eastAsia="宋体" w:cs="Times New Roman"/>
                      <w:color w:val="auto"/>
                      <w:spacing w:val="6"/>
                      <w:highlight w:val="none"/>
                      <w:lang w:val="en-US" w:eastAsia="zh-CN"/>
                    </w:rPr>
                    <w:t xml:space="preserve">年地表水达到或好于Ⅲ类水体比例达80%，主要入海河流水质达Ⅲ类，近岸海域水质达标率稳定保持 100%。主要海水浴场年度水质优良比例达到100%。 </w:t>
                  </w:r>
                </w:p>
                <w:p w14:paraId="6DFE5864">
                  <w:pPr>
                    <w:pStyle w:val="109"/>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pacing w:val="6"/>
                      <w:highlight w:val="none"/>
                      <w:lang w:eastAsia="zh-CN"/>
                    </w:rPr>
                  </w:pPr>
                  <w:r>
                    <w:rPr>
                      <w:rFonts w:hint="default" w:ascii="Times New Roman" w:hAnsi="Times New Roman" w:eastAsia="宋体" w:cs="Times New Roman"/>
                      <w:color w:val="auto"/>
                      <w:spacing w:val="6"/>
                      <w:highlight w:val="none"/>
                      <w:lang w:val="en-US" w:eastAsia="zh-CN"/>
                    </w:rPr>
                    <w:t>2. 2035</w:t>
                  </w:r>
                  <w:r>
                    <w:rPr>
                      <w:rFonts w:hint="eastAsia" w:ascii="Times New Roman" w:hAnsi="Times New Roman" w:eastAsia="宋体" w:cs="Times New Roman"/>
                      <w:color w:val="auto"/>
                      <w:spacing w:val="6"/>
                      <w:highlight w:val="none"/>
                      <w:lang w:val="en-US" w:eastAsia="zh-CN"/>
                    </w:rPr>
                    <w:t>年地表水环境质量符合水环境功能区要求，近岸海域水质优良（一、二类）比例进一步提升。</w:t>
                  </w:r>
                </w:p>
                <w:p w14:paraId="6CAAF06C">
                  <w:pPr>
                    <w:pStyle w:val="109"/>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pacing w:val="6"/>
                      <w:highlight w:val="none"/>
                      <w:lang w:eastAsia="zh-CN"/>
                    </w:rPr>
                  </w:pPr>
                  <w:r>
                    <w:rPr>
                      <w:rFonts w:hint="eastAsia" w:ascii="Times New Roman" w:hAnsi="Times New Roman" w:eastAsia="宋体" w:cs="Times New Roman"/>
                      <w:color w:val="auto"/>
                      <w:spacing w:val="6"/>
                      <w:highlight w:val="none"/>
                      <w:lang w:val="en-US" w:eastAsia="zh-CN"/>
                    </w:rPr>
                    <w:t xml:space="preserve">土壤环境目标： </w:t>
                  </w:r>
                </w:p>
                <w:p w14:paraId="2C366A66">
                  <w:pPr>
                    <w:pStyle w:val="109"/>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spacing w:val="6"/>
                      <w:highlight w:val="none"/>
                      <w:lang w:eastAsia="zh-CN"/>
                    </w:rPr>
                  </w:pPr>
                  <w:r>
                    <w:rPr>
                      <w:rFonts w:hint="default" w:ascii="Times New Roman" w:hAnsi="Times New Roman" w:eastAsia="宋体" w:cs="Times New Roman"/>
                      <w:color w:val="auto"/>
                      <w:spacing w:val="6"/>
                      <w:highlight w:val="none"/>
                      <w:lang w:val="en-US" w:eastAsia="zh-CN"/>
                    </w:rPr>
                    <w:t>1.2025</w:t>
                  </w:r>
                  <w:r>
                    <w:rPr>
                      <w:rFonts w:hint="eastAsia" w:ascii="Times New Roman" w:hAnsi="Times New Roman" w:eastAsia="宋体" w:cs="Times New Roman"/>
                      <w:color w:val="auto"/>
                      <w:spacing w:val="6"/>
                      <w:highlight w:val="none"/>
                      <w:lang w:val="en-US" w:eastAsia="zh-CN"/>
                    </w:rPr>
                    <w:t xml:space="preserve">年底前，受污染耕地安全利用率完成国家下达任务，受污染耕地管控措施覆盖率 </w:t>
                  </w:r>
                  <w:r>
                    <w:rPr>
                      <w:rFonts w:hint="default" w:ascii="Times New Roman" w:hAnsi="Times New Roman" w:eastAsia="宋体" w:cs="Times New Roman"/>
                      <w:color w:val="auto"/>
                      <w:spacing w:val="6"/>
                      <w:highlight w:val="none"/>
                      <w:lang w:val="en-US" w:eastAsia="zh-CN"/>
                    </w:rPr>
                    <w:t>100%</w:t>
                  </w:r>
                  <w:r>
                    <w:rPr>
                      <w:rFonts w:hint="eastAsia" w:ascii="Times New Roman" w:hAnsi="Times New Roman" w:eastAsia="宋体" w:cs="Times New Roman"/>
                      <w:color w:val="auto"/>
                      <w:spacing w:val="6"/>
                      <w:highlight w:val="none"/>
                      <w:lang w:val="en-US" w:eastAsia="zh-CN"/>
                    </w:rPr>
                    <w:t xml:space="preserve">；重点建设用地安全利用得到有效保障，拟开发利用污染地块治理修复或风险管控目标达标率 </w:t>
                  </w:r>
                  <w:r>
                    <w:rPr>
                      <w:rFonts w:hint="default" w:ascii="Times New Roman" w:hAnsi="Times New Roman" w:eastAsia="宋体" w:cs="Times New Roman"/>
                      <w:color w:val="auto"/>
                      <w:spacing w:val="6"/>
                      <w:highlight w:val="none"/>
                      <w:lang w:val="en-US" w:eastAsia="zh-CN"/>
                    </w:rPr>
                    <w:t>100%</w:t>
                  </w:r>
                  <w:r>
                    <w:rPr>
                      <w:rFonts w:hint="eastAsia" w:ascii="Times New Roman" w:hAnsi="Times New Roman" w:eastAsia="宋体" w:cs="Times New Roman"/>
                      <w:color w:val="auto"/>
                      <w:spacing w:val="6"/>
                      <w:highlight w:val="none"/>
                      <w:lang w:val="en-US" w:eastAsia="zh-CN"/>
                    </w:rPr>
                    <w:t xml:space="preserve">，暂不开发利用污染地块管控措施覆盖率 </w:t>
                  </w:r>
                  <w:r>
                    <w:rPr>
                      <w:rFonts w:hint="default" w:ascii="Times New Roman" w:hAnsi="Times New Roman" w:eastAsia="宋体" w:cs="Times New Roman"/>
                      <w:color w:val="auto"/>
                      <w:spacing w:val="6"/>
                      <w:highlight w:val="none"/>
                      <w:lang w:val="en-US" w:eastAsia="zh-CN"/>
                    </w:rPr>
                    <w:t>100%</w:t>
                  </w:r>
                  <w:r>
                    <w:rPr>
                      <w:rFonts w:hint="eastAsia" w:ascii="Times New Roman" w:hAnsi="Times New Roman" w:eastAsia="宋体" w:cs="Times New Roman"/>
                      <w:color w:val="auto"/>
                      <w:spacing w:val="6"/>
                      <w:highlight w:val="none"/>
                      <w:lang w:val="en-US" w:eastAsia="zh-CN"/>
                    </w:rPr>
                    <w:t xml:space="preserve">。 </w:t>
                  </w:r>
                </w:p>
                <w:p w14:paraId="628B56D1">
                  <w:pPr>
                    <w:pStyle w:val="109"/>
                    <w:keepNext w:val="0"/>
                    <w:keepLines w:val="0"/>
                    <w:suppressLineNumbers w:val="0"/>
                    <w:adjustRightInd w:val="0"/>
                    <w:snapToGrid w:val="0"/>
                    <w:spacing w:before="0" w:beforeAutospacing="0" w:after="0" w:afterAutospacing="0"/>
                    <w:ind w:left="0" w:right="0"/>
                    <w:jc w:val="left"/>
                    <w:rPr>
                      <w:rFonts w:hint="default" w:ascii="宋体" w:hAnsi="宋体" w:eastAsia="宋体" w:cs="宋体"/>
                      <w:color w:val="000000"/>
                      <w:kern w:val="0"/>
                      <w:sz w:val="21"/>
                      <w:szCs w:val="21"/>
                      <w:highlight w:val="none"/>
                      <w:lang w:val="en-US" w:eastAsia="zh-CN" w:bidi="ar"/>
                    </w:rPr>
                  </w:pPr>
                  <w:r>
                    <w:rPr>
                      <w:rFonts w:hint="default" w:ascii="Times New Roman" w:hAnsi="Times New Roman" w:eastAsia="宋体" w:cs="Times New Roman"/>
                      <w:color w:val="auto"/>
                      <w:spacing w:val="6"/>
                      <w:highlight w:val="none"/>
                      <w:lang w:val="en-US" w:eastAsia="zh-CN"/>
                    </w:rPr>
                    <w:t>2.2035</w:t>
                  </w:r>
                  <w:r>
                    <w:rPr>
                      <w:rFonts w:hint="eastAsia" w:ascii="Times New Roman" w:hAnsi="Times New Roman" w:eastAsia="宋体" w:cs="Times New Roman"/>
                      <w:color w:val="auto"/>
                      <w:spacing w:val="6"/>
                      <w:highlight w:val="none"/>
                      <w:lang w:val="en-US" w:eastAsia="zh-CN"/>
                    </w:rPr>
                    <w:t>年，受污染耕地和重点建设用地安全利用得到巩固提升，进一步保障保百姓</w:t>
                  </w:r>
                  <w:r>
                    <w:rPr>
                      <w:rFonts w:hint="default" w:ascii="Times New Roman" w:hAnsi="Times New Roman" w:eastAsia="宋体" w:cs="Times New Roman"/>
                      <w:color w:val="auto"/>
                      <w:spacing w:val="6"/>
                      <w:highlight w:val="none"/>
                      <w:lang w:val="en-US" w:eastAsia="zh-CN"/>
                    </w:rPr>
                    <w:t>“</w:t>
                  </w:r>
                  <w:r>
                    <w:rPr>
                      <w:rFonts w:hint="eastAsia" w:ascii="Times New Roman" w:hAnsi="Times New Roman" w:eastAsia="宋体" w:cs="Times New Roman"/>
                      <w:color w:val="auto"/>
                      <w:spacing w:val="6"/>
                      <w:highlight w:val="none"/>
                      <w:lang w:val="en-US" w:eastAsia="zh-CN"/>
                    </w:rPr>
                    <w:t>吃得放心、住得安心</w:t>
                  </w:r>
                  <w:r>
                    <w:rPr>
                      <w:rFonts w:hint="default" w:ascii="Times New Roman" w:hAnsi="Times New Roman" w:eastAsia="宋体" w:cs="Times New Roman"/>
                      <w:color w:val="auto"/>
                      <w:spacing w:val="6"/>
                      <w:highlight w:val="none"/>
                      <w:lang w:val="en-US" w:eastAsia="zh-CN"/>
                    </w:rPr>
                    <w:t>”</w:t>
                  </w:r>
                  <w:r>
                    <w:rPr>
                      <w:rFonts w:hint="eastAsia" w:ascii="Times New Roman" w:hAnsi="Times New Roman" w:eastAsia="宋体" w:cs="Times New Roman"/>
                      <w:color w:val="auto"/>
                      <w:spacing w:val="6"/>
                      <w:highlight w:val="none"/>
                      <w:lang w:val="en-US" w:eastAsia="zh-CN"/>
                    </w:rPr>
                    <w:t>。</w:t>
                  </w:r>
                </w:p>
              </w:tc>
              <w:tc>
                <w:tcPr>
                  <w:tcW w:w="1620" w:type="dxa"/>
                  <w:vAlign w:val="center"/>
                </w:tcPr>
                <w:p w14:paraId="69F55E9F">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9"/>
                      <w:highlight w:val="none"/>
                      <w:lang w:val="en-US" w:eastAsia="zh-CN"/>
                    </w:rPr>
                  </w:pPr>
                  <w:r>
                    <w:rPr>
                      <w:rFonts w:hint="eastAsia" w:ascii="Times New Roman" w:hAnsi="Times New Roman" w:cs="Times New Roman"/>
                      <w:color w:val="auto"/>
                      <w:spacing w:val="9"/>
                      <w:highlight w:val="none"/>
                      <w:lang w:val="en-US" w:eastAsia="zh-CN"/>
                    </w:rPr>
                    <w:t>本项目不涉及</w:t>
                  </w:r>
                  <w:r>
                    <w:rPr>
                      <w:rFonts w:hint="eastAsia" w:ascii="Times New Roman" w:hAnsi="Times New Roman" w:eastAsia="宋体" w:cs="Times New Roman"/>
                      <w:color w:val="auto"/>
                      <w:spacing w:val="6"/>
                      <w:highlight w:val="none"/>
                      <w:lang w:val="en-US" w:eastAsia="zh-CN"/>
                    </w:rPr>
                    <w:t>二氧化碳的排放；不涉及地表水的开采；不涉及耕地</w:t>
                  </w:r>
                </w:p>
              </w:tc>
              <w:tc>
                <w:tcPr>
                  <w:tcW w:w="753" w:type="dxa"/>
                  <w:vAlign w:val="center"/>
                </w:tcPr>
                <w:p w14:paraId="38C92406">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3"/>
                      <w:highlight w:val="none"/>
                    </w:rPr>
                  </w:pPr>
                  <w:r>
                    <w:rPr>
                      <w:rFonts w:hint="default" w:ascii="Times New Roman" w:hAnsi="Times New Roman" w:cs="Times New Roman"/>
                      <w:color w:val="auto"/>
                      <w:spacing w:val="3"/>
                      <w:highlight w:val="none"/>
                    </w:rPr>
                    <w:t>符合</w:t>
                  </w:r>
                </w:p>
              </w:tc>
            </w:tr>
            <w:tr w14:paraId="40886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7" w:hRule="atLeast"/>
                <w:jc w:val="center"/>
              </w:trPr>
              <w:tc>
                <w:tcPr>
                  <w:tcW w:w="518" w:type="dxa"/>
                  <w:vMerge w:val="restart"/>
                  <w:vAlign w:val="center"/>
                </w:tcPr>
                <w:p w14:paraId="45D610FA">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空间布局约束</w:t>
                  </w:r>
                </w:p>
              </w:tc>
              <w:tc>
                <w:tcPr>
                  <w:tcW w:w="5395" w:type="dxa"/>
                  <w:shd w:val="clear" w:color="auto" w:fill="auto"/>
                  <w:vAlign w:val="center"/>
                </w:tcPr>
                <w:p w14:paraId="5588FD11">
                  <w:pPr>
                    <w:pStyle w:val="109"/>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pacing w:val="6"/>
                      <w:highlight w:val="none"/>
                      <w:lang w:eastAsia="zh-CN"/>
                    </w:rPr>
                    <w:t>生态保护红线严格落实《自然资源部生态环境</w:t>
                  </w:r>
                  <w:r>
                    <w:rPr>
                      <w:rFonts w:hint="default" w:ascii="Times New Roman" w:hAnsi="Times New Roman" w:cs="Times New Roman"/>
                      <w:color w:val="auto"/>
                      <w:spacing w:val="9"/>
                      <w:highlight w:val="none"/>
                      <w:lang w:eastAsia="zh-CN"/>
                    </w:rPr>
                    <w:t>部</w:t>
                  </w:r>
                  <w:r>
                    <w:rPr>
                      <w:rFonts w:hint="default" w:ascii="Times New Roman" w:hAnsi="Times New Roman" w:cs="Times New Roman"/>
                      <w:color w:val="auto"/>
                      <w:spacing w:val="6"/>
                      <w:highlight w:val="none"/>
                      <w:lang w:eastAsia="zh-CN"/>
                    </w:rPr>
                    <w:t>国家林业和草原局关于加强生态保护红线管理的通知》（试行）（自然资发[2022]142号）中相关准入要求</w:t>
                  </w:r>
                </w:p>
              </w:tc>
              <w:tc>
                <w:tcPr>
                  <w:tcW w:w="1620" w:type="dxa"/>
                  <w:vMerge w:val="restart"/>
                  <w:vAlign w:val="center"/>
                </w:tcPr>
                <w:p w14:paraId="1F461035">
                  <w:pPr>
                    <w:pStyle w:val="109"/>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pacing w:val="9"/>
                      <w:highlight w:val="none"/>
                      <w:lang w:eastAsia="zh-CN"/>
                    </w:rPr>
                  </w:pPr>
                  <w:r>
                    <w:rPr>
                      <w:rFonts w:hint="default" w:ascii="Times New Roman" w:hAnsi="Times New Roman" w:cs="Times New Roman"/>
                      <w:color w:val="auto"/>
                      <w:spacing w:val="9"/>
                      <w:highlight w:val="none"/>
                      <w:lang w:eastAsia="zh-CN"/>
                    </w:rPr>
                    <w:t>本项目</w:t>
                  </w:r>
                  <w:r>
                    <w:rPr>
                      <w:rFonts w:hint="default" w:ascii="Times New Roman" w:hAnsi="Times New Roman" w:cs="Times New Roman"/>
                      <w:color w:val="auto"/>
                      <w:spacing w:val="1"/>
                      <w:highlight w:val="none"/>
                      <w:lang w:eastAsia="zh-CN"/>
                    </w:rPr>
                    <w:t>不涉</w:t>
                  </w:r>
                  <w:r>
                    <w:rPr>
                      <w:rFonts w:hint="default" w:ascii="Times New Roman" w:hAnsi="Times New Roman" w:cs="Times New Roman"/>
                      <w:color w:val="auto"/>
                      <w:spacing w:val="2"/>
                      <w:highlight w:val="none"/>
                      <w:lang w:eastAsia="zh-CN"/>
                    </w:rPr>
                    <w:t>及生态保护红线、不涉及自然保</w:t>
                  </w:r>
                  <w:r>
                    <w:rPr>
                      <w:rFonts w:hint="default" w:ascii="Times New Roman" w:hAnsi="Times New Roman" w:cs="Times New Roman"/>
                      <w:color w:val="auto"/>
                      <w:spacing w:val="8"/>
                      <w:highlight w:val="none"/>
                      <w:lang w:eastAsia="zh-CN"/>
                    </w:rPr>
                    <w:t>护区、风景名胜区、森林公园、湿地公园等</w:t>
                  </w:r>
                </w:p>
              </w:tc>
              <w:tc>
                <w:tcPr>
                  <w:tcW w:w="753" w:type="dxa"/>
                  <w:vAlign w:val="center"/>
                </w:tcPr>
                <w:p w14:paraId="22742D61">
                  <w:pPr>
                    <w:pStyle w:val="109"/>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pacing w:val="3"/>
                      <w:highlight w:val="none"/>
                    </w:rPr>
                  </w:pPr>
                  <w:r>
                    <w:rPr>
                      <w:rFonts w:hint="default" w:ascii="Times New Roman" w:hAnsi="Times New Roman" w:cs="Times New Roman"/>
                      <w:color w:val="auto"/>
                      <w:spacing w:val="3"/>
                      <w:highlight w:val="none"/>
                    </w:rPr>
                    <w:t>符合</w:t>
                  </w:r>
                </w:p>
              </w:tc>
            </w:tr>
            <w:tr w14:paraId="4C4E6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7" w:hRule="atLeast"/>
                <w:jc w:val="center"/>
              </w:trPr>
              <w:tc>
                <w:tcPr>
                  <w:tcW w:w="518" w:type="dxa"/>
                  <w:vMerge w:val="continue"/>
                  <w:vAlign w:val="center"/>
                </w:tcPr>
                <w:p w14:paraId="415430E4">
                  <w:pPr>
                    <w:pStyle w:val="109"/>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color w:val="auto"/>
                      <w:highlight w:val="none"/>
                      <w:lang w:val="en-US" w:eastAsia="zh-CN"/>
                    </w:rPr>
                  </w:pPr>
                </w:p>
              </w:tc>
              <w:tc>
                <w:tcPr>
                  <w:tcW w:w="5395" w:type="dxa"/>
                  <w:shd w:val="clear" w:color="auto" w:fill="auto"/>
                  <w:vAlign w:val="center"/>
                </w:tcPr>
                <w:p w14:paraId="0D59846D">
                  <w:pPr>
                    <w:pStyle w:val="109"/>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eastAsia="zh-CN"/>
                    </w:rPr>
                    <w:t>一般生态空间中自然保护区、风景名胜区、森林公园、湿地公园等，均参照相关管理条例进行管控</w:t>
                  </w:r>
                </w:p>
              </w:tc>
              <w:tc>
                <w:tcPr>
                  <w:tcW w:w="1620" w:type="dxa"/>
                  <w:vMerge w:val="continue"/>
                  <w:vAlign w:val="center"/>
                </w:tcPr>
                <w:p w14:paraId="4902ED8D">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pacing w:val="9"/>
                      <w:highlight w:val="none"/>
                      <w:lang w:eastAsia="zh-CN"/>
                    </w:rPr>
                  </w:pPr>
                </w:p>
              </w:tc>
              <w:tc>
                <w:tcPr>
                  <w:tcW w:w="753" w:type="dxa"/>
                  <w:vAlign w:val="center"/>
                </w:tcPr>
                <w:p w14:paraId="2C8ECB64">
                  <w:pPr>
                    <w:pStyle w:val="109"/>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pacing w:val="3"/>
                      <w:highlight w:val="none"/>
                    </w:rPr>
                  </w:pPr>
                  <w:r>
                    <w:rPr>
                      <w:rFonts w:hint="default" w:ascii="Times New Roman" w:hAnsi="Times New Roman" w:cs="Times New Roman"/>
                      <w:color w:val="auto"/>
                      <w:spacing w:val="3"/>
                      <w:highlight w:val="none"/>
                    </w:rPr>
                    <w:t>符合</w:t>
                  </w:r>
                </w:p>
              </w:tc>
            </w:tr>
            <w:tr w14:paraId="357A0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7" w:hRule="atLeast"/>
                <w:jc w:val="center"/>
              </w:trPr>
              <w:tc>
                <w:tcPr>
                  <w:tcW w:w="518" w:type="dxa"/>
                  <w:vMerge w:val="continue"/>
                  <w:vAlign w:val="center"/>
                </w:tcPr>
                <w:p w14:paraId="06A0B44F">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p>
              </w:tc>
              <w:tc>
                <w:tcPr>
                  <w:tcW w:w="5395" w:type="dxa"/>
                  <w:shd w:val="clear" w:color="auto" w:fill="auto"/>
                  <w:vAlign w:val="center"/>
                </w:tcPr>
                <w:p w14:paraId="006B164F">
                  <w:pPr>
                    <w:pStyle w:val="109"/>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eastAsia="zh-CN"/>
                    </w:rPr>
                    <w:t>其他一般生态空间，位于全国重点生态功能区参照《重点生态功能区产业准入负面清单编制实施办法》，重点生态功能区以外的，参考《全国生态功能区划（修编版）》相关生态区域的生态功能定位进行管理</w:t>
                  </w:r>
                </w:p>
              </w:tc>
              <w:tc>
                <w:tcPr>
                  <w:tcW w:w="1620" w:type="dxa"/>
                  <w:shd w:val="clear" w:color="auto" w:fill="auto"/>
                  <w:vAlign w:val="center"/>
                </w:tcPr>
                <w:p w14:paraId="0C7F3036">
                  <w:pPr>
                    <w:pStyle w:val="109"/>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pacing w:val="9"/>
                      <w:highlight w:val="none"/>
                      <w:lang w:eastAsia="zh-CN"/>
                    </w:rPr>
                    <w:t>本项目租用现有</w:t>
                  </w:r>
                  <w:r>
                    <w:rPr>
                      <w:rFonts w:hint="eastAsia" w:ascii="Times New Roman" w:hAnsi="Times New Roman" w:cs="Times New Roman"/>
                      <w:color w:val="auto"/>
                      <w:spacing w:val="9"/>
                      <w:highlight w:val="none"/>
                      <w:lang w:eastAsia="zh-CN"/>
                    </w:rPr>
                    <w:t>厂房</w:t>
                  </w:r>
                  <w:r>
                    <w:rPr>
                      <w:rFonts w:hint="default" w:ascii="Times New Roman" w:hAnsi="Times New Roman" w:cs="Times New Roman"/>
                      <w:color w:val="auto"/>
                      <w:spacing w:val="9"/>
                      <w:highlight w:val="none"/>
                      <w:lang w:eastAsia="zh-CN"/>
                    </w:rPr>
                    <w:t>建设，不新增占地</w:t>
                  </w:r>
                  <w:r>
                    <w:rPr>
                      <w:rFonts w:hint="default" w:ascii="Times New Roman" w:hAnsi="Times New Roman" w:cs="Times New Roman"/>
                      <w:color w:val="auto"/>
                      <w:spacing w:val="1"/>
                      <w:highlight w:val="none"/>
                      <w:lang w:eastAsia="zh-CN"/>
                    </w:rPr>
                    <w:t>，不涉及</w:t>
                  </w:r>
                  <w:r>
                    <w:rPr>
                      <w:rFonts w:hint="default" w:ascii="Times New Roman" w:hAnsi="Times New Roman" w:cs="Times New Roman"/>
                      <w:color w:val="auto"/>
                      <w:spacing w:val="8"/>
                      <w:highlight w:val="none"/>
                      <w:lang w:eastAsia="zh-CN"/>
                    </w:rPr>
                    <w:t>全国重点生态功能区</w:t>
                  </w:r>
                </w:p>
              </w:tc>
              <w:tc>
                <w:tcPr>
                  <w:tcW w:w="753" w:type="dxa"/>
                  <w:shd w:val="clear" w:color="auto" w:fill="auto"/>
                  <w:vAlign w:val="center"/>
                </w:tcPr>
                <w:p w14:paraId="46145CFC">
                  <w:pPr>
                    <w:pStyle w:val="109"/>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cs="Times New Roman"/>
                      <w:color w:val="auto"/>
                      <w:spacing w:val="3"/>
                      <w:highlight w:val="none"/>
                    </w:rPr>
                    <w:t>符合</w:t>
                  </w:r>
                </w:p>
              </w:tc>
            </w:tr>
            <w:tr w14:paraId="0DD5C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7" w:hRule="atLeast"/>
                <w:jc w:val="center"/>
              </w:trPr>
              <w:tc>
                <w:tcPr>
                  <w:tcW w:w="518" w:type="dxa"/>
                  <w:vMerge w:val="continue"/>
                  <w:vAlign w:val="center"/>
                </w:tcPr>
                <w:p w14:paraId="1F865A72">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p>
              </w:tc>
              <w:tc>
                <w:tcPr>
                  <w:tcW w:w="5395" w:type="dxa"/>
                  <w:shd w:val="clear" w:color="auto" w:fill="auto"/>
                  <w:vAlign w:val="center"/>
                </w:tcPr>
                <w:p w14:paraId="65B15AF7">
                  <w:pPr>
                    <w:pStyle w:val="109"/>
                    <w:keepNext w:val="0"/>
                    <w:keepLines w:val="0"/>
                    <w:suppressLineNumbers w:val="0"/>
                    <w:adjustRightInd w:val="0"/>
                    <w:snapToGrid w:val="0"/>
                    <w:spacing w:before="0" w:beforeAutospacing="0" w:after="0" w:afterAutospacing="0"/>
                    <w:ind w:left="0" w:leftChars="0" w:right="0" w:rightChars="0"/>
                    <w:jc w:val="left"/>
                    <w:rPr>
                      <w:rFonts w:hint="default" w:ascii="Times New Roman" w:hAnsi="Times New Roman" w:eastAsia="宋体" w:cs="Times New Roman"/>
                      <w:color w:val="auto"/>
                      <w:spacing w:val="6"/>
                      <w:kern w:val="2"/>
                      <w:sz w:val="21"/>
                      <w:szCs w:val="21"/>
                      <w:highlight w:val="none"/>
                      <w:lang w:val="en-US" w:eastAsia="zh-CN" w:bidi="ar-SA"/>
                    </w:rPr>
                  </w:pPr>
                  <w:r>
                    <w:rPr>
                      <w:rFonts w:hint="default" w:ascii="Times New Roman" w:hAnsi="Times New Roman" w:cs="Times New Roman"/>
                      <w:color w:val="auto"/>
                      <w:spacing w:val="5"/>
                      <w:highlight w:val="none"/>
                      <w:lang w:eastAsia="zh-CN"/>
                    </w:rPr>
                    <w:t>以钢铁、水泥、平板玻璃、焦化、化工、制药等</w:t>
                  </w:r>
                  <w:r>
                    <w:rPr>
                      <w:rFonts w:hint="default" w:ascii="Times New Roman" w:hAnsi="Times New Roman" w:cs="Times New Roman"/>
                      <w:color w:val="auto"/>
                      <w:spacing w:val="6"/>
                      <w:highlight w:val="none"/>
                      <w:lang w:eastAsia="zh-CN"/>
                    </w:rPr>
                    <w:t>行业为重点，加快城市建成区重点污染工业企业环保升级改造，达不到排放要求的实施搬迁改造或关闭退出；其他不适宜在主城区发展的工业企</w:t>
                  </w:r>
                  <w:r>
                    <w:rPr>
                      <w:rFonts w:hint="default" w:ascii="Times New Roman" w:hAnsi="Times New Roman" w:cs="Times New Roman"/>
                      <w:color w:val="auto"/>
                      <w:spacing w:val="11"/>
                      <w:highlight w:val="none"/>
                      <w:lang w:eastAsia="zh-CN"/>
                    </w:rPr>
                    <w:t>业，根据实际纳入退城搬迁范围。对主城区（不含开发区）的重点污染工业企业除必须依托城市</w:t>
                  </w:r>
                  <w:r>
                    <w:rPr>
                      <w:rFonts w:hint="default" w:ascii="Times New Roman" w:hAnsi="Times New Roman" w:cs="Times New Roman"/>
                      <w:color w:val="auto"/>
                      <w:spacing w:val="6"/>
                      <w:highlight w:val="none"/>
                      <w:lang w:eastAsia="zh-CN"/>
                    </w:rPr>
                    <w:t>或直接服务于城市的企业外，均应尽快启动退城搬迁；对县城和主要城镇建成区的重点污染工业企业，具备条件的要实施退城搬迁。通过工业企业退城进园搬迁改造，调整工业布局，将城市建</w:t>
                  </w:r>
                  <w:r>
                    <w:rPr>
                      <w:rFonts w:hint="default" w:ascii="Times New Roman" w:hAnsi="Times New Roman" w:cs="Times New Roman"/>
                      <w:color w:val="auto"/>
                      <w:spacing w:val="13"/>
                      <w:highlight w:val="none"/>
                      <w:lang w:eastAsia="zh-CN"/>
                    </w:rPr>
                    <w:t>成区及周边企业逐步向符合接纳条件的开发区搬迁，在搬迁的同时，通过改建提高工艺和污染治理水平。</w:t>
                  </w:r>
                </w:p>
              </w:tc>
              <w:tc>
                <w:tcPr>
                  <w:tcW w:w="1620" w:type="dxa"/>
                  <w:shd w:val="clear" w:color="auto" w:fill="auto"/>
                  <w:vAlign w:val="center"/>
                </w:tcPr>
                <w:p w14:paraId="2D6C72C6">
                  <w:pPr>
                    <w:pStyle w:val="109"/>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9"/>
                      <w:kern w:val="2"/>
                      <w:sz w:val="21"/>
                      <w:szCs w:val="21"/>
                      <w:highlight w:val="none"/>
                      <w:lang w:val="en-US" w:eastAsia="zh-CN" w:bidi="ar-SA"/>
                    </w:rPr>
                  </w:pPr>
                  <w:r>
                    <w:rPr>
                      <w:rFonts w:hint="default" w:ascii="Times New Roman" w:hAnsi="Times New Roman" w:cs="Times New Roman"/>
                      <w:color w:val="auto"/>
                      <w:spacing w:val="2"/>
                      <w:highlight w:val="none"/>
                      <w:lang w:eastAsia="zh-CN"/>
                    </w:rPr>
                    <w:t>本项目不属于钢铁行业；项目位于秦皇岛新兴产业园内，符合总体规划要求</w:t>
                  </w:r>
                </w:p>
              </w:tc>
              <w:tc>
                <w:tcPr>
                  <w:tcW w:w="753" w:type="dxa"/>
                  <w:shd w:val="clear" w:color="auto" w:fill="auto"/>
                  <w:vAlign w:val="center"/>
                </w:tcPr>
                <w:p w14:paraId="39646D70">
                  <w:pPr>
                    <w:pStyle w:val="109"/>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3"/>
                      <w:kern w:val="2"/>
                      <w:sz w:val="21"/>
                      <w:szCs w:val="21"/>
                      <w:highlight w:val="none"/>
                      <w:lang w:val="en-US" w:eastAsia="en-US" w:bidi="ar-SA"/>
                    </w:rPr>
                  </w:pPr>
                  <w:r>
                    <w:rPr>
                      <w:rFonts w:hint="default" w:ascii="Times New Roman" w:hAnsi="Times New Roman" w:cs="Times New Roman"/>
                      <w:color w:val="auto"/>
                      <w:spacing w:val="3"/>
                      <w:highlight w:val="none"/>
                    </w:rPr>
                    <w:t>符合</w:t>
                  </w:r>
                </w:p>
              </w:tc>
            </w:tr>
            <w:tr w14:paraId="6D80B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7" w:hRule="atLeast"/>
                <w:jc w:val="center"/>
              </w:trPr>
              <w:tc>
                <w:tcPr>
                  <w:tcW w:w="518" w:type="dxa"/>
                  <w:vAlign w:val="center"/>
                </w:tcPr>
                <w:p w14:paraId="2194BFE2">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污染物排放管控</w:t>
                  </w:r>
                </w:p>
              </w:tc>
              <w:tc>
                <w:tcPr>
                  <w:tcW w:w="5395" w:type="dxa"/>
                  <w:shd w:val="clear" w:color="auto" w:fill="auto"/>
                  <w:vAlign w:val="center"/>
                </w:tcPr>
                <w:p w14:paraId="0F7F38BA">
                  <w:pPr>
                    <w:pStyle w:val="109"/>
                    <w:keepNext w:val="0"/>
                    <w:keepLines w:val="0"/>
                    <w:suppressLineNumbers w:val="0"/>
                    <w:adjustRightInd w:val="0"/>
                    <w:snapToGrid w:val="0"/>
                    <w:spacing w:before="0" w:beforeAutospacing="0" w:after="0" w:afterAutospacing="0"/>
                    <w:ind w:left="0" w:right="0"/>
                    <w:jc w:val="left"/>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大气污染管控： </w:t>
                  </w:r>
                </w:p>
                <w:p w14:paraId="52E3BBD0">
                  <w:pPr>
                    <w:pStyle w:val="109"/>
                    <w:keepNext w:val="0"/>
                    <w:keepLines w:val="0"/>
                    <w:suppressLineNumbers w:val="0"/>
                    <w:adjustRightInd w:val="0"/>
                    <w:snapToGrid w:val="0"/>
                    <w:spacing w:before="0" w:beforeAutospacing="0" w:after="0" w:afterAutospacing="0"/>
                    <w:ind w:left="0" w:right="0"/>
                    <w:jc w:val="left"/>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 xml:space="preserve">协同开展 </w:t>
                  </w:r>
                  <w:r>
                    <w:rPr>
                      <w:rFonts w:hint="default" w:ascii="Times New Roman" w:hAnsi="Times New Roman" w:eastAsia="宋体" w:cs="Times New Roman"/>
                      <w:color w:val="auto"/>
                      <w:highlight w:val="none"/>
                      <w:lang w:val="en-US" w:eastAsia="zh-CN"/>
                    </w:rPr>
                    <w:t>PM</w:t>
                  </w:r>
                  <w:r>
                    <w:rPr>
                      <w:rFonts w:hint="default" w:ascii="Times New Roman" w:hAnsi="Times New Roman" w:eastAsia="宋体" w:cs="Times New Roman"/>
                      <w:color w:val="auto"/>
                      <w:highlight w:val="none"/>
                      <w:vertAlign w:val="subscript"/>
                      <w:lang w:val="en-US" w:eastAsia="zh-CN"/>
                    </w:rPr>
                    <w:t>2.5</w:t>
                  </w:r>
                  <w:r>
                    <w:rPr>
                      <w:rFonts w:hint="eastAsia" w:ascii="Times New Roman" w:hAnsi="Times New Roman" w:eastAsia="宋体" w:cs="Times New Roman"/>
                      <w:color w:val="auto"/>
                      <w:highlight w:val="none"/>
                      <w:lang w:val="en-US" w:eastAsia="zh-CN"/>
                    </w:rPr>
                    <w:t xml:space="preserve">与臭氧污染防治。制定加强 </w:t>
                  </w:r>
                  <w:r>
                    <w:rPr>
                      <w:rFonts w:hint="default" w:ascii="Times New Roman" w:hAnsi="Times New Roman" w:eastAsia="宋体" w:cs="Times New Roman"/>
                      <w:color w:val="auto"/>
                      <w:highlight w:val="none"/>
                      <w:lang w:val="en-US" w:eastAsia="zh-CN"/>
                    </w:rPr>
                    <w:t>PM</w:t>
                  </w:r>
                  <w:r>
                    <w:rPr>
                      <w:rFonts w:hint="default" w:ascii="Times New Roman" w:hAnsi="Times New Roman" w:eastAsia="宋体" w:cs="Times New Roman"/>
                      <w:color w:val="auto"/>
                      <w:highlight w:val="none"/>
                      <w:vertAlign w:val="subscript"/>
                      <w:lang w:val="en-US" w:eastAsia="zh-CN"/>
                    </w:rPr>
                    <w:t>2.5</w:t>
                  </w:r>
                  <w:r>
                    <w:rPr>
                      <w:rFonts w:hint="eastAsia" w:ascii="Times New Roman" w:hAnsi="Times New Roman" w:eastAsia="宋体" w:cs="Times New Roman"/>
                      <w:color w:val="auto"/>
                      <w:highlight w:val="none"/>
                      <w:lang w:val="en-US" w:eastAsia="zh-CN"/>
                    </w:rPr>
                    <w:t xml:space="preserve">和臭氧协同控制持续改善空气质量行动方案，通过氮氧化物与 </w:t>
                  </w:r>
                  <w:r>
                    <w:rPr>
                      <w:rFonts w:hint="default" w:ascii="Times New Roman" w:hAnsi="Times New Roman" w:eastAsia="宋体" w:cs="Times New Roman"/>
                      <w:color w:val="auto"/>
                      <w:highlight w:val="none"/>
                      <w:lang w:val="en-US" w:eastAsia="zh-CN"/>
                    </w:rPr>
                    <w:t xml:space="preserve">VOCs </w:t>
                  </w:r>
                  <w:r>
                    <w:rPr>
                      <w:rFonts w:hint="eastAsia" w:ascii="Times New Roman" w:hAnsi="Times New Roman" w:eastAsia="宋体" w:cs="Times New Roman"/>
                      <w:color w:val="auto"/>
                      <w:highlight w:val="none"/>
                      <w:lang w:val="en-US" w:eastAsia="zh-CN"/>
                    </w:rPr>
                    <w:t xml:space="preserve">的协同控制， </w:t>
                  </w:r>
                </w:p>
                <w:p w14:paraId="7C0C26D5">
                  <w:pPr>
                    <w:pStyle w:val="109"/>
                    <w:keepNext w:val="0"/>
                    <w:keepLines w:val="0"/>
                    <w:suppressLineNumbers w:val="0"/>
                    <w:adjustRightInd w:val="0"/>
                    <w:snapToGrid w:val="0"/>
                    <w:spacing w:before="0" w:beforeAutospacing="0" w:after="0" w:afterAutospacing="0"/>
                    <w:ind w:left="0" w:right="0"/>
                    <w:jc w:val="left"/>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推动全市 </w:t>
                  </w:r>
                  <w:r>
                    <w:rPr>
                      <w:rFonts w:hint="default" w:ascii="Times New Roman" w:hAnsi="Times New Roman" w:eastAsia="宋体" w:cs="Times New Roman"/>
                      <w:color w:val="auto"/>
                      <w:highlight w:val="none"/>
                      <w:lang w:val="en-US" w:eastAsia="zh-CN"/>
                    </w:rPr>
                    <w:t>PM</w:t>
                  </w:r>
                  <w:r>
                    <w:rPr>
                      <w:rFonts w:hint="default" w:ascii="Times New Roman" w:hAnsi="Times New Roman" w:eastAsia="宋体" w:cs="Times New Roman"/>
                      <w:color w:val="auto"/>
                      <w:highlight w:val="none"/>
                      <w:vertAlign w:val="subscript"/>
                      <w:lang w:val="en-US" w:eastAsia="zh-CN"/>
                    </w:rPr>
                    <w:t>2.5</w:t>
                  </w:r>
                  <w:r>
                    <w:rPr>
                      <w:rFonts w:hint="eastAsia" w:ascii="Times New Roman" w:hAnsi="Times New Roman" w:eastAsia="宋体" w:cs="Times New Roman"/>
                      <w:color w:val="auto"/>
                      <w:highlight w:val="none"/>
                      <w:lang w:val="en-US" w:eastAsia="zh-CN"/>
                    </w:rPr>
                    <w:t xml:space="preserve">和臭氧浓度持续下降。加强重点时段、重点领域、重点行业治理，强化差异化、精细化协同管控。开展臭氧形成机理研究与源解析，对活性较强的前体物建立排放清单，实施重点管控。协同控制 </w:t>
                  </w:r>
                  <w:r>
                    <w:rPr>
                      <w:rFonts w:hint="default" w:ascii="Times New Roman" w:hAnsi="Times New Roman" w:eastAsia="宋体" w:cs="Times New Roman"/>
                      <w:color w:val="auto"/>
                      <w:highlight w:val="none"/>
                      <w:lang w:val="en-US" w:eastAsia="zh-CN"/>
                    </w:rPr>
                    <w:t>VOCs</w:t>
                  </w:r>
                  <w:r>
                    <w:rPr>
                      <w:rFonts w:hint="eastAsia" w:ascii="Times New Roman" w:hAnsi="Times New Roman" w:eastAsia="宋体" w:cs="Times New Roman"/>
                      <w:color w:val="auto"/>
                      <w:highlight w:val="none"/>
                      <w:lang w:val="en-US" w:eastAsia="zh-CN"/>
                    </w:rPr>
                    <w:t>及氮氧化物排放。到</w:t>
                  </w:r>
                  <w:r>
                    <w:rPr>
                      <w:rFonts w:hint="default" w:ascii="Times New Roman" w:hAnsi="Times New Roman" w:eastAsia="宋体" w:cs="Times New Roman"/>
                      <w:color w:val="auto"/>
                      <w:highlight w:val="none"/>
                      <w:lang w:val="en-US" w:eastAsia="zh-CN"/>
                    </w:rPr>
                    <w:t>2025</w:t>
                  </w:r>
                  <w:r>
                    <w:rPr>
                      <w:rFonts w:hint="eastAsia" w:ascii="Times New Roman" w:hAnsi="Times New Roman" w:eastAsia="宋体" w:cs="Times New Roman"/>
                      <w:color w:val="auto"/>
                      <w:highlight w:val="none"/>
                      <w:lang w:val="en-US" w:eastAsia="zh-CN"/>
                    </w:rPr>
                    <w:t>年，氮氧化物、</w:t>
                  </w:r>
                  <w:r>
                    <w:rPr>
                      <w:rFonts w:hint="default" w:ascii="Times New Roman" w:hAnsi="Times New Roman" w:eastAsia="宋体" w:cs="Times New Roman"/>
                      <w:color w:val="auto"/>
                      <w:highlight w:val="none"/>
                      <w:lang w:val="en-US" w:eastAsia="zh-CN"/>
                    </w:rPr>
                    <w:t xml:space="preserve">VOCs </w:t>
                  </w:r>
                  <w:r>
                    <w:rPr>
                      <w:rFonts w:hint="eastAsia" w:ascii="Times New Roman" w:hAnsi="Times New Roman" w:eastAsia="宋体" w:cs="Times New Roman"/>
                      <w:color w:val="auto"/>
                      <w:highlight w:val="none"/>
                      <w:lang w:val="en-US" w:eastAsia="zh-CN"/>
                    </w:rPr>
                    <w:t xml:space="preserve">工程减排量分别达到 </w:t>
                  </w:r>
                  <w:r>
                    <w:rPr>
                      <w:rFonts w:hint="default" w:ascii="Times New Roman" w:hAnsi="Times New Roman" w:eastAsia="宋体" w:cs="Times New Roman"/>
                      <w:color w:val="auto"/>
                      <w:highlight w:val="none"/>
                      <w:lang w:val="en-US" w:eastAsia="zh-CN"/>
                    </w:rPr>
                    <w:t xml:space="preserve">7500 </w:t>
                  </w:r>
                  <w:r>
                    <w:rPr>
                      <w:rFonts w:hint="eastAsia" w:ascii="Times New Roman" w:hAnsi="Times New Roman" w:eastAsia="宋体" w:cs="Times New Roman"/>
                      <w:color w:val="auto"/>
                      <w:highlight w:val="none"/>
                      <w:lang w:val="en-US" w:eastAsia="zh-CN"/>
                    </w:rPr>
                    <w:t xml:space="preserve">吨和 </w:t>
                  </w:r>
                  <w:r>
                    <w:rPr>
                      <w:rFonts w:hint="default" w:ascii="Times New Roman" w:hAnsi="Times New Roman" w:eastAsia="宋体" w:cs="Times New Roman"/>
                      <w:color w:val="auto"/>
                      <w:highlight w:val="none"/>
                      <w:lang w:val="en-US" w:eastAsia="zh-CN"/>
                    </w:rPr>
                    <w:t xml:space="preserve">2800 </w:t>
                  </w:r>
                  <w:r>
                    <w:rPr>
                      <w:rFonts w:hint="eastAsia" w:ascii="Times New Roman" w:hAnsi="Times New Roman" w:eastAsia="宋体" w:cs="Times New Roman"/>
                      <w:color w:val="auto"/>
                      <w:highlight w:val="none"/>
                      <w:lang w:val="en-US" w:eastAsia="zh-CN"/>
                    </w:rPr>
                    <w:t xml:space="preserve">吨。 </w:t>
                  </w:r>
                </w:p>
                <w:p w14:paraId="3C565F56">
                  <w:pPr>
                    <w:pStyle w:val="109"/>
                    <w:keepNext w:val="0"/>
                    <w:keepLines w:val="0"/>
                    <w:suppressLineNumbers w:val="0"/>
                    <w:adjustRightInd w:val="0"/>
                    <w:snapToGrid w:val="0"/>
                    <w:spacing w:before="0" w:beforeAutospacing="0" w:after="0" w:afterAutospacing="0"/>
                    <w:ind w:left="0" w:right="0"/>
                    <w:jc w:val="left"/>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水污染管控： </w:t>
                  </w:r>
                </w:p>
                <w:p w14:paraId="130124F2">
                  <w:pPr>
                    <w:pStyle w:val="109"/>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1.2025年，基本完成全市主要河流干流及重要支流入河排污口整治，基本实现城市建成区污水“零直排”，黑臭水体动态清零。工厂化养殖排水全部经处理后排放，实现港口污水综合处理率 100%，港区码头固体废物分类收集贮存或无害化处理率 100%。地表水达到或好于Ⅲ类水体比例达 80%，主要入海河流水质达Ⅲ类，近岸海域水质达标率稳定保持 100%。 主要海水浴场年度水质优良比例达到 100%。</w:t>
                  </w:r>
                </w:p>
              </w:tc>
              <w:tc>
                <w:tcPr>
                  <w:tcW w:w="1620" w:type="dxa"/>
                  <w:shd w:val="clear" w:color="auto" w:fill="auto"/>
                  <w:vAlign w:val="center"/>
                </w:tcPr>
                <w:p w14:paraId="4D9E9F24">
                  <w:pPr>
                    <w:pStyle w:val="109"/>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pacing w:val="9"/>
                      <w:highlight w:val="none"/>
                      <w:lang w:val="en-US" w:eastAsia="zh-CN"/>
                    </w:rPr>
                  </w:pPr>
                  <w:r>
                    <w:rPr>
                      <w:rFonts w:hint="eastAsia" w:ascii="Times New Roman" w:hAnsi="Times New Roman" w:cs="Times New Roman"/>
                      <w:color w:val="auto"/>
                      <w:spacing w:val="9"/>
                      <w:highlight w:val="none"/>
                      <w:lang w:val="en-US" w:eastAsia="zh-CN"/>
                    </w:rPr>
                    <w:t>本项目废气、废水污染物经治理后均达标排放</w:t>
                  </w:r>
                </w:p>
              </w:tc>
              <w:tc>
                <w:tcPr>
                  <w:tcW w:w="753" w:type="dxa"/>
                  <w:shd w:val="clear" w:color="auto" w:fill="auto"/>
                  <w:vAlign w:val="center"/>
                </w:tcPr>
                <w:p w14:paraId="50C23397">
                  <w:pPr>
                    <w:pStyle w:val="109"/>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pacing w:val="3"/>
                      <w:highlight w:val="none"/>
                    </w:rPr>
                  </w:pPr>
                  <w:r>
                    <w:rPr>
                      <w:rFonts w:hint="default" w:ascii="Times New Roman" w:hAnsi="Times New Roman" w:cs="Times New Roman"/>
                      <w:color w:val="auto"/>
                      <w:spacing w:val="3"/>
                      <w:highlight w:val="none"/>
                    </w:rPr>
                    <w:t>符合</w:t>
                  </w:r>
                </w:p>
              </w:tc>
            </w:tr>
            <w:tr w14:paraId="6C2A0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7" w:hRule="atLeast"/>
                <w:jc w:val="center"/>
              </w:trPr>
              <w:tc>
                <w:tcPr>
                  <w:tcW w:w="518" w:type="dxa"/>
                  <w:vAlign w:val="center"/>
                </w:tcPr>
                <w:p w14:paraId="3D03927C">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环境风险防控</w:t>
                  </w:r>
                </w:p>
              </w:tc>
              <w:tc>
                <w:tcPr>
                  <w:tcW w:w="5395" w:type="dxa"/>
                  <w:shd w:val="clear" w:color="auto" w:fill="auto"/>
                  <w:vAlign w:val="center"/>
                </w:tcPr>
                <w:p w14:paraId="29683FC7">
                  <w:pPr>
                    <w:keepNext w:val="0"/>
                    <w:keepLines w:val="0"/>
                    <w:widowControl/>
                    <w:suppressLineNumbers w:val="0"/>
                    <w:spacing w:before="0" w:beforeAutospacing="0" w:after="0" w:afterAutospacing="0"/>
                    <w:ind w:left="0" w:right="0"/>
                    <w:jc w:val="left"/>
                    <w:rPr>
                      <w:rFonts w:hint="default"/>
                      <w:highlight w:val="none"/>
                    </w:rPr>
                  </w:pPr>
                  <w:r>
                    <w:rPr>
                      <w:rFonts w:hint="default" w:ascii="Times New Roman" w:hAnsi="Times New Roman" w:eastAsia="宋体" w:cs="Times New Roman"/>
                      <w:color w:val="000000"/>
                      <w:kern w:val="0"/>
                      <w:sz w:val="21"/>
                      <w:szCs w:val="21"/>
                      <w:highlight w:val="none"/>
                      <w:lang w:val="en-US" w:eastAsia="zh-CN" w:bidi="ar"/>
                    </w:rPr>
                    <w:t xml:space="preserve">1. </w:t>
                  </w:r>
                  <w:r>
                    <w:rPr>
                      <w:rFonts w:hint="eastAsia" w:ascii="宋体" w:hAnsi="宋体" w:eastAsia="宋体" w:cs="宋体"/>
                      <w:color w:val="000000"/>
                      <w:kern w:val="0"/>
                      <w:sz w:val="21"/>
                      <w:szCs w:val="21"/>
                      <w:highlight w:val="none"/>
                      <w:lang w:val="en-US" w:eastAsia="zh-CN" w:bidi="ar"/>
                    </w:rPr>
                    <w:t>建立农产品质量安全检测制度，每年开展农产品质量抽样检测和风险预警。探索建立受污染耕地安全利用项目示范区。</w:t>
                  </w:r>
                </w:p>
                <w:p w14:paraId="3C9BA153">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highlight w:val="none"/>
                      <w:lang w:eastAsia="zh-CN"/>
                    </w:rPr>
                  </w:pPr>
                  <w:r>
                    <w:rPr>
                      <w:rFonts w:hint="default" w:ascii="Times New Roman" w:hAnsi="Times New Roman" w:eastAsia="宋体" w:cs="Times New Roman"/>
                      <w:color w:val="000000"/>
                      <w:kern w:val="0"/>
                      <w:sz w:val="21"/>
                      <w:szCs w:val="21"/>
                      <w:highlight w:val="none"/>
                      <w:lang w:val="en-US" w:eastAsia="zh-CN" w:bidi="ar"/>
                    </w:rPr>
                    <w:t xml:space="preserve">2. </w:t>
                  </w:r>
                  <w:r>
                    <w:rPr>
                      <w:rFonts w:hint="eastAsia" w:ascii="宋体" w:hAnsi="宋体" w:eastAsia="宋体" w:cs="宋体"/>
                      <w:color w:val="000000"/>
                      <w:kern w:val="0"/>
                      <w:sz w:val="21"/>
                      <w:szCs w:val="21"/>
                      <w:highlight w:val="none"/>
                      <w:lang w:val="en-US" w:eastAsia="zh-CN" w:bidi="ar"/>
                    </w:rPr>
                    <w:t>在涉及重度污染耕地的县（区）要依法划定特定农产品禁止生产区域，明确界限，设立标识，严禁种植食用农产品；对威胁地下水、饮用水水源安全的，有关县（区）要制定环境风险管控方案，落实管控措施。</w:t>
                  </w:r>
                </w:p>
              </w:tc>
              <w:tc>
                <w:tcPr>
                  <w:tcW w:w="1620" w:type="dxa"/>
                  <w:shd w:val="clear" w:color="auto" w:fill="auto"/>
                  <w:vAlign w:val="center"/>
                </w:tcPr>
                <w:p w14:paraId="6C72F1B3">
                  <w:pPr>
                    <w:pStyle w:val="109"/>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pacing w:val="9"/>
                      <w:highlight w:val="none"/>
                      <w:lang w:val="en-US" w:eastAsia="zh-CN"/>
                    </w:rPr>
                  </w:pPr>
                  <w:r>
                    <w:rPr>
                      <w:rFonts w:hint="eastAsia" w:ascii="Times New Roman" w:hAnsi="Times New Roman" w:cs="Times New Roman"/>
                      <w:color w:val="auto"/>
                      <w:spacing w:val="9"/>
                      <w:highlight w:val="none"/>
                      <w:lang w:val="en-US" w:eastAsia="zh-CN"/>
                    </w:rPr>
                    <w:t>本项目不涉及耕地</w:t>
                  </w:r>
                </w:p>
              </w:tc>
              <w:tc>
                <w:tcPr>
                  <w:tcW w:w="753" w:type="dxa"/>
                  <w:shd w:val="clear" w:color="auto" w:fill="auto"/>
                  <w:vAlign w:val="center"/>
                </w:tcPr>
                <w:p w14:paraId="138041DD">
                  <w:pPr>
                    <w:pStyle w:val="109"/>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pacing w:val="3"/>
                      <w:highlight w:val="none"/>
                    </w:rPr>
                  </w:pPr>
                  <w:r>
                    <w:rPr>
                      <w:rFonts w:hint="default" w:ascii="Times New Roman" w:hAnsi="Times New Roman" w:cs="Times New Roman"/>
                      <w:color w:val="auto"/>
                      <w:spacing w:val="3"/>
                      <w:highlight w:val="none"/>
                    </w:rPr>
                    <w:t>符合</w:t>
                  </w:r>
                </w:p>
              </w:tc>
            </w:tr>
            <w:tr w14:paraId="0D6C0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99" w:hRule="atLeast"/>
                <w:jc w:val="center"/>
              </w:trPr>
              <w:tc>
                <w:tcPr>
                  <w:tcW w:w="518" w:type="dxa"/>
                  <w:vAlign w:val="center"/>
                </w:tcPr>
                <w:p w14:paraId="7069BEE1">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资源开发利用</w:t>
                  </w:r>
                </w:p>
              </w:tc>
              <w:tc>
                <w:tcPr>
                  <w:tcW w:w="5395" w:type="dxa"/>
                  <w:shd w:val="clear" w:color="auto" w:fill="auto"/>
                  <w:vAlign w:val="center"/>
                </w:tcPr>
                <w:p w14:paraId="2ECC1CCA">
                  <w:pPr>
                    <w:pStyle w:val="109"/>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1.2025 </w:t>
                  </w:r>
                  <w:r>
                    <w:rPr>
                      <w:rFonts w:hint="eastAsia" w:ascii="Times New Roman" w:hAnsi="Times New Roman" w:eastAsia="宋体" w:cs="Times New Roman"/>
                      <w:color w:val="auto"/>
                      <w:highlight w:val="none"/>
                      <w:lang w:val="en-US" w:eastAsia="zh-CN"/>
                    </w:rPr>
                    <w:t xml:space="preserve">年秦皇岛市用水总量控制在 </w:t>
                  </w:r>
                  <w:r>
                    <w:rPr>
                      <w:rFonts w:hint="default" w:ascii="Times New Roman" w:hAnsi="Times New Roman" w:eastAsia="宋体" w:cs="Times New Roman"/>
                      <w:color w:val="auto"/>
                      <w:highlight w:val="none"/>
                      <w:lang w:val="en-US" w:eastAsia="zh-CN"/>
                    </w:rPr>
                    <w:t xml:space="preserve">9.06 </w:t>
                  </w:r>
                  <w:r>
                    <w:rPr>
                      <w:rFonts w:hint="eastAsia" w:ascii="Times New Roman" w:hAnsi="Times New Roman" w:eastAsia="宋体" w:cs="Times New Roman"/>
                      <w:color w:val="auto"/>
                      <w:highlight w:val="none"/>
                      <w:lang w:val="en-US" w:eastAsia="zh-CN"/>
                    </w:rPr>
                    <w:t xml:space="preserve">亿立方米以内，万元 </w:t>
                  </w:r>
                  <w:r>
                    <w:rPr>
                      <w:rFonts w:hint="default" w:ascii="Times New Roman" w:hAnsi="Times New Roman" w:eastAsia="宋体" w:cs="Times New Roman"/>
                      <w:color w:val="auto"/>
                      <w:highlight w:val="none"/>
                      <w:lang w:val="en-US" w:eastAsia="zh-CN"/>
                    </w:rPr>
                    <w:t xml:space="preserve">GDP </w:t>
                  </w:r>
                  <w:r>
                    <w:rPr>
                      <w:rFonts w:hint="eastAsia" w:ascii="Times New Roman" w:hAnsi="Times New Roman" w:eastAsia="宋体" w:cs="Times New Roman"/>
                      <w:color w:val="auto"/>
                      <w:highlight w:val="none"/>
                      <w:lang w:val="en-US" w:eastAsia="zh-CN"/>
                    </w:rPr>
                    <w:t xml:space="preserve">水耗相比 </w:t>
                  </w:r>
                  <w:r>
                    <w:rPr>
                      <w:rFonts w:hint="default" w:ascii="Times New Roman" w:hAnsi="Times New Roman" w:eastAsia="宋体" w:cs="Times New Roman"/>
                      <w:color w:val="auto"/>
                      <w:highlight w:val="none"/>
                      <w:lang w:val="en-US" w:eastAsia="zh-CN"/>
                    </w:rPr>
                    <w:t xml:space="preserve">2015 </w:t>
                  </w:r>
                  <w:r>
                    <w:rPr>
                      <w:rFonts w:hint="eastAsia" w:ascii="Times New Roman" w:hAnsi="Times New Roman" w:eastAsia="宋体" w:cs="Times New Roman"/>
                      <w:color w:val="auto"/>
                      <w:highlight w:val="none"/>
                      <w:lang w:val="en-US" w:eastAsia="zh-CN"/>
                    </w:rPr>
                    <w:t xml:space="preserve">年下降 </w:t>
                  </w:r>
                  <w:r>
                    <w:rPr>
                      <w:rFonts w:hint="default" w:ascii="Times New Roman" w:hAnsi="Times New Roman" w:eastAsia="宋体" w:cs="Times New Roman"/>
                      <w:color w:val="auto"/>
                      <w:highlight w:val="none"/>
                      <w:lang w:val="en-US" w:eastAsia="zh-CN"/>
                    </w:rPr>
                    <w:t>35%</w:t>
                  </w:r>
                  <w:r>
                    <w:rPr>
                      <w:rFonts w:hint="eastAsia" w:ascii="Times New Roman" w:hAnsi="Times New Roman" w:eastAsia="宋体" w:cs="Times New Roman"/>
                      <w:color w:val="auto"/>
                      <w:highlight w:val="none"/>
                      <w:lang w:val="en-US" w:eastAsia="zh-CN"/>
                    </w:rPr>
                    <w:t xml:space="preserve">；能源利用总量控制在 </w:t>
                  </w:r>
                  <w:r>
                    <w:rPr>
                      <w:rFonts w:hint="default" w:ascii="Times New Roman" w:hAnsi="Times New Roman" w:eastAsia="宋体" w:cs="Times New Roman"/>
                      <w:color w:val="auto"/>
                      <w:highlight w:val="none"/>
                      <w:lang w:val="en-US" w:eastAsia="zh-CN"/>
                    </w:rPr>
                    <w:t xml:space="preserve">1853 </w:t>
                  </w:r>
                  <w:r>
                    <w:rPr>
                      <w:rFonts w:hint="eastAsia" w:ascii="Times New Roman" w:hAnsi="Times New Roman" w:eastAsia="宋体" w:cs="Times New Roman"/>
                      <w:color w:val="auto"/>
                      <w:highlight w:val="none"/>
                      <w:lang w:val="en-US" w:eastAsia="zh-CN"/>
                    </w:rPr>
                    <w:t>万吨标准煤，单位</w:t>
                  </w:r>
                  <w:r>
                    <w:rPr>
                      <w:rFonts w:hint="default" w:ascii="Times New Roman" w:hAnsi="Times New Roman" w:eastAsia="宋体" w:cs="Times New Roman"/>
                      <w:color w:val="auto"/>
                      <w:highlight w:val="none"/>
                      <w:lang w:val="en-US" w:eastAsia="zh-CN"/>
                    </w:rPr>
                    <w:t xml:space="preserve">GDP </w:t>
                  </w:r>
                  <w:r>
                    <w:rPr>
                      <w:rFonts w:hint="eastAsia" w:ascii="Times New Roman" w:hAnsi="Times New Roman" w:eastAsia="宋体" w:cs="Times New Roman"/>
                      <w:color w:val="auto"/>
                      <w:highlight w:val="none"/>
                      <w:lang w:val="en-US" w:eastAsia="zh-CN"/>
                    </w:rPr>
                    <w:t xml:space="preserve">能耗为 </w:t>
                  </w:r>
                  <w:r>
                    <w:rPr>
                      <w:rFonts w:hint="default" w:ascii="Times New Roman" w:hAnsi="Times New Roman" w:eastAsia="宋体" w:cs="Times New Roman"/>
                      <w:color w:val="auto"/>
                      <w:highlight w:val="none"/>
                      <w:lang w:val="en-US" w:eastAsia="zh-CN"/>
                    </w:rPr>
                    <w:t xml:space="preserve">0.96 </w:t>
                  </w:r>
                  <w:r>
                    <w:rPr>
                      <w:rFonts w:hint="eastAsia" w:ascii="Times New Roman" w:hAnsi="Times New Roman" w:eastAsia="宋体" w:cs="Times New Roman"/>
                      <w:color w:val="auto"/>
                      <w:highlight w:val="none"/>
                      <w:lang w:val="en-US" w:eastAsia="zh-CN"/>
                    </w:rPr>
                    <w:t>吨标准煤</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 xml:space="preserve">万元，煤炭总量控制在 </w:t>
                  </w:r>
                  <w:r>
                    <w:rPr>
                      <w:rFonts w:hint="default" w:ascii="Times New Roman" w:hAnsi="Times New Roman" w:eastAsia="宋体" w:cs="Times New Roman"/>
                      <w:color w:val="auto"/>
                      <w:highlight w:val="none"/>
                      <w:lang w:val="en-US" w:eastAsia="zh-CN"/>
                    </w:rPr>
                    <w:t xml:space="preserve">1417 </w:t>
                  </w:r>
                  <w:r>
                    <w:rPr>
                      <w:rFonts w:hint="eastAsia" w:ascii="Times New Roman" w:hAnsi="Times New Roman" w:eastAsia="宋体" w:cs="Times New Roman"/>
                      <w:color w:val="auto"/>
                      <w:highlight w:val="none"/>
                      <w:lang w:val="en-US" w:eastAsia="zh-CN"/>
                    </w:rPr>
                    <w:t xml:space="preserve">万吨（实物量）。 </w:t>
                  </w:r>
                </w:p>
              </w:tc>
              <w:tc>
                <w:tcPr>
                  <w:tcW w:w="1620" w:type="dxa"/>
                  <w:shd w:val="clear" w:color="auto" w:fill="auto"/>
                  <w:vAlign w:val="center"/>
                </w:tcPr>
                <w:p w14:paraId="25BF9319">
                  <w:pPr>
                    <w:pStyle w:val="109"/>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pacing w:val="9"/>
                      <w:highlight w:val="none"/>
                      <w:lang w:val="en-US" w:eastAsia="zh-CN"/>
                    </w:rPr>
                  </w:pPr>
                  <w:r>
                    <w:rPr>
                      <w:rFonts w:hint="eastAsia" w:ascii="Times New Roman" w:hAnsi="Times New Roman" w:cs="Times New Roman"/>
                      <w:color w:val="auto"/>
                      <w:spacing w:val="9"/>
                      <w:highlight w:val="none"/>
                      <w:lang w:val="en-US" w:eastAsia="zh-CN"/>
                    </w:rPr>
                    <w:t>本项目用水量不涉及燃煤</w:t>
                  </w:r>
                </w:p>
              </w:tc>
              <w:tc>
                <w:tcPr>
                  <w:tcW w:w="753" w:type="dxa"/>
                  <w:shd w:val="clear" w:color="auto" w:fill="auto"/>
                  <w:vAlign w:val="center"/>
                </w:tcPr>
                <w:p w14:paraId="050DAC93">
                  <w:pPr>
                    <w:pStyle w:val="109"/>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pacing w:val="3"/>
                      <w:highlight w:val="none"/>
                    </w:rPr>
                  </w:pPr>
                  <w:r>
                    <w:rPr>
                      <w:rFonts w:hint="default" w:ascii="Times New Roman" w:hAnsi="Times New Roman" w:cs="Times New Roman"/>
                      <w:color w:val="auto"/>
                      <w:spacing w:val="3"/>
                      <w:highlight w:val="none"/>
                    </w:rPr>
                    <w:t>符合</w:t>
                  </w:r>
                </w:p>
              </w:tc>
            </w:tr>
            <w:tr w14:paraId="11D31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18" w:type="dxa"/>
                  <w:vMerge w:val="restart"/>
                  <w:vAlign w:val="center"/>
                </w:tcPr>
                <w:p w14:paraId="471AA6E1">
                  <w:pPr>
                    <w:keepNext w:val="0"/>
                    <w:keepLines w:val="0"/>
                    <w:suppressLineNumbers w:val="0"/>
                    <w:adjustRightInd w:val="0"/>
                    <w:snapToGrid w:val="0"/>
                    <w:spacing w:before="0" w:beforeAutospacing="0" w:after="0" w:afterAutospacing="0"/>
                    <w:ind w:left="0" w:right="0"/>
                    <w:rPr>
                      <w:rFonts w:hint="default"/>
                      <w:color w:val="auto"/>
                      <w:szCs w:val="21"/>
                      <w:highlight w:val="none"/>
                    </w:rPr>
                  </w:pPr>
                  <w:r>
                    <w:rPr>
                      <w:rFonts w:hint="default"/>
                      <w:color w:val="auto"/>
                      <w:szCs w:val="21"/>
                      <w:highlight w:val="none"/>
                    </w:rPr>
                    <w:t>大气环境整体管控要求</w:t>
                  </w:r>
                </w:p>
              </w:tc>
              <w:tc>
                <w:tcPr>
                  <w:tcW w:w="5395" w:type="dxa"/>
                  <w:vAlign w:val="center"/>
                </w:tcPr>
                <w:p w14:paraId="6480F049">
                  <w:pPr>
                    <w:pStyle w:val="109"/>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pacing w:val="9"/>
                      <w:highlight w:val="none"/>
                      <w:lang w:eastAsia="zh-CN"/>
                    </w:rPr>
                  </w:pPr>
                  <w:r>
                    <w:rPr>
                      <w:rFonts w:hint="default" w:ascii="Times New Roman" w:hAnsi="Times New Roman" w:cs="Times New Roman"/>
                      <w:color w:val="auto"/>
                      <w:spacing w:val="6"/>
                      <w:highlight w:val="none"/>
                      <w:lang w:eastAsia="zh-CN"/>
                    </w:rPr>
                    <w:t>对于国家或地方排放标准中已规定大气污染物特别排放限值的行业以及锅炉，新受理环评的建设项目执行大气污染物特别排放限值；火电、钢铁、石化、炼焦、化工、有色（不含氧化铝）、水泥行业现有企业以及在用锅炉执行二氧化硫、氮氧化物、颗粒物和挥发性有机物特别排放限值；目前国家排放标准中未规定大气污染物特别排放限值的行业，待相应排放标准制发布后，全市现有企业一律执行二氧化硫、氮氧化物、颗粒物和挥发性有机物特别排放限值。已发布超低排放标准的，按照标准要求执行超低排放标准。</w:t>
                  </w:r>
                </w:p>
              </w:tc>
              <w:tc>
                <w:tcPr>
                  <w:tcW w:w="1620" w:type="dxa"/>
                  <w:vAlign w:val="center"/>
                </w:tcPr>
                <w:p w14:paraId="418F0599">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本项目不涉及锅炉</w:t>
                  </w:r>
                </w:p>
              </w:tc>
              <w:tc>
                <w:tcPr>
                  <w:tcW w:w="753" w:type="dxa"/>
                  <w:vAlign w:val="center"/>
                </w:tcPr>
                <w:p w14:paraId="26D699B2">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3"/>
                      <w:highlight w:val="none"/>
                      <w:lang w:eastAsia="zh-CN"/>
                    </w:rPr>
                  </w:pPr>
                  <w:r>
                    <w:rPr>
                      <w:rFonts w:hint="default" w:ascii="Times New Roman" w:hAnsi="Times New Roman" w:cs="Times New Roman"/>
                      <w:color w:val="auto"/>
                      <w:spacing w:val="3"/>
                      <w:highlight w:val="none"/>
                      <w:lang w:eastAsia="zh-CN"/>
                    </w:rPr>
                    <w:t>符合</w:t>
                  </w:r>
                </w:p>
              </w:tc>
            </w:tr>
            <w:tr w14:paraId="3F1C6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61" w:hRule="atLeast"/>
                <w:jc w:val="center"/>
              </w:trPr>
              <w:tc>
                <w:tcPr>
                  <w:tcW w:w="518" w:type="dxa"/>
                  <w:vMerge w:val="continue"/>
                  <w:vAlign w:val="center"/>
                </w:tcPr>
                <w:p w14:paraId="6A1AFDCF">
                  <w:pPr>
                    <w:keepNext w:val="0"/>
                    <w:keepLines w:val="0"/>
                    <w:suppressLineNumbers w:val="0"/>
                    <w:spacing w:before="0" w:beforeAutospacing="0" w:after="0" w:afterAutospacing="0"/>
                    <w:ind w:left="0" w:right="0"/>
                    <w:rPr>
                      <w:rFonts w:hint="default"/>
                      <w:color w:val="auto"/>
                      <w:szCs w:val="21"/>
                      <w:highlight w:val="none"/>
                    </w:rPr>
                  </w:pPr>
                </w:p>
              </w:tc>
              <w:tc>
                <w:tcPr>
                  <w:tcW w:w="5395" w:type="dxa"/>
                  <w:vAlign w:val="center"/>
                </w:tcPr>
                <w:p w14:paraId="2887E929">
                  <w:pPr>
                    <w:keepNext w:val="0"/>
                    <w:keepLines w:val="0"/>
                    <w:suppressLineNumbers w:val="0"/>
                    <w:adjustRightInd w:val="0"/>
                    <w:snapToGrid w:val="0"/>
                    <w:spacing w:before="0" w:beforeAutospacing="0" w:after="0" w:afterAutospacing="0"/>
                    <w:ind w:left="0" w:right="0"/>
                    <w:rPr>
                      <w:rFonts w:hint="default"/>
                      <w:color w:val="auto"/>
                      <w:szCs w:val="21"/>
                      <w:highlight w:val="none"/>
                    </w:rPr>
                  </w:pPr>
                  <w:r>
                    <w:rPr>
                      <w:rFonts w:hint="default"/>
                      <w:color w:val="auto"/>
                      <w:spacing w:val="6"/>
                      <w:szCs w:val="21"/>
                      <w:highlight w:val="none"/>
                    </w:rPr>
                    <w:t>大力削减VOCs排放。具备条件的涉VOCs企业全部建设负压厂房，全面提高废气收集率。安全高效推进VOCS综合治理，实施原辅材料和产品源头替代工程。对全市所有VOCs排放的工业企业逐企业建设清单台账，编制“一厂一策”方案，提高企业VOCs治理水平，淘汰UV光氧等低效治理设施，开展源头替代、工艺过程、无组织管控、末端治理全流程治理评估，完善VOCs节能环保产业区项目处理工艺，实现工业涂装、包装印刷家具制造、建筑装饰等行业原辅材料源头替代，推广低（无）VOCs含量原辅材料和产品，减少卤化、方向性溶剂等高VODs含量原辅材料使用。规范企业挥发性有机物在线监测设备或超标报警器装置的安装使用和数据联网。</w:t>
                  </w:r>
                </w:p>
              </w:tc>
              <w:tc>
                <w:tcPr>
                  <w:tcW w:w="1620" w:type="dxa"/>
                  <w:vAlign w:val="center"/>
                </w:tcPr>
                <w:p w14:paraId="01088026">
                  <w:pPr>
                    <w:keepNext w:val="0"/>
                    <w:keepLines w:val="0"/>
                    <w:suppressLineNumbers w:val="0"/>
                    <w:spacing w:before="0" w:beforeAutospacing="0" w:after="0" w:afterAutospacing="0"/>
                    <w:ind w:left="0" w:right="0"/>
                    <w:jc w:val="center"/>
                    <w:rPr>
                      <w:rFonts w:hint="default" w:eastAsia="宋体"/>
                      <w:color w:val="auto"/>
                      <w:kern w:val="0"/>
                      <w:szCs w:val="21"/>
                      <w:highlight w:val="none"/>
                      <w:lang w:val="en-US" w:eastAsia="zh-CN"/>
                    </w:rPr>
                  </w:pPr>
                  <w:r>
                    <w:rPr>
                      <w:rFonts w:hint="default"/>
                      <w:color w:val="auto"/>
                      <w:szCs w:val="21"/>
                      <w:highlight w:val="none"/>
                    </w:rPr>
                    <w:t>本项目不涉及</w:t>
                  </w:r>
                  <w:r>
                    <w:rPr>
                      <w:rFonts w:hint="eastAsia"/>
                      <w:color w:val="auto"/>
                      <w:szCs w:val="21"/>
                      <w:highlight w:val="none"/>
                      <w:lang w:val="en-US" w:eastAsia="zh-CN"/>
                    </w:rPr>
                    <w:t>VOCs排放</w:t>
                  </w:r>
                </w:p>
              </w:tc>
              <w:tc>
                <w:tcPr>
                  <w:tcW w:w="753" w:type="dxa"/>
                  <w:vAlign w:val="center"/>
                </w:tcPr>
                <w:p w14:paraId="3E28D266">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符合</w:t>
                  </w:r>
                </w:p>
              </w:tc>
            </w:tr>
            <w:tr w14:paraId="44377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8" w:hRule="atLeast"/>
                <w:jc w:val="center"/>
              </w:trPr>
              <w:tc>
                <w:tcPr>
                  <w:tcW w:w="518" w:type="dxa"/>
                  <w:vMerge w:val="continue"/>
                  <w:vAlign w:val="center"/>
                </w:tcPr>
                <w:p w14:paraId="409E896C">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5395" w:type="dxa"/>
                  <w:vAlign w:val="center"/>
                </w:tcPr>
                <w:p w14:paraId="1D0ACF20">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5"/>
                      <w:highlight w:val="none"/>
                      <w:lang w:eastAsia="zh-CN"/>
                    </w:rPr>
                  </w:pPr>
                  <w:r>
                    <w:rPr>
                      <w:rFonts w:hint="default" w:ascii="Times New Roman" w:hAnsi="Times New Roman" w:cs="Times New Roman"/>
                      <w:color w:val="auto"/>
                      <w:spacing w:val="5"/>
                      <w:highlight w:val="none"/>
                      <w:lang w:eastAsia="zh-CN"/>
                    </w:rPr>
                    <w:t>深化建筑施工扬尘专项整治，严格执行《河北省建筑施工扬尘防治标准》。加强道路扬尘综合整治。到2025年，全市和县级城市道路、城乡结合部、背街小巷基本实现机械化清扫。全市工业企业料堆场全部实现规范管理，工业企业料堆场物料储存落实《煤场、料场、渣场扬尘污染控制技术规范》（DB13/T2352-2016）有关要求，在满足安全前提下，粉状物料入棚入仓储存。</w:t>
                  </w:r>
                </w:p>
              </w:tc>
              <w:tc>
                <w:tcPr>
                  <w:tcW w:w="1620" w:type="dxa"/>
                  <w:vAlign w:val="center"/>
                </w:tcPr>
                <w:p w14:paraId="42B8BEC4">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本项目利用现有车间进行建设，不涉及土建工程</w:t>
                  </w:r>
                </w:p>
              </w:tc>
              <w:tc>
                <w:tcPr>
                  <w:tcW w:w="753" w:type="dxa"/>
                  <w:vAlign w:val="center"/>
                </w:tcPr>
                <w:p w14:paraId="447B2B43">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pacing w:val="3"/>
                      <w:highlight w:val="none"/>
                    </w:rPr>
                    <w:t>符合</w:t>
                  </w:r>
                </w:p>
              </w:tc>
            </w:tr>
            <w:tr w14:paraId="1665F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5" w:hRule="atLeast"/>
                <w:jc w:val="center"/>
              </w:trPr>
              <w:tc>
                <w:tcPr>
                  <w:tcW w:w="518" w:type="dxa"/>
                  <w:vMerge w:val="restart"/>
                  <w:vAlign w:val="center"/>
                </w:tcPr>
                <w:p w14:paraId="1FBBF861">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spacing w:val="6"/>
                      <w:highlight w:val="none"/>
                      <w:lang w:eastAsia="zh-CN"/>
                    </w:rPr>
                    <w:t>地表水环境总体管控</w:t>
                  </w:r>
                  <w:r>
                    <w:rPr>
                      <w:rFonts w:hint="default" w:ascii="Times New Roman" w:hAnsi="Times New Roman" w:cs="Times New Roman"/>
                      <w:color w:val="auto"/>
                      <w:spacing w:val="4"/>
                      <w:highlight w:val="none"/>
                      <w:lang w:eastAsia="zh-CN"/>
                    </w:rPr>
                    <w:t>要求</w:t>
                  </w:r>
                </w:p>
              </w:tc>
              <w:tc>
                <w:tcPr>
                  <w:tcW w:w="5395" w:type="dxa"/>
                  <w:vAlign w:val="center"/>
                </w:tcPr>
                <w:p w14:paraId="0934594A">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spacing w:val="11"/>
                      <w:highlight w:val="none"/>
                      <w:lang w:eastAsia="zh-CN"/>
                    </w:rPr>
                    <w:t>严格控制高污染、高耗水行业新增产能。产能过剩产业实行新增产能等量替代、涉水主要污染物排放同行</w:t>
                  </w:r>
                  <w:r>
                    <w:rPr>
                      <w:rFonts w:hint="default" w:ascii="Times New Roman" w:hAnsi="Times New Roman" w:cs="Times New Roman"/>
                      <w:color w:val="auto"/>
                      <w:spacing w:val="6"/>
                      <w:highlight w:val="none"/>
                      <w:lang w:eastAsia="zh-CN"/>
                    </w:rPr>
                    <w:t>业倍量替代。对造纸、焦化、氮肥、石油化工、印染、</w:t>
                  </w:r>
                  <w:r>
                    <w:rPr>
                      <w:rFonts w:hint="default" w:ascii="Times New Roman" w:hAnsi="Times New Roman" w:cs="Times New Roman"/>
                      <w:color w:val="auto"/>
                      <w:spacing w:val="7"/>
                      <w:highlight w:val="none"/>
                      <w:lang w:eastAsia="zh-CN"/>
                    </w:rPr>
                    <w:t xml:space="preserve">农副食品加工、原料药制造、制革、农药、电镀等“十 大”重点行业，新建、改建、扩建项目实行新增主要污 </w:t>
                  </w:r>
                  <w:r>
                    <w:rPr>
                      <w:rFonts w:hint="default" w:ascii="Times New Roman" w:hAnsi="Times New Roman" w:cs="Times New Roman"/>
                      <w:color w:val="auto"/>
                      <w:spacing w:val="11"/>
                      <w:highlight w:val="none"/>
                      <w:lang w:eastAsia="zh-CN"/>
                    </w:rPr>
                    <w:t>染物排放倍量替代。有序推进产业梯度转移，强化承接产业转移区域的环境监管。集聚区内工业企业废水预处理达到国家规定的间接排放标准方可排入污水集</w:t>
                  </w:r>
                  <w:r>
                    <w:rPr>
                      <w:rFonts w:hint="default" w:ascii="Times New Roman" w:hAnsi="Times New Roman" w:cs="Times New Roman"/>
                      <w:color w:val="auto"/>
                      <w:spacing w:val="9"/>
                      <w:highlight w:val="none"/>
                      <w:lang w:eastAsia="zh-CN"/>
                    </w:rPr>
                    <w:t>中处理设施；新建涉水工业项目须入园进区：全面摸底</w:t>
                  </w:r>
                  <w:r>
                    <w:rPr>
                      <w:rFonts w:hint="default" w:ascii="Times New Roman" w:hAnsi="Times New Roman" w:cs="Times New Roman"/>
                      <w:color w:val="auto"/>
                      <w:spacing w:val="11"/>
                      <w:highlight w:val="none"/>
                      <w:lang w:eastAsia="zh-CN"/>
                    </w:rPr>
                    <w:t>排查园区外涉水工业企业，确定入园时间表；确因不具备入园条件需原地保留涉水工业企业，须明确保留条件，实施尾水深度治理，排放废水主要污染物浓度必须达到受纳水体环境功能区标准，否则一律关停取缔。提高园区运维水平，省级及以上工业集聚区应积极推进一园一档、园内企业一企一册的环保管理制度</w:t>
                  </w:r>
                  <w:r>
                    <w:rPr>
                      <w:rFonts w:hint="default" w:ascii="Times New Roman" w:hAnsi="Times New Roman" w:cs="Times New Roman"/>
                      <w:color w:val="auto"/>
                      <w:spacing w:val="9"/>
                      <w:highlight w:val="none"/>
                      <w:lang w:eastAsia="zh-CN"/>
                    </w:rPr>
                    <w:t>建设工作，及时记录园内污水排放相关信息。</w:t>
                  </w:r>
                </w:p>
              </w:tc>
              <w:tc>
                <w:tcPr>
                  <w:tcW w:w="1620" w:type="dxa"/>
                  <w:vAlign w:val="center"/>
                </w:tcPr>
                <w:p w14:paraId="38521A44">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lang w:eastAsia="zh-CN"/>
                    </w:rPr>
                  </w:pPr>
                  <w:r>
                    <w:rPr>
                      <w:rFonts w:hint="default" w:ascii="Times New Roman" w:hAnsi="Times New Roman" w:cs="Times New Roman"/>
                      <w:bCs/>
                      <w:color w:val="auto"/>
                      <w:kern w:val="21"/>
                      <w:highlight w:val="none"/>
                      <w:lang w:eastAsia="zh-CN"/>
                    </w:rPr>
                    <w:t>本项目</w:t>
                  </w:r>
                  <w:r>
                    <w:rPr>
                      <w:rFonts w:hint="eastAsia" w:ascii="Times New Roman" w:hAnsi="Times New Roman" w:cs="Times New Roman"/>
                      <w:bCs/>
                      <w:color w:val="auto"/>
                      <w:kern w:val="21"/>
                      <w:highlight w:val="none"/>
                      <w:lang w:val="en-US" w:eastAsia="zh-CN"/>
                    </w:rPr>
                    <w:t>除尘、水磨废水</w:t>
                  </w:r>
                  <w:r>
                    <w:rPr>
                      <w:rFonts w:hint="default" w:ascii="Times New Roman" w:hAnsi="Times New Roman" w:cs="Times New Roman"/>
                      <w:bCs/>
                      <w:color w:val="auto"/>
                      <w:kern w:val="21"/>
                      <w:highlight w:val="none"/>
                      <w:lang w:eastAsia="zh-CN"/>
                    </w:rPr>
                    <w:t>循环使用不外排</w:t>
                  </w:r>
                  <w:r>
                    <w:rPr>
                      <w:rFonts w:hint="eastAsia" w:ascii="Times New Roman" w:hAnsi="Times New Roman" w:cs="Times New Roman"/>
                      <w:bCs/>
                      <w:color w:val="auto"/>
                      <w:kern w:val="21"/>
                      <w:highlight w:val="none"/>
                      <w:lang w:eastAsia="zh-CN"/>
                    </w:rPr>
                    <w:t>；</w:t>
                  </w:r>
                  <w:r>
                    <w:rPr>
                      <w:rFonts w:hint="eastAsia" w:ascii="Times New Roman" w:hAnsi="Times New Roman" w:cs="Times New Roman"/>
                      <w:bCs/>
                      <w:color w:val="auto"/>
                      <w:kern w:val="21"/>
                      <w:highlight w:val="none"/>
                      <w:lang w:val="en-US" w:eastAsia="zh-CN"/>
                    </w:rPr>
                    <w:t>清洗废水经“破乳-絮凝-沉淀”处理后经污水管网排至秦皇岛市第三污水处理厂；</w:t>
                  </w:r>
                  <w:r>
                    <w:rPr>
                      <w:rFonts w:hint="default" w:ascii="Times New Roman" w:hAnsi="Times New Roman" w:cs="Times New Roman"/>
                      <w:bCs/>
                      <w:color w:val="auto"/>
                      <w:kern w:val="21"/>
                      <w:highlight w:val="none"/>
                      <w:lang w:eastAsia="zh-CN"/>
                    </w:rPr>
                    <w:t>生活污水经化粪池处理后经</w:t>
                  </w:r>
                  <w:r>
                    <w:rPr>
                      <w:rFonts w:hint="eastAsia" w:ascii="Times New Roman" w:hAnsi="Times New Roman" w:cs="Times New Roman"/>
                      <w:bCs/>
                      <w:color w:val="auto"/>
                      <w:kern w:val="21"/>
                      <w:highlight w:val="none"/>
                      <w:lang w:val="en-US" w:eastAsia="zh-CN"/>
                    </w:rPr>
                    <w:t>污水</w:t>
                  </w:r>
                  <w:r>
                    <w:rPr>
                      <w:rFonts w:hint="default" w:ascii="Times New Roman" w:hAnsi="Times New Roman" w:cs="Times New Roman"/>
                      <w:bCs/>
                      <w:color w:val="auto"/>
                      <w:kern w:val="21"/>
                      <w:highlight w:val="none"/>
                      <w:lang w:eastAsia="zh-CN"/>
                    </w:rPr>
                    <w:t>管网排至</w:t>
                  </w:r>
                  <w:r>
                    <w:rPr>
                      <w:rFonts w:hint="eastAsia" w:ascii="Times New Roman" w:hAnsi="Times New Roman" w:cs="Times New Roman"/>
                      <w:bCs/>
                      <w:color w:val="auto"/>
                      <w:kern w:val="21"/>
                      <w:highlight w:val="none"/>
                      <w:lang w:val="en-US" w:eastAsia="zh-CN"/>
                    </w:rPr>
                    <w:t>秦皇岛市第三</w:t>
                  </w:r>
                  <w:r>
                    <w:rPr>
                      <w:rFonts w:hint="eastAsia" w:ascii="Times New Roman" w:hAnsi="Times New Roman" w:cs="Times New Roman"/>
                      <w:bCs/>
                      <w:color w:val="auto"/>
                      <w:kern w:val="21"/>
                      <w:highlight w:val="none"/>
                      <w:lang w:eastAsia="zh-CN"/>
                    </w:rPr>
                    <w:t>污水处理厂</w:t>
                  </w:r>
                </w:p>
              </w:tc>
              <w:tc>
                <w:tcPr>
                  <w:tcW w:w="753" w:type="dxa"/>
                  <w:vAlign w:val="center"/>
                </w:tcPr>
                <w:p w14:paraId="40C666E3">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pacing w:val="3"/>
                      <w:highlight w:val="none"/>
                    </w:rPr>
                    <w:t>符合</w:t>
                  </w:r>
                </w:p>
              </w:tc>
            </w:tr>
            <w:tr w14:paraId="4A303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91" w:hRule="atLeast"/>
                <w:jc w:val="center"/>
              </w:trPr>
              <w:tc>
                <w:tcPr>
                  <w:tcW w:w="518" w:type="dxa"/>
                  <w:vMerge w:val="continue"/>
                  <w:vAlign w:val="center"/>
                </w:tcPr>
                <w:p w14:paraId="60D66A9B">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5395" w:type="dxa"/>
                  <w:vAlign w:val="center"/>
                </w:tcPr>
                <w:p w14:paraId="1CC4B7B8">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spacing w:val="12"/>
                      <w:highlight w:val="none"/>
                      <w:lang w:eastAsia="zh-CN"/>
                    </w:rPr>
                    <w:t>实施总氮排放总量控制。新建、改建、扩建涉及总氮排放的建设项目，实施总氮排放总量指标减量替代，并在相关单位排污许可证中予以明确、严格落实，严</w:t>
                  </w:r>
                  <w:r>
                    <w:rPr>
                      <w:rFonts w:hint="default" w:ascii="Times New Roman" w:hAnsi="Times New Roman" w:cs="Times New Roman"/>
                      <w:color w:val="auto"/>
                      <w:spacing w:val="8"/>
                      <w:highlight w:val="none"/>
                      <w:lang w:eastAsia="zh-CN"/>
                    </w:rPr>
                    <w:t>控新增总氮排放</w:t>
                  </w:r>
                </w:p>
              </w:tc>
              <w:tc>
                <w:tcPr>
                  <w:tcW w:w="1620" w:type="dxa"/>
                  <w:vAlign w:val="center"/>
                </w:tcPr>
                <w:p w14:paraId="41C8C78A">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kern w:val="0"/>
                      <w:highlight w:val="none"/>
                      <w:lang w:eastAsia="zh-CN"/>
                    </w:rPr>
                    <w:t>本项目不涉及总氮总量控制指标</w:t>
                  </w:r>
                </w:p>
              </w:tc>
              <w:tc>
                <w:tcPr>
                  <w:tcW w:w="753" w:type="dxa"/>
                  <w:vAlign w:val="center"/>
                </w:tcPr>
                <w:p w14:paraId="4E9BCDBA">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pacing w:val="3"/>
                      <w:highlight w:val="none"/>
                    </w:rPr>
                    <w:t>符合</w:t>
                  </w:r>
                </w:p>
              </w:tc>
            </w:tr>
            <w:tr w14:paraId="54256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6" w:hRule="atLeast"/>
                <w:jc w:val="center"/>
              </w:trPr>
              <w:tc>
                <w:tcPr>
                  <w:tcW w:w="518" w:type="dxa"/>
                  <w:vMerge w:val="continue"/>
                  <w:vAlign w:val="center"/>
                </w:tcPr>
                <w:p w14:paraId="36751308">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5395" w:type="dxa"/>
                  <w:vAlign w:val="center"/>
                </w:tcPr>
                <w:p w14:paraId="4467F445">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spacing w:val="9"/>
                      <w:highlight w:val="none"/>
                      <w:lang w:eastAsia="zh-CN"/>
                    </w:rPr>
                    <w:t>工业园区全部建成污水集中处理设施，并安装自动在</w:t>
                  </w:r>
                  <w:r>
                    <w:rPr>
                      <w:rFonts w:hint="default" w:ascii="Times New Roman" w:hAnsi="Times New Roman" w:cs="Times New Roman"/>
                      <w:color w:val="auto"/>
                      <w:spacing w:val="11"/>
                      <w:highlight w:val="none"/>
                      <w:lang w:eastAsia="zh-CN"/>
                    </w:rPr>
                    <w:t>线监控装置；所有废水直排环境企业一律执行</w:t>
                  </w:r>
                  <w:r>
                    <w:rPr>
                      <w:rFonts w:hint="default" w:ascii="Times New Roman" w:hAnsi="Times New Roman" w:cs="Times New Roman"/>
                      <w:color w:val="auto"/>
                      <w:spacing w:val="10"/>
                      <w:highlight w:val="none"/>
                      <w:lang w:eastAsia="zh-CN"/>
                    </w:rPr>
                    <w:t>行业排</w:t>
                  </w:r>
                  <w:r>
                    <w:rPr>
                      <w:rFonts w:hint="default" w:ascii="Times New Roman" w:hAnsi="Times New Roman" w:cs="Times New Roman"/>
                      <w:color w:val="auto"/>
                      <w:spacing w:val="11"/>
                      <w:highlight w:val="none"/>
                      <w:lang w:eastAsia="zh-CN"/>
                    </w:rPr>
                    <w:t>放标准水污染物特别排放限值，没有行业标准</w:t>
                  </w:r>
                  <w:r>
                    <w:rPr>
                      <w:rFonts w:hint="default" w:ascii="Times New Roman" w:hAnsi="Times New Roman" w:cs="Times New Roman"/>
                      <w:color w:val="auto"/>
                      <w:spacing w:val="10"/>
                      <w:highlight w:val="none"/>
                      <w:lang w:eastAsia="zh-CN"/>
                    </w:rPr>
                    <w:t>或行业标准中没有水污染物排放特别限值的，一律执行一级</w:t>
                  </w:r>
                  <w:r>
                    <w:rPr>
                      <w:rFonts w:hint="default" w:ascii="Times New Roman" w:hAnsi="Times New Roman" w:cs="Times New Roman"/>
                      <w:color w:val="auto"/>
                      <w:spacing w:val="9"/>
                      <w:highlight w:val="none"/>
                      <w:lang w:eastAsia="zh-CN"/>
                    </w:rPr>
                    <w:t>A标准；有流域特别排放限值要求的地区，执行流域</w:t>
                  </w:r>
                  <w:r>
                    <w:rPr>
                      <w:rFonts w:hint="default" w:ascii="Times New Roman" w:hAnsi="Times New Roman" w:cs="Times New Roman"/>
                      <w:color w:val="auto"/>
                      <w:spacing w:val="11"/>
                      <w:highlight w:val="none"/>
                      <w:lang w:eastAsia="zh-CN"/>
                    </w:rPr>
                    <w:t>特别排放限值。化工、装备制造等污染行业提</w:t>
                  </w:r>
                  <w:r>
                    <w:rPr>
                      <w:rFonts w:hint="default" w:ascii="Times New Roman" w:hAnsi="Times New Roman" w:cs="Times New Roman"/>
                      <w:color w:val="auto"/>
                      <w:spacing w:val="10"/>
                      <w:highlight w:val="none"/>
                      <w:lang w:eastAsia="zh-CN"/>
                    </w:rPr>
                    <w:t>高再生</w:t>
                  </w:r>
                  <w:r>
                    <w:rPr>
                      <w:rFonts w:hint="default" w:ascii="Times New Roman" w:hAnsi="Times New Roman" w:cs="Times New Roman"/>
                      <w:color w:val="auto"/>
                      <w:spacing w:val="5"/>
                      <w:highlight w:val="none"/>
                      <w:lang w:eastAsia="zh-CN"/>
                    </w:rPr>
                    <w:t>水回用率。</w:t>
                  </w:r>
                </w:p>
              </w:tc>
              <w:tc>
                <w:tcPr>
                  <w:tcW w:w="1620" w:type="dxa"/>
                  <w:vAlign w:val="center"/>
                </w:tcPr>
                <w:p w14:paraId="6312D727">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lang w:eastAsia="zh-CN"/>
                    </w:rPr>
                  </w:pPr>
                  <w:r>
                    <w:rPr>
                      <w:rFonts w:hint="default" w:ascii="Times New Roman" w:hAnsi="Times New Roman" w:cs="Times New Roman"/>
                      <w:bCs/>
                      <w:color w:val="auto"/>
                      <w:kern w:val="21"/>
                      <w:highlight w:val="none"/>
                      <w:lang w:eastAsia="zh-CN"/>
                    </w:rPr>
                    <w:t>本项目</w:t>
                  </w:r>
                  <w:r>
                    <w:rPr>
                      <w:rFonts w:hint="eastAsia" w:ascii="Times New Roman" w:hAnsi="Times New Roman" w:cs="Times New Roman"/>
                      <w:bCs/>
                      <w:color w:val="auto"/>
                      <w:kern w:val="21"/>
                      <w:highlight w:val="none"/>
                      <w:lang w:val="en-US" w:eastAsia="zh-CN"/>
                    </w:rPr>
                    <w:t>除尘、水磨废水</w:t>
                  </w:r>
                  <w:r>
                    <w:rPr>
                      <w:rFonts w:hint="default" w:ascii="Times New Roman" w:hAnsi="Times New Roman" w:cs="Times New Roman"/>
                      <w:bCs/>
                      <w:color w:val="auto"/>
                      <w:kern w:val="21"/>
                      <w:highlight w:val="none"/>
                      <w:lang w:eastAsia="zh-CN"/>
                    </w:rPr>
                    <w:t>循环使用不外排</w:t>
                  </w:r>
                  <w:r>
                    <w:rPr>
                      <w:rFonts w:hint="eastAsia" w:ascii="Times New Roman" w:hAnsi="Times New Roman" w:cs="Times New Roman"/>
                      <w:bCs/>
                      <w:color w:val="auto"/>
                      <w:kern w:val="21"/>
                      <w:highlight w:val="none"/>
                      <w:lang w:eastAsia="zh-CN"/>
                    </w:rPr>
                    <w:t>；</w:t>
                  </w:r>
                  <w:r>
                    <w:rPr>
                      <w:rFonts w:hint="eastAsia" w:ascii="Times New Roman" w:hAnsi="Times New Roman" w:cs="Times New Roman"/>
                      <w:bCs/>
                      <w:color w:val="auto"/>
                      <w:kern w:val="21"/>
                      <w:highlight w:val="none"/>
                      <w:lang w:val="en-US" w:eastAsia="zh-CN"/>
                    </w:rPr>
                    <w:t>清洗废水经“破乳-絮凝-沉淀”处理后经污水管网排至秦皇岛市第三污水处理厂；</w:t>
                  </w:r>
                  <w:r>
                    <w:rPr>
                      <w:rFonts w:hint="default" w:ascii="Times New Roman" w:hAnsi="Times New Roman" w:cs="Times New Roman"/>
                      <w:bCs/>
                      <w:color w:val="auto"/>
                      <w:kern w:val="21"/>
                      <w:highlight w:val="none"/>
                      <w:lang w:eastAsia="zh-CN"/>
                    </w:rPr>
                    <w:t>生活污水经化粪池处理后经</w:t>
                  </w:r>
                  <w:r>
                    <w:rPr>
                      <w:rFonts w:hint="eastAsia" w:ascii="Times New Roman" w:hAnsi="Times New Roman" w:cs="Times New Roman"/>
                      <w:bCs/>
                      <w:color w:val="auto"/>
                      <w:kern w:val="21"/>
                      <w:highlight w:val="none"/>
                      <w:lang w:val="en-US" w:eastAsia="zh-CN"/>
                    </w:rPr>
                    <w:t>污水</w:t>
                  </w:r>
                  <w:r>
                    <w:rPr>
                      <w:rFonts w:hint="default" w:ascii="Times New Roman" w:hAnsi="Times New Roman" w:cs="Times New Roman"/>
                      <w:bCs/>
                      <w:color w:val="auto"/>
                      <w:kern w:val="21"/>
                      <w:highlight w:val="none"/>
                      <w:lang w:eastAsia="zh-CN"/>
                    </w:rPr>
                    <w:t>管网排至</w:t>
                  </w:r>
                  <w:r>
                    <w:rPr>
                      <w:rFonts w:hint="eastAsia" w:ascii="Times New Roman" w:hAnsi="Times New Roman" w:cs="Times New Roman"/>
                      <w:bCs/>
                      <w:color w:val="auto"/>
                      <w:kern w:val="21"/>
                      <w:highlight w:val="none"/>
                      <w:lang w:val="en-US" w:eastAsia="zh-CN"/>
                    </w:rPr>
                    <w:t>秦皇岛市第三</w:t>
                  </w:r>
                  <w:r>
                    <w:rPr>
                      <w:rFonts w:hint="eastAsia" w:ascii="Times New Roman" w:hAnsi="Times New Roman" w:cs="Times New Roman"/>
                      <w:bCs/>
                      <w:color w:val="auto"/>
                      <w:kern w:val="21"/>
                      <w:highlight w:val="none"/>
                      <w:lang w:eastAsia="zh-CN"/>
                    </w:rPr>
                    <w:t>污水处理厂</w:t>
                  </w:r>
                </w:p>
              </w:tc>
              <w:tc>
                <w:tcPr>
                  <w:tcW w:w="753" w:type="dxa"/>
                  <w:vAlign w:val="center"/>
                </w:tcPr>
                <w:p w14:paraId="64D4D612">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pacing w:val="3"/>
                      <w:highlight w:val="none"/>
                    </w:rPr>
                    <w:t>符合</w:t>
                  </w:r>
                </w:p>
              </w:tc>
            </w:tr>
            <w:tr w14:paraId="6C740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17" w:hRule="atLeast"/>
                <w:jc w:val="center"/>
              </w:trPr>
              <w:tc>
                <w:tcPr>
                  <w:tcW w:w="518" w:type="dxa"/>
                  <w:vMerge w:val="restart"/>
                  <w:vAlign w:val="center"/>
                </w:tcPr>
                <w:p w14:paraId="3A0A0A37">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spacing w:val="6"/>
                      <w:highlight w:val="none"/>
                      <w:lang w:eastAsia="zh-CN"/>
                    </w:rPr>
                    <w:t>土壤及地下水</w:t>
                  </w:r>
                </w:p>
                <w:p w14:paraId="2E36B52D">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spacing w:val="6"/>
                      <w:highlight w:val="none"/>
                      <w:lang w:eastAsia="zh-CN"/>
                    </w:rPr>
                    <w:t>风险总体管控</w:t>
                  </w:r>
                </w:p>
                <w:p w14:paraId="03D146FC">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pacing w:val="4"/>
                      <w:highlight w:val="none"/>
                    </w:rPr>
                    <w:t>要求</w:t>
                  </w:r>
                </w:p>
              </w:tc>
              <w:tc>
                <w:tcPr>
                  <w:tcW w:w="5395" w:type="dxa"/>
                  <w:vAlign w:val="center"/>
                </w:tcPr>
                <w:p w14:paraId="0E9CD78A">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spacing w:val="8"/>
                      <w:highlight w:val="none"/>
                      <w:lang w:eastAsia="zh-CN"/>
                    </w:rPr>
                    <w:t>从严从紧控制独立选址项目的数量和用地规模，除</w:t>
                  </w:r>
                  <w:r>
                    <w:rPr>
                      <w:rFonts w:hint="default" w:ascii="Times New Roman" w:hAnsi="Times New Roman" w:cs="Times New Roman"/>
                      <w:color w:val="auto"/>
                      <w:spacing w:val="7"/>
                      <w:highlight w:val="none"/>
                      <w:lang w:eastAsia="zh-CN"/>
                    </w:rPr>
                    <w:t>矿山、</w:t>
                  </w:r>
                  <w:r>
                    <w:rPr>
                      <w:rFonts w:hint="default" w:ascii="Times New Roman" w:hAnsi="Times New Roman" w:cs="Times New Roman"/>
                      <w:color w:val="auto"/>
                      <w:spacing w:val="13"/>
                      <w:highlight w:val="none"/>
                      <w:lang w:eastAsia="zh-CN"/>
                    </w:rPr>
                    <w:t>军事等用地外，新增城镇工矿用地必须纳入城</w:t>
                  </w:r>
                  <w:r>
                    <w:rPr>
                      <w:rFonts w:hint="default" w:ascii="Times New Roman" w:hAnsi="Times New Roman" w:cs="Times New Roman"/>
                      <w:color w:val="auto"/>
                      <w:spacing w:val="12"/>
                      <w:highlight w:val="none"/>
                      <w:lang w:eastAsia="zh-CN"/>
                    </w:rPr>
                    <w:t xml:space="preserve">镇建设用 </w:t>
                  </w:r>
                  <w:r>
                    <w:rPr>
                      <w:rFonts w:hint="default" w:ascii="Times New Roman" w:hAnsi="Times New Roman" w:cs="Times New Roman"/>
                      <w:color w:val="auto"/>
                      <w:spacing w:val="7"/>
                      <w:highlight w:val="none"/>
                      <w:lang w:eastAsia="zh-CN"/>
                    </w:rPr>
                    <w:t>地规划范围内。</w:t>
                  </w:r>
                </w:p>
              </w:tc>
              <w:tc>
                <w:tcPr>
                  <w:tcW w:w="1620" w:type="dxa"/>
                  <w:vAlign w:val="center"/>
                </w:tcPr>
                <w:p w14:paraId="32058022">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spacing w:val="8"/>
                      <w:highlight w:val="none"/>
                      <w:lang w:eastAsia="zh-CN"/>
                    </w:rPr>
                    <w:t>本项目租用现有</w:t>
                  </w:r>
                  <w:r>
                    <w:rPr>
                      <w:rFonts w:hint="eastAsia" w:ascii="Times New Roman" w:hAnsi="Times New Roman" w:cs="Times New Roman"/>
                      <w:color w:val="auto"/>
                      <w:spacing w:val="8"/>
                      <w:highlight w:val="none"/>
                      <w:lang w:eastAsia="zh-CN"/>
                    </w:rPr>
                    <w:t>厂房</w:t>
                  </w:r>
                  <w:r>
                    <w:rPr>
                      <w:rFonts w:hint="default" w:ascii="Times New Roman" w:hAnsi="Times New Roman" w:cs="Times New Roman"/>
                      <w:color w:val="auto"/>
                      <w:spacing w:val="8"/>
                      <w:highlight w:val="none"/>
                      <w:lang w:eastAsia="zh-CN"/>
                    </w:rPr>
                    <w:t>进行建设，不新增占地</w:t>
                  </w:r>
                </w:p>
              </w:tc>
              <w:tc>
                <w:tcPr>
                  <w:tcW w:w="753" w:type="dxa"/>
                  <w:vAlign w:val="center"/>
                </w:tcPr>
                <w:p w14:paraId="18115845">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pacing w:val="3"/>
                      <w:highlight w:val="none"/>
                    </w:rPr>
                    <w:t>符合</w:t>
                  </w:r>
                </w:p>
              </w:tc>
            </w:tr>
            <w:tr w14:paraId="3B049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88" w:hRule="atLeast"/>
                <w:jc w:val="center"/>
              </w:trPr>
              <w:tc>
                <w:tcPr>
                  <w:tcW w:w="518" w:type="dxa"/>
                  <w:vMerge w:val="continue"/>
                  <w:vAlign w:val="center"/>
                </w:tcPr>
                <w:p w14:paraId="3939442E">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5395" w:type="dxa"/>
                  <w:vAlign w:val="center"/>
                </w:tcPr>
                <w:p w14:paraId="64F95879">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spacing w:val="13"/>
                      <w:highlight w:val="none"/>
                      <w:lang w:eastAsia="zh-CN"/>
                    </w:rPr>
                    <w:t>新、改、扩建涉重金属重点行业建设项目必</w:t>
                  </w:r>
                  <w:r>
                    <w:rPr>
                      <w:rFonts w:hint="default" w:ascii="Times New Roman" w:hAnsi="Times New Roman" w:cs="Times New Roman"/>
                      <w:color w:val="auto"/>
                      <w:spacing w:val="12"/>
                      <w:highlight w:val="none"/>
                      <w:lang w:eastAsia="zh-CN"/>
                    </w:rPr>
                    <w:t xml:space="preserve">须遵循重点 </w:t>
                  </w:r>
                  <w:r>
                    <w:rPr>
                      <w:rFonts w:hint="default" w:ascii="Times New Roman" w:hAnsi="Times New Roman" w:cs="Times New Roman"/>
                      <w:color w:val="auto"/>
                      <w:spacing w:val="5"/>
                      <w:highlight w:val="none"/>
                      <w:lang w:eastAsia="zh-CN"/>
                    </w:rPr>
                    <w:t>重金属污染物排放“减量置换”或“等量替换”</w:t>
                  </w:r>
                  <w:r>
                    <w:rPr>
                      <w:rFonts w:hint="default" w:ascii="Times New Roman" w:hAnsi="Times New Roman" w:cs="Times New Roman"/>
                      <w:color w:val="auto"/>
                      <w:spacing w:val="-23"/>
                      <w:highlight w:val="none"/>
                      <w:lang w:eastAsia="zh-CN"/>
                    </w:rPr>
                    <w:t xml:space="preserve"> </w:t>
                  </w:r>
                  <w:r>
                    <w:rPr>
                      <w:rFonts w:hint="default" w:ascii="Times New Roman" w:hAnsi="Times New Roman" w:cs="Times New Roman"/>
                      <w:color w:val="auto"/>
                      <w:spacing w:val="5"/>
                      <w:highlight w:val="none"/>
                      <w:lang w:eastAsia="zh-CN"/>
                    </w:rPr>
                    <w:t>的原则，应</w:t>
                  </w:r>
                  <w:r>
                    <w:rPr>
                      <w:rFonts w:hint="default" w:ascii="Times New Roman" w:hAnsi="Times New Roman" w:cs="Times New Roman"/>
                      <w:color w:val="auto"/>
                      <w:spacing w:val="4"/>
                      <w:highlight w:val="none"/>
                      <w:lang w:eastAsia="zh-CN"/>
                    </w:rPr>
                    <w:t>明</w:t>
                  </w:r>
                  <w:r>
                    <w:rPr>
                      <w:rFonts w:hint="default" w:ascii="Times New Roman" w:hAnsi="Times New Roman" w:cs="Times New Roman"/>
                      <w:color w:val="auto"/>
                      <w:spacing w:val="13"/>
                      <w:highlight w:val="none"/>
                      <w:lang w:eastAsia="zh-CN"/>
                    </w:rPr>
                    <w:t>确具体的重金属污染物排放总量来源。无明确</w:t>
                  </w:r>
                  <w:r>
                    <w:rPr>
                      <w:rFonts w:hint="default" w:ascii="Times New Roman" w:hAnsi="Times New Roman" w:cs="Times New Roman"/>
                      <w:color w:val="auto"/>
                      <w:spacing w:val="12"/>
                      <w:highlight w:val="none"/>
                      <w:lang w:eastAsia="zh-CN"/>
                    </w:rPr>
                    <w:t>具体总量</w:t>
                  </w:r>
                  <w:r>
                    <w:rPr>
                      <w:rFonts w:hint="default" w:ascii="Times New Roman" w:hAnsi="Times New Roman" w:cs="Times New Roman"/>
                      <w:color w:val="auto"/>
                      <w:spacing w:val="8"/>
                      <w:highlight w:val="none"/>
                      <w:lang w:eastAsia="zh-CN"/>
                    </w:rPr>
                    <w:t>来源的，各级环保部门不得批准相关环境影响评价文件。</w:t>
                  </w:r>
                </w:p>
              </w:tc>
              <w:tc>
                <w:tcPr>
                  <w:tcW w:w="1620" w:type="dxa"/>
                  <w:vAlign w:val="center"/>
                </w:tcPr>
                <w:p w14:paraId="4CC409E6">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本项目</w:t>
                  </w:r>
                  <w:r>
                    <w:rPr>
                      <w:rFonts w:hint="default" w:ascii="Times New Roman" w:hAnsi="Times New Roman" w:cs="Times New Roman"/>
                      <w:color w:val="auto"/>
                      <w:kern w:val="0"/>
                      <w:highlight w:val="none"/>
                      <w:lang w:eastAsia="zh-CN"/>
                    </w:rPr>
                    <w:t>不涉及重金属</w:t>
                  </w:r>
                </w:p>
              </w:tc>
              <w:tc>
                <w:tcPr>
                  <w:tcW w:w="753" w:type="dxa"/>
                  <w:vAlign w:val="center"/>
                </w:tcPr>
                <w:p w14:paraId="17BCA4A2">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pacing w:val="3"/>
                      <w:highlight w:val="none"/>
                    </w:rPr>
                    <w:t>符合</w:t>
                  </w:r>
                </w:p>
              </w:tc>
            </w:tr>
            <w:tr w14:paraId="13F40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3" w:hRule="atLeast"/>
                <w:jc w:val="center"/>
              </w:trPr>
              <w:tc>
                <w:tcPr>
                  <w:tcW w:w="518" w:type="dxa"/>
                  <w:vMerge w:val="continue"/>
                  <w:vAlign w:val="center"/>
                </w:tcPr>
                <w:p w14:paraId="3A8CCA67">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5395" w:type="dxa"/>
                  <w:vAlign w:val="center"/>
                </w:tcPr>
                <w:p w14:paraId="463D9A19">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13"/>
                      <w:highlight w:val="none"/>
                      <w:lang w:eastAsia="zh-CN"/>
                    </w:rPr>
                  </w:pPr>
                  <w:r>
                    <w:rPr>
                      <w:rFonts w:hint="default" w:ascii="Times New Roman" w:hAnsi="Times New Roman" w:cs="Times New Roman"/>
                      <w:color w:val="auto"/>
                      <w:spacing w:val="13"/>
                      <w:highlight w:val="none"/>
                      <w:lang w:eastAsia="zh-CN"/>
                    </w:rPr>
                    <w:t>严禁将污泥直接用作肥料，禁止不达标污泥就地堆放，结合污泥处理设施升级改造，逐步取消原生污泥简易填埋等不</w:t>
                  </w:r>
                </w:p>
                <w:p w14:paraId="444D9244">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spacing w:val="13"/>
                      <w:highlight w:val="none"/>
                      <w:lang w:eastAsia="zh-CN"/>
                    </w:rPr>
                    <w:t>符合环保要求的处置方式。鼓励利用水泥厂等工</w:t>
                  </w:r>
                  <w:r>
                    <w:rPr>
                      <w:rFonts w:hint="default" w:ascii="Times New Roman" w:hAnsi="Times New Roman" w:cs="Times New Roman"/>
                      <w:color w:val="auto"/>
                      <w:spacing w:val="8"/>
                      <w:highlight w:val="none"/>
                      <w:lang w:eastAsia="zh-CN"/>
                    </w:rPr>
                    <w:t>业窑炉，开展污泥协同焚烧处置。</w:t>
                  </w:r>
                </w:p>
              </w:tc>
              <w:tc>
                <w:tcPr>
                  <w:tcW w:w="1620" w:type="dxa"/>
                  <w:vAlign w:val="center"/>
                </w:tcPr>
                <w:p w14:paraId="6EF104BB">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spacing w:val="8"/>
                      <w:highlight w:val="none"/>
                      <w:lang w:eastAsia="zh-CN"/>
                    </w:rPr>
                    <w:t>不涉及</w:t>
                  </w:r>
                </w:p>
              </w:tc>
              <w:tc>
                <w:tcPr>
                  <w:tcW w:w="753" w:type="dxa"/>
                  <w:vAlign w:val="center"/>
                </w:tcPr>
                <w:p w14:paraId="2F4F6575">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pacing w:val="3"/>
                      <w:highlight w:val="none"/>
                    </w:rPr>
                    <w:t>符合</w:t>
                  </w:r>
                </w:p>
              </w:tc>
            </w:tr>
            <w:tr w14:paraId="4C087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13" w:hRule="atLeast"/>
                <w:jc w:val="center"/>
              </w:trPr>
              <w:tc>
                <w:tcPr>
                  <w:tcW w:w="518" w:type="dxa"/>
                  <w:vMerge w:val="continue"/>
                  <w:vAlign w:val="center"/>
                </w:tcPr>
                <w:p w14:paraId="139CFF68">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5395" w:type="dxa"/>
                  <w:vAlign w:val="center"/>
                </w:tcPr>
                <w:p w14:paraId="08FEE837">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spacing w:val="9"/>
                      <w:highlight w:val="none"/>
                      <w:lang w:eastAsia="zh-CN"/>
                    </w:rPr>
                    <w:t>危险废物产生企业和利用处置企业要根据土壤污染防治相关要求，完善突发环境事件应急预案内容，并向所在</w:t>
                  </w:r>
                  <w:r>
                    <w:rPr>
                      <w:rFonts w:hint="default" w:ascii="Times New Roman" w:hAnsi="Times New Roman" w:cs="Times New Roman"/>
                      <w:color w:val="auto"/>
                      <w:spacing w:val="7"/>
                      <w:highlight w:val="none"/>
                      <w:lang w:eastAsia="zh-CN"/>
                    </w:rPr>
                    <w:t>地环保部门备案。</w:t>
                  </w:r>
                </w:p>
              </w:tc>
              <w:tc>
                <w:tcPr>
                  <w:tcW w:w="1620" w:type="dxa"/>
                  <w:vAlign w:val="center"/>
                </w:tcPr>
                <w:p w14:paraId="361F38A2">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kern w:val="0"/>
                      <w:highlight w:val="none"/>
                      <w:lang w:eastAsia="zh-CN" w:bidi="ar"/>
                    </w:rPr>
                    <w:t>项目建设完成后按主管部门要求开展突发环境事件应急预案的编制工作</w:t>
                  </w:r>
                </w:p>
              </w:tc>
              <w:tc>
                <w:tcPr>
                  <w:tcW w:w="753" w:type="dxa"/>
                  <w:vAlign w:val="center"/>
                </w:tcPr>
                <w:p w14:paraId="66CC7099">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pacing w:val="3"/>
                      <w:highlight w:val="none"/>
                    </w:rPr>
                    <w:t>符合</w:t>
                  </w:r>
                </w:p>
              </w:tc>
            </w:tr>
            <w:tr w14:paraId="2B117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13" w:hRule="atLeast"/>
                <w:jc w:val="center"/>
              </w:trPr>
              <w:tc>
                <w:tcPr>
                  <w:tcW w:w="518" w:type="dxa"/>
                  <w:vMerge w:val="restart"/>
                  <w:vAlign w:val="center"/>
                </w:tcPr>
                <w:p w14:paraId="7CD450A7">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资源利用总体管控要求</w:t>
                  </w:r>
                </w:p>
              </w:tc>
              <w:tc>
                <w:tcPr>
                  <w:tcW w:w="5395" w:type="dxa"/>
                  <w:vAlign w:val="center"/>
                </w:tcPr>
                <w:p w14:paraId="78270928">
                  <w:pPr>
                    <w:keepNext w:val="0"/>
                    <w:keepLines w:val="0"/>
                    <w:widowControl/>
                    <w:suppressLineNumbers w:val="0"/>
                    <w:adjustRightInd w:val="0"/>
                    <w:snapToGrid w:val="0"/>
                    <w:spacing w:before="0" w:beforeAutospacing="0" w:after="0" w:afterAutospacing="0"/>
                    <w:ind w:left="0" w:right="0"/>
                    <w:jc w:val="center"/>
                    <w:rPr>
                      <w:rFonts w:hint="default"/>
                      <w:color w:val="auto"/>
                      <w:spacing w:val="9"/>
                      <w:szCs w:val="21"/>
                      <w:highlight w:val="none"/>
                    </w:rPr>
                  </w:pPr>
                  <w:r>
                    <w:rPr>
                      <w:rFonts w:hint="default"/>
                      <w:color w:val="auto"/>
                      <w:kern w:val="0"/>
                      <w:szCs w:val="21"/>
                      <w:highlight w:val="none"/>
                      <w:lang w:bidi="ar"/>
                    </w:rPr>
                    <w:t xml:space="preserve">严格禁限采区管理要求，在地下水禁止开采区，一律禁止开凿新的取水井，对已有的取水井应当制定计划逐步予以关停；在地下水限制开采区，一般不得开凿新的取水井，确需取用地下水的，应按用1减2的比例以及先减后加的原则同步削减其它取水单位的地下水用水量，且不得深层、浅层地下水相互替代；在地下水一般超采区，应当按照采补平衡原则严格控制开采地下水，限制取水量，并规划建设替代水源，采取措施增加地下水的有效补给。 </w:t>
                  </w:r>
                </w:p>
              </w:tc>
              <w:tc>
                <w:tcPr>
                  <w:tcW w:w="1620" w:type="dxa"/>
                  <w:vAlign w:val="center"/>
                </w:tcPr>
                <w:p w14:paraId="0C97325B">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8"/>
                      <w:highlight w:val="none"/>
                      <w:lang w:eastAsia="zh-CN"/>
                    </w:rPr>
                  </w:pPr>
                  <w:r>
                    <w:rPr>
                      <w:rFonts w:hint="default" w:ascii="Times New Roman" w:hAnsi="Times New Roman" w:cs="Times New Roman"/>
                      <w:color w:val="auto"/>
                      <w:spacing w:val="8"/>
                      <w:highlight w:val="none"/>
                      <w:lang w:eastAsia="zh-CN"/>
                    </w:rPr>
                    <w:t>不涉及</w:t>
                  </w:r>
                </w:p>
              </w:tc>
              <w:tc>
                <w:tcPr>
                  <w:tcW w:w="753" w:type="dxa"/>
                  <w:vAlign w:val="center"/>
                </w:tcPr>
                <w:p w14:paraId="1F73730D">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3"/>
                      <w:highlight w:val="none"/>
                      <w:lang w:eastAsia="zh-CN"/>
                    </w:rPr>
                  </w:pPr>
                  <w:r>
                    <w:rPr>
                      <w:rFonts w:hint="default" w:ascii="Times New Roman" w:hAnsi="Times New Roman" w:cs="Times New Roman"/>
                      <w:color w:val="auto"/>
                      <w:spacing w:val="3"/>
                      <w:highlight w:val="none"/>
                      <w:lang w:eastAsia="zh-CN"/>
                    </w:rPr>
                    <w:t>符合</w:t>
                  </w:r>
                </w:p>
              </w:tc>
            </w:tr>
            <w:tr w14:paraId="7F1FC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13" w:hRule="atLeast"/>
                <w:jc w:val="center"/>
              </w:trPr>
              <w:tc>
                <w:tcPr>
                  <w:tcW w:w="518" w:type="dxa"/>
                  <w:vMerge w:val="continue"/>
                  <w:vAlign w:val="center"/>
                </w:tcPr>
                <w:p w14:paraId="571E291F">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5395" w:type="dxa"/>
                  <w:vAlign w:val="center"/>
                </w:tcPr>
                <w:p w14:paraId="3B1C61C7">
                  <w:pPr>
                    <w:keepNext w:val="0"/>
                    <w:keepLines w:val="0"/>
                    <w:widowControl/>
                    <w:suppressLineNumbers w:val="0"/>
                    <w:adjustRightInd w:val="0"/>
                    <w:snapToGrid w:val="0"/>
                    <w:spacing w:before="0" w:beforeAutospacing="0" w:after="0" w:afterAutospacing="0"/>
                    <w:ind w:left="0" w:right="0"/>
                    <w:jc w:val="center"/>
                    <w:rPr>
                      <w:rFonts w:hint="default"/>
                      <w:color w:val="auto"/>
                      <w:kern w:val="0"/>
                      <w:szCs w:val="21"/>
                      <w:highlight w:val="none"/>
                      <w:lang w:bidi="ar"/>
                    </w:rPr>
                  </w:pPr>
                  <w:r>
                    <w:rPr>
                      <w:rFonts w:hint="default"/>
                      <w:color w:val="auto"/>
                      <w:kern w:val="0"/>
                      <w:szCs w:val="21"/>
                      <w:highlight w:val="none"/>
                      <w:lang w:bidi="ar"/>
                    </w:rPr>
                    <w:t>实施终端用能清洁化替代。推动锅炉和工业炉窑使用清洁低碳能源或利用工厂余热、电厂热力等清洁能源替代。有序推进清洁取暖，加强农村散煤复燃管控，强化散煤治理监督体系建设，推进劣质煤清洁替代，加强煤炭等化石能源清洁高效利用。到 2025 年，基本完成种养殖业及农副产品加工业燃煤设施清洁能源替代。</w:t>
                  </w:r>
                </w:p>
              </w:tc>
              <w:tc>
                <w:tcPr>
                  <w:tcW w:w="1620" w:type="dxa"/>
                  <w:vAlign w:val="center"/>
                </w:tcPr>
                <w:p w14:paraId="4ADFEF20">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8"/>
                      <w:highlight w:val="none"/>
                      <w:lang w:eastAsia="zh-CN"/>
                    </w:rPr>
                  </w:pPr>
                  <w:r>
                    <w:rPr>
                      <w:rFonts w:hint="default" w:ascii="Times New Roman" w:hAnsi="Times New Roman" w:cs="Times New Roman"/>
                      <w:color w:val="auto"/>
                      <w:spacing w:val="8"/>
                      <w:highlight w:val="none"/>
                      <w:lang w:eastAsia="zh-CN"/>
                    </w:rPr>
                    <w:t>不涉及</w:t>
                  </w:r>
                </w:p>
              </w:tc>
              <w:tc>
                <w:tcPr>
                  <w:tcW w:w="753" w:type="dxa"/>
                  <w:vAlign w:val="center"/>
                </w:tcPr>
                <w:p w14:paraId="0BE584AE">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3"/>
                      <w:highlight w:val="none"/>
                      <w:lang w:eastAsia="zh-CN"/>
                    </w:rPr>
                  </w:pPr>
                  <w:r>
                    <w:rPr>
                      <w:rFonts w:hint="default" w:ascii="Times New Roman" w:hAnsi="Times New Roman" w:cs="Times New Roman"/>
                      <w:color w:val="auto"/>
                      <w:spacing w:val="3"/>
                      <w:highlight w:val="none"/>
                      <w:lang w:eastAsia="zh-CN"/>
                    </w:rPr>
                    <w:t>符合</w:t>
                  </w:r>
                </w:p>
              </w:tc>
            </w:tr>
            <w:tr w14:paraId="10DDA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13" w:hRule="atLeast"/>
                <w:jc w:val="center"/>
              </w:trPr>
              <w:tc>
                <w:tcPr>
                  <w:tcW w:w="518" w:type="dxa"/>
                  <w:vMerge w:val="continue"/>
                  <w:vAlign w:val="center"/>
                </w:tcPr>
                <w:p w14:paraId="018E697D">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5395" w:type="dxa"/>
                  <w:vAlign w:val="center"/>
                </w:tcPr>
                <w:p w14:paraId="4F719EFA">
                  <w:pPr>
                    <w:keepNext w:val="0"/>
                    <w:keepLines w:val="0"/>
                    <w:widowControl/>
                    <w:suppressLineNumbers w:val="0"/>
                    <w:adjustRightInd w:val="0"/>
                    <w:snapToGrid w:val="0"/>
                    <w:spacing w:before="0" w:beforeAutospacing="0" w:after="0" w:afterAutospacing="0"/>
                    <w:ind w:left="0" w:right="0"/>
                    <w:jc w:val="center"/>
                    <w:rPr>
                      <w:rFonts w:hint="default"/>
                      <w:color w:val="auto"/>
                      <w:kern w:val="0"/>
                      <w:szCs w:val="21"/>
                      <w:highlight w:val="none"/>
                      <w:lang w:bidi="ar"/>
                    </w:rPr>
                  </w:pPr>
                  <w:r>
                    <w:rPr>
                      <w:rFonts w:hint="default"/>
                      <w:color w:val="auto"/>
                      <w:kern w:val="0"/>
                      <w:szCs w:val="21"/>
                      <w:highlight w:val="none"/>
                      <w:lang w:bidi="ar"/>
                    </w:rPr>
                    <w:t>坚持最严格的节约用地制度，提高土地利用节约集约水平。优化建设用地布局，严格划定城市开发边界，统筹城乡发展，统筹安排生产、生活、生态用地，引导形成合理的空间开发格局。严格控制将划定的生态空间区域转为建设开发用地。</w:t>
                  </w:r>
                </w:p>
              </w:tc>
              <w:tc>
                <w:tcPr>
                  <w:tcW w:w="1620" w:type="dxa"/>
                  <w:vAlign w:val="center"/>
                </w:tcPr>
                <w:p w14:paraId="54ECA9FF">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8"/>
                      <w:highlight w:val="none"/>
                      <w:lang w:eastAsia="zh-CN"/>
                    </w:rPr>
                  </w:pPr>
                  <w:r>
                    <w:rPr>
                      <w:rFonts w:hint="default" w:ascii="Times New Roman" w:hAnsi="Times New Roman" w:cs="Times New Roman"/>
                      <w:color w:val="auto"/>
                      <w:spacing w:val="8"/>
                      <w:highlight w:val="none"/>
                      <w:lang w:eastAsia="zh-CN"/>
                    </w:rPr>
                    <w:t>本项目位于</w:t>
                  </w:r>
                  <w:r>
                    <w:rPr>
                      <w:rFonts w:hint="eastAsia" w:ascii="Times New Roman" w:hAnsi="Times New Roman" w:cs="Times New Roman"/>
                      <w:color w:val="auto"/>
                      <w:spacing w:val="8"/>
                      <w:highlight w:val="none"/>
                      <w:lang w:eastAsia="zh-CN"/>
                    </w:rPr>
                    <w:t>新兴产业</w:t>
                  </w:r>
                  <w:r>
                    <w:rPr>
                      <w:rFonts w:hint="default" w:ascii="Times New Roman" w:hAnsi="Times New Roman" w:cs="Times New Roman"/>
                      <w:color w:val="auto"/>
                      <w:spacing w:val="8"/>
                      <w:highlight w:val="none"/>
                      <w:lang w:eastAsia="zh-CN"/>
                    </w:rPr>
                    <w:t>园区内，租用现有厂房进行建设，不新增占地</w:t>
                  </w:r>
                </w:p>
              </w:tc>
              <w:tc>
                <w:tcPr>
                  <w:tcW w:w="753" w:type="dxa"/>
                  <w:vAlign w:val="center"/>
                </w:tcPr>
                <w:p w14:paraId="16428464">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3"/>
                      <w:highlight w:val="none"/>
                      <w:lang w:eastAsia="zh-CN"/>
                    </w:rPr>
                  </w:pPr>
                  <w:r>
                    <w:rPr>
                      <w:rFonts w:hint="default" w:ascii="Times New Roman" w:hAnsi="Times New Roman" w:cs="Times New Roman"/>
                      <w:color w:val="auto"/>
                      <w:spacing w:val="3"/>
                      <w:highlight w:val="none"/>
                      <w:lang w:eastAsia="zh-CN"/>
                    </w:rPr>
                    <w:t>符合</w:t>
                  </w:r>
                </w:p>
              </w:tc>
            </w:tr>
            <w:tr w14:paraId="26C2E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6" w:hRule="atLeast"/>
                <w:jc w:val="center"/>
              </w:trPr>
              <w:tc>
                <w:tcPr>
                  <w:tcW w:w="518" w:type="dxa"/>
                  <w:vAlign w:val="center"/>
                </w:tcPr>
                <w:p w14:paraId="21802BE8">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产业布局总体管控要求</w:t>
                  </w:r>
                </w:p>
              </w:tc>
              <w:tc>
                <w:tcPr>
                  <w:tcW w:w="5395" w:type="dxa"/>
                  <w:vAlign w:val="center"/>
                </w:tcPr>
                <w:p w14:paraId="4D212F55">
                  <w:pPr>
                    <w:keepNext w:val="0"/>
                    <w:keepLines w:val="0"/>
                    <w:suppressLineNumbers w:val="0"/>
                    <w:snapToGrid w:val="0"/>
                    <w:spacing w:before="0" w:beforeAutospacing="0" w:after="0" w:afterAutospacing="0"/>
                    <w:ind w:left="105" w:leftChars="50" w:right="105" w:rightChars="50"/>
                    <w:rPr>
                      <w:rFonts w:hint="default"/>
                      <w:snapToGrid w:val="0"/>
                      <w:color w:val="auto"/>
                      <w:kern w:val="0"/>
                      <w:szCs w:val="21"/>
                      <w:highlight w:val="none"/>
                    </w:rPr>
                  </w:pPr>
                  <w:r>
                    <w:rPr>
                      <w:rFonts w:hint="default"/>
                      <w:snapToGrid w:val="0"/>
                      <w:color w:val="auto"/>
                      <w:kern w:val="0"/>
                      <w:szCs w:val="21"/>
                      <w:highlight w:val="none"/>
                    </w:rPr>
                    <w:t>1.禁止新建国家《产业结构调整目录（2024）》中限制类、淘汰类产业项目，《市场准入负面清单》中禁止准入类及《河北省禁止投资的产业目录》（2020年修订）、《秦皇岛市限值和禁止投资的产业目录》中的产业项目；</w:t>
                  </w:r>
                </w:p>
                <w:p w14:paraId="0D21B7BC">
                  <w:pPr>
                    <w:keepNext w:val="0"/>
                    <w:keepLines w:val="0"/>
                    <w:suppressLineNumbers w:val="0"/>
                    <w:snapToGrid w:val="0"/>
                    <w:spacing w:before="0" w:beforeAutospacing="0" w:after="0" w:afterAutospacing="0"/>
                    <w:ind w:left="105" w:leftChars="50" w:right="105" w:rightChars="50"/>
                    <w:rPr>
                      <w:rFonts w:hint="default"/>
                      <w:snapToGrid w:val="0"/>
                      <w:color w:val="auto"/>
                      <w:kern w:val="0"/>
                      <w:szCs w:val="21"/>
                      <w:highlight w:val="none"/>
                    </w:rPr>
                  </w:pPr>
                  <w:r>
                    <w:rPr>
                      <w:rFonts w:hint="default"/>
                      <w:snapToGrid w:val="0"/>
                      <w:color w:val="auto"/>
                      <w:kern w:val="0"/>
                      <w:szCs w:val="21"/>
                      <w:highlight w:val="none"/>
                    </w:rPr>
                    <w:t>2.禁止建设《环境保护综合名录（2021年版）》及其最新名录所列“高污染、高风险”产品加工项目。严格控制生态脆弱或环境敏感地区建设“两高”行业项目。</w:t>
                  </w:r>
                </w:p>
                <w:p w14:paraId="61925154">
                  <w:pPr>
                    <w:keepNext w:val="0"/>
                    <w:keepLines w:val="0"/>
                    <w:suppressLineNumbers w:val="0"/>
                    <w:snapToGrid w:val="0"/>
                    <w:spacing w:before="0" w:beforeAutospacing="0" w:after="0" w:afterAutospacing="0"/>
                    <w:ind w:left="105" w:leftChars="50" w:right="105" w:rightChars="50"/>
                    <w:rPr>
                      <w:rFonts w:hint="default"/>
                      <w:snapToGrid w:val="0"/>
                      <w:color w:val="auto"/>
                      <w:kern w:val="0"/>
                      <w:szCs w:val="21"/>
                      <w:highlight w:val="none"/>
                    </w:rPr>
                  </w:pPr>
                  <w:r>
                    <w:rPr>
                      <w:rFonts w:hint="default"/>
                      <w:snapToGrid w:val="0"/>
                      <w:color w:val="auto"/>
                      <w:kern w:val="0"/>
                      <w:szCs w:val="21"/>
                      <w:highlight w:val="none"/>
                    </w:rPr>
                    <w:t>3.上一年度环境空气质量年均浓度不达标、水环境质量未达到要求的区县，相关污染物应按照建设项目所需替代的主要污染物排放总量指标的2倍进行削减替代（燃煤发电机组大气污染物排放浓度基本达到燃气轮机组排放限值的除外）；PM2.5年均浓度不达标的区县，二氧化硫、氮氧化物、烟粉尘、挥发性有机物四项污染物均需进行2倍削减替代（燃煤发电机组大气污染物排放浓度基本达到燃气轮机组排放限值的除外）。</w:t>
                  </w:r>
                </w:p>
                <w:p w14:paraId="4546FFE6">
                  <w:pPr>
                    <w:pStyle w:val="45"/>
                    <w:keepNext w:val="0"/>
                    <w:keepLines w:val="0"/>
                    <w:suppressLineNumbers w:val="0"/>
                    <w:snapToGrid w:val="0"/>
                    <w:spacing w:before="0" w:beforeAutospacing="0" w:after="0" w:afterAutospacing="0" w:line="240" w:lineRule="auto"/>
                    <w:ind w:left="0" w:right="0"/>
                    <w:rPr>
                      <w:rFonts w:hint="default" w:ascii="Times New Roman" w:hAnsi="Times New Roman"/>
                      <w:b w:val="0"/>
                      <w:bCs/>
                      <w:snapToGrid w:val="0"/>
                      <w:color w:val="auto"/>
                      <w:kern w:val="0"/>
                      <w:sz w:val="21"/>
                      <w:szCs w:val="21"/>
                      <w:highlight w:val="none"/>
                    </w:rPr>
                  </w:pPr>
                  <w:r>
                    <w:rPr>
                      <w:rFonts w:hint="default" w:ascii="Times New Roman" w:hAnsi="Times New Roman"/>
                      <w:b w:val="0"/>
                      <w:bCs/>
                      <w:snapToGrid w:val="0"/>
                      <w:color w:val="auto"/>
                      <w:kern w:val="0"/>
                      <w:sz w:val="21"/>
                      <w:szCs w:val="21"/>
                      <w:highlight w:val="none"/>
                    </w:rPr>
                    <w:t>4、以钢铁、水泥、平板玻璃、焦化、化工、制药等行业为重点，加快城市建成区重污染企业搬迁改造或关闭退出，具备条件的钢铁、水泥、平板玻璃、焦化、化工、制药、陶瓷、铸造等重污染企业退出城市建成区，县城和主要城镇建成区的重污染企业逐步实施退城搬迁。对不符合国家产业政策、不符合当地产业布局规划的分散燃煤（燃重油等）炉窑，鼓励搬迁入园并进行集中治理，推进治理装备升级改造，建设规模化和集约化工业企业。</w:t>
                  </w:r>
                </w:p>
                <w:p w14:paraId="4FD3E21C">
                  <w:pPr>
                    <w:pStyle w:val="45"/>
                    <w:keepNext w:val="0"/>
                    <w:keepLines w:val="0"/>
                    <w:suppressLineNumbers w:val="0"/>
                    <w:snapToGrid w:val="0"/>
                    <w:spacing w:before="0" w:beforeAutospacing="0" w:after="0" w:afterAutospacing="0" w:line="240" w:lineRule="auto"/>
                    <w:ind w:left="0" w:right="0"/>
                    <w:rPr>
                      <w:rFonts w:hint="default" w:ascii="Times New Roman" w:hAnsi="Times New Roman"/>
                      <w:color w:val="auto"/>
                      <w:sz w:val="21"/>
                      <w:szCs w:val="21"/>
                      <w:highlight w:val="none"/>
                    </w:rPr>
                  </w:pPr>
                  <w:r>
                    <w:rPr>
                      <w:rFonts w:hint="default" w:ascii="Times New Roman" w:hAnsi="Times New Roman"/>
                      <w:b w:val="0"/>
                      <w:bCs/>
                      <w:snapToGrid w:val="0"/>
                      <w:color w:val="auto"/>
                      <w:kern w:val="0"/>
                      <w:sz w:val="21"/>
                      <w:szCs w:val="21"/>
                      <w:highlight w:val="none"/>
                    </w:rPr>
                    <w:t>5、禁止在居民区、学校、医疗和养老机构等周边新建有色金属冶炼、焦化等行业企业。严格控制在优先保护类耕地集中区域新建有色金属冶炼、石油加工、化工、焦化、电镀、制革、制药、铅酸蓄电池行业企业。</w:t>
                  </w:r>
                </w:p>
              </w:tc>
              <w:tc>
                <w:tcPr>
                  <w:tcW w:w="1620" w:type="dxa"/>
                  <w:vAlign w:val="center"/>
                </w:tcPr>
                <w:p w14:paraId="0E9637EC">
                  <w:pPr>
                    <w:pStyle w:val="59"/>
                    <w:keepNext w:val="0"/>
                    <w:keepLines w:val="0"/>
                    <w:suppressLineNumbers w:val="0"/>
                    <w:snapToGrid w:val="0"/>
                    <w:spacing w:before="0" w:beforeAutospacing="0" w:after="0" w:afterAutospacing="0"/>
                    <w:ind w:left="105" w:leftChars="50" w:right="105" w:rightChars="50"/>
                    <w:rPr>
                      <w:rFonts w:hint="default" w:ascii="Times New Roman" w:hAnsi="Times New Roman" w:cs="Times New Roman"/>
                      <w:snapToGrid w:val="0"/>
                      <w:color w:val="auto"/>
                      <w:sz w:val="21"/>
                      <w:szCs w:val="21"/>
                      <w:highlight w:val="none"/>
                      <w:lang w:eastAsia="zh-CN"/>
                    </w:rPr>
                  </w:pPr>
                  <w:r>
                    <w:rPr>
                      <w:rFonts w:hint="default" w:ascii="Times New Roman" w:hAnsi="Times New Roman" w:cs="Times New Roman"/>
                      <w:snapToGrid w:val="0"/>
                      <w:color w:val="auto"/>
                      <w:sz w:val="21"/>
                      <w:szCs w:val="21"/>
                      <w:highlight w:val="none"/>
                      <w:lang w:eastAsia="zh-CN"/>
                    </w:rPr>
                    <w:t>1、项目属于《产业结构调整指导目录》中允许类产业项目；</w:t>
                  </w:r>
                </w:p>
                <w:p w14:paraId="33EC13DB">
                  <w:pPr>
                    <w:pStyle w:val="59"/>
                    <w:keepNext w:val="0"/>
                    <w:keepLines w:val="0"/>
                    <w:suppressLineNumbers w:val="0"/>
                    <w:snapToGrid w:val="0"/>
                    <w:spacing w:before="0" w:beforeAutospacing="0" w:after="0" w:afterAutospacing="0"/>
                    <w:ind w:left="105" w:leftChars="50" w:right="105" w:rightChars="50"/>
                    <w:rPr>
                      <w:rFonts w:hint="default" w:ascii="Times New Roman" w:hAnsi="Times New Roman" w:cs="Times New Roman"/>
                      <w:snapToGrid w:val="0"/>
                      <w:color w:val="auto"/>
                      <w:sz w:val="21"/>
                      <w:szCs w:val="21"/>
                      <w:highlight w:val="none"/>
                      <w:lang w:eastAsia="zh-CN"/>
                    </w:rPr>
                  </w:pPr>
                  <w:r>
                    <w:rPr>
                      <w:rFonts w:hint="default" w:ascii="Times New Roman" w:hAnsi="Times New Roman" w:cs="Times New Roman"/>
                      <w:snapToGrid w:val="0"/>
                      <w:color w:val="auto"/>
                      <w:sz w:val="21"/>
                      <w:szCs w:val="21"/>
                      <w:highlight w:val="none"/>
                      <w:lang w:eastAsia="zh-CN"/>
                    </w:rPr>
                    <w:t>2、本项目不属于两高项目。</w:t>
                  </w:r>
                </w:p>
                <w:p w14:paraId="02C2781A">
                  <w:pPr>
                    <w:keepNext w:val="0"/>
                    <w:keepLines w:val="0"/>
                    <w:suppressLineNumbers w:val="0"/>
                    <w:snapToGrid w:val="0"/>
                    <w:spacing w:before="0" w:beforeAutospacing="0" w:after="0" w:afterAutospacing="0"/>
                    <w:ind w:left="105" w:leftChars="50" w:right="105" w:rightChars="50"/>
                    <w:rPr>
                      <w:rFonts w:hint="default"/>
                      <w:snapToGrid w:val="0"/>
                      <w:color w:val="auto"/>
                      <w:kern w:val="0"/>
                      <w:szCs w:val="21"/>
                      <w:highlight w:val="none"/>
                    </w:rPr>
                  </w:pPr>
                  <w:r>
                    <w:rPr>
                      <w:rFonts w:hint="default"/>
                      <w:snapToGrid w:val="0"/>
                      <w:color w:val="auto"/>
                      <w:kern w:val="0"/>
                      <w:szCs w:val="21"/>
                      <w:highlight w:val="none"/>
                    </w:rPr>
                    <w:t>3、本项目</w:t>
                  </w:r>
                  <w:r>
                    <w:rPr>
                      <w:rFonts w:hint="eastAsia"/>
                      <w:snapToGrid w:val="0"/>
                      <w:color w:val="auto"/>
                      <w:kern w:val="0"/>
                      <w:szCs w:val="21"/>
                      <w:highlight w:val="none"/>
                      <w:lang w:val="en-US" w:eastAsia="zh-CN"/>
                    </w:rPr>
                    <w:t>已按照要求进行</w:t>
                  </w:r>
                  <w:r>
                    <w:rPr>
                      <w:rFonts w:hint="eastAsia"/>
                      <w:snapToGrid w:val="0"/>
                      <w:color w:val="auto"/>
                      <w:kern w:val="0"/>
                      <w:szCs w:val="21"/>
                      <w:highlight w:val="none"/>
                      <w:lang w:eastAsia="zh-CN"/>
                    </w:rPr>
                    <w:t>总量</w:t>
                  </w:r>
                  <w:r>
                    <w:rPr>
                      <w:rFonts w:hint="eastAsia"/>
                      <w:snapToGrid w:val="0"/>
                      <w:color w:val="auto"/>
                      <w:kern w:val="0"/>
                      <w:szCs w:val="21"/>
                      <w:highlight w:val="none"/>
                      <w:lang w:val="en-US" w:eastAsia="zh-CN"/>
                    </w:rPr>
                    <w:t>确认</w:t>
                  </w:r>
                  <w:r>
                    <w:rPr>
                      <w:rFonts w:hint="default"/>
                      <w:snapToGrid w:val="0"/>
                      <w:color w:val="auto"/>
                      <w:kern w:val="0"/>
                      <w:szCs w:val="21"/>
                      <w:highlight w:val="none"/>
                    </w:rPr>
                    <w:t>；</w:t>
                  </w:r>
                </w:p>
                <w:p w14:paraId="7986321E">
                  <w:pPr>
                    <w:keepNext w:val="0"/>
                    <w:keepLines w:val="0"/>
                    <w:suppressLineNumbers w:val="0"/>
                    <w:snapToGrid w:val="0"/>
                    <w:spacing w:before="0" w:beforeAutospacing="0" w:after="0" w:afterAutospacing="0"/>
                    <w:ind w:left="105" w:leftChars="50" w:right="105" w:rightChars="50"/>
                    <w:rPr>
                      <w:rFonts w:hint="default"/>
                      <w:snapToGrid w:val="0"/>
                      <w:color w:val="auto"/>
                      <w:kern w:val="0"/>
                      <w:szCs w:val="21"/>
                      <w:highlight w:val="none"/>
                    </w:rPr>
                  </w:pPr>
                  <w:r>
                    <w:rPr>
                      <w:rFonts w:hint="default"/>
                      <w:snapToGrid w:val="0"/>
                      <w:color w:val="auto"/>
                      <w:kern w:val="0"/>
                      <w:szCs w:val="21"/>
                      <w:highlight w:val="none"/>
                    </w:rPr>
                    <w:t>4、不涉及；</w:t>
                  </w:r>
                </w:p>
                <w:p w14:paraId="2C3D9D57">
                  <w:pPr>
                    <w:keepNext w:val="0"/>
                    <w:keepLines w:val="0"/>
                    <w:suppressLineNumbers w:val="0"/>
                    <w:snapToGrid w:val="0"/>
                    <w:spacing w:before="0" w:beforeAutospacing="0" w:after="0" w:afterAutospacing="0"/>
                    <w:ind w:left="105" w:leftChars="50" w:right="105" w:rightChars="50"/>
                    <w:rPr>
                      <w:rFonts w:hint="default"/>
                      <w:snapToGrid w:val="0"/>
                      <w:color w:val="auto"/>
                      <w:kern w:val="0"/>
                      <w:szCs w:val="21"/>
                      <w:highlight w:val="none"/>
                    </w:rPr>
                  </w:pPr>
                  <w:r>
                    <w:rPr>
                      <w:rFonts w:hint="default"/>
                      <w:snapToGrid w:val="0"/>
                      <w:color w:val="auto"/>
                      <w:kern w:val="0"/>
                      <w:szCs w:val="21"/>
                      <w:highlight w:val="none"/>
                    </w:rPr>
                    <w:t>5、不涉及。</w:t>
                  </w:r>
                </w:p>
              </w:tc>
              <w:tc>
                <w:tcPr>
                  <w:tcW w:w="753" w:type="dxa"/>
                  <w:vAlign w:val="center"/>
                </w:tcPr>
                <w:p w14:paraId="52C9E780">
                  <w:pPr>
                    <w:pStyle w:val="109"/>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3"/>
                      <w:highlight w:val="none"/>
                      <w:lang w:eastAsia="zh-CN"/>
                    </w:rPr>
                  </w:pPr>
                  <w:r>
                    <w:rPr>
                      <w:rFonts w:hint="default" w:ascii="Times New Roman" w:hAnsi="Times New Roman" w:cs="Times New Roman"/>
                      <w:color w:val="auto"/>
                      <w:spacing w:val="3"/>
                      <w:highlight w:val="none"/>
                      <w:lang w:eastAsia="zh-CN"/>
                    </w:rPr>
                    <w:t>符合</w:t>
                  </w:r>
                </w:p>
              </w:tc>
            </w:tr>
          </w:tbl>
          <w:p w14:paraId="1ED60F9A">
            <w:pPr>
              <w:keepNext w:val="0"/>
              <w:keepLines w:val="0"/>
              <w:suppressLineNumbers w:val="0"/>
              <w:snapToGrid w:val="0"/>
              <w:spacing w:before="0" w:beforeAutospacing="0" w:after="0" w:afterAutospacing="0"/>
              <w:ind w:left="0" w:right="0"/>
              <w:jc w:val="center"/>
              <w:rPr>
                <w:rFonts w:hint="default"/>
                <w:color w:val="auto"/>
                <w:sz w:val="24"/>
                <w:highlight w:val="none"/>
              </w:rPr>
            </w:pPr>
            <w:r>
              <w:rPr>
                <w:rFonts w:hint="default"/>
                <w:b/>
                <w:bCs/>
                <w:color w:val="auto"/>
                <w:sz w:val="24"/>
                <w:highlight w:val="none"/>
              </w:rPr>
              <w:t>表1-</w:t>
            </w:r>
            <w:r>
              <w:rPr>
                <w:rFonts w:hint="eastAsia"/>
                <w:b/>
                <w:bCs/>
                <w:color w:val="auto"/>
                <w:sz w:val="24"/>
                <w:highlight w:val="none"/>
                <w:lang w:val="en-US" w:eastAsia="zh-CN"/>
              </w:rPr>
              <w:t>8</w:t>
            </w:r>
            <w:r>
              <w:rPr>
                <w:rFonts w:hint="default"/>
                <w:b/>
                <w:bCs/>
                <w:color w:val="auto"/>
                <w:sz w:val="24"/>
                <w:highlight w:val="none"/>
              </w:rPr>
              <w:t xml:space="preserve">  </w:t>
            </w:r>
            <w:r>
              <w:rPr>
                <w:rFonts w:hint="default"/>
                <w:b/>
                <w:bCs/>
                <w:color w:val="auto"/>
                <w:sz w:val="24"/>
                <w:highlight w:val="none"/>
                <w:lang w:val="en-US" w:eastAsia="zh-CN"/>
              </w:rPr>
              <w:t>本项目属于重点管控单元，编号为ZH13037120075，本项目与该管控单元符合性如下</w:t>
            </w:r>
          </w:p>
          <w:tbl>
            <w:tblPr>
              <w:tblStyle w:val="35"/>
              <w:tblW w:w="83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
              <w:gridCol w:w="983"/>
              <w:gridCol w:w="463"/>
              <w:gridCol w:w="3827"/>
              <w:gridCol w:w="2416"/>
            </w:tblGrid>
            <w:tr w14:paraId="18376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99" w:type="pct"/>
                  <w:vAlign w:val="center"/>
                </w:tcPr>
                <w:p w14:paraId="15213C72">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单元类别</w:t>
                  </w:r>
                </w:p>
              </w:tc>
              <w:tc>
                <w:tcPr>
                  <w:tcW w:w="588" w:type="pct"/>
                  <w:vAlign w:val="center"/>
                </w:tcPr>
                <w:p w14:paraId="3718AF6A">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环境要素类别</w:t>
                  </w:r>
                </w:p>
              </w:tc>
              <w:tc>
                <w:tcPr>
                  <w:tcW w:w="277" w:type="pct"/>
                  <w:vAlign w:val="center"/>
                </w:tcPr>
                <w:p w14:paraId="490E52B8">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维度</w:t>
                  </w:r>
                </w:p>
              </w:tc>
              <w:tc>
                <w:tcPr>
                  <w:tcW w:w="2289" w:type="pct"/>
                  <w:vAlign w:val="center"/>
                </w:tcPr>
                <w:p w14:paraId="4588352F">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准入要求</w:t>
                  </w:r>
                </w:p>
              </w:tc>
              <w:tc>
                <w:tcPr>
                  <w:tcW w:w="1445" w:type="pct"/>
                  <w:vAlign w:val="center"/>
                </w:tcPr>
                <w:p w14:paraId="156D2BD6">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本项目</w:t>
                  </w:r>
                </w:p>
              </w:tc>
            </w:tr>
            <w:tr w14:paraId="636DD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99" w:type="pct"/>
                  <w:shd w:val="clear" w:color="auto" w:fill="auto"/>
                  <w:vAlign w:val="center"/>
                </w:tcPr>
                <w:p w14:paraId="20D5C0F7">
                  <w:pPr>
                    <w:keepNext w:val="0"/>
                    <w:keepLines w:val="0"/>
                    <w:suppressLineNumbers w:val="0"/>
                    <w:adjustRightInd w:val="0"/>
                    <w:snapToGrid w:val="0"/>
                    <w:spacing w:before="0" w:beforeAutospacing="0" w:after="0" w:afterAutospacing="0"/>
                    <w:ind w:left="-105" w:leftChars="-50" w:right="-105" w:rightChars="-50"/>
                    <w:jc w:val="center"/>
                    <w:rPr>
                      <w:rFonts w:hint="default"/>
                      <w:snapToGrid w:val="0"/>
                      <w:color w:val="auto"/>
                      <w:kern w:val="0"/>
                      <w:szCs w:val="21"/>
                      <w:highlight w:val="none"/>
                    </w:rPr>
                  </w:pPr>
                  <w:r>
                    <w:rPr>
                      <w:rFonts w:hint="eastAsia"/>
                      <w:snapToGrid w:val="0"/>
                      <w:color w:val="auto"/>
                      <w:kern w:val="0"/>
                      <w:szCs w:val="21"/>
                      <w:highlight w:val="none"/>
                    </w:rPr>
                    <w:t>重点管控区（腾飞路）ZH13037120075</w:t>
                  </w:r>
                </w:p>
              </w:tc>
              <w:tc>
                <w:tcPr>
                  <w:tcW w:w="588" w:type="pct"/>
                  <w:shd w:val="clear" w:color="auto" w:fill="auto"/>
                  <w:vAlign w:val="center"/>
                </w:tcPr>
                <w:p w14:paraId="43588930">
                  <w:pPr>
                    <w:keepNext w:val="0"/>
                    <w:keepLines w:val="0"/>
                    <w:suppressLineNumbers w:val="0"/>
                    <w:adjustRightInd w:val="0"/>
                    <w:snapToGrid w:val="0"/>
                    <w:spacing w:before="0" w:beforeAutospacing="0" w:after="0" w:afterAutospacing="0"/>
                    <w:ind w:left="0" w:right="0"/>
                    <w:jc w:val="center"/>
                    <w:rPr>
                      <w:rFonts w:hint="default"/>
                      <w:snapToGrid w:val="0"/>
                      <w:color w:val="auto"/>
                      <w:kern w:val="0"/>
                      <w:szCs w:val="21"/>
                      <w:highlight w:val="none"/>
                    </w:rPr>
                  </w:pPr>
                  <w:r>
                    <w:rPr>
                      <w:rFonts w:hint="eastAsia"/>
                      <w:snapToGrid w:val="0"/>
                      <w:color w:val="auto"/>
                      <w:kern w:val="0"/>
                      <w:szCs w:val="21"/>
                      <w:highlight w:val="none"/>
                    </w:rPr>
                    <w:t>秦皇岛经济技术开发区西区、工业污染重点管控区</w:t>
                  </w:r>
                </w:p>
              </w:tc>
              <w:tc>
                <w:tcPr>
                  <w:tcW w:w="277" w:type="pct"/>
                  <w:shd w:val="clear" w:color="auto" w:fill="auto"/>
                  <w:vAlign w:val="center"/>
                </w:tcPr>
                <w:p w14:paraId="3693DEE3">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空间布局约束</w:t>
                  </w:r>
                </w:p>
              </w:tc>
              <w:tc>
                <w:tcPr>
                  <w:tcW w:w="2289" w:type="pct"/>
                  <w:vAlign w:val="center"/>
                </w:tcPr>
                <w:p w14:paraId="61DA8C3F">
                  <w:pPr>
                    <w:keepNext w:val="0"/>
                    <w:keepLines w:val="0"/>
                    <w:suppressLineNumbers w:val="0"/>
                    <w:adjustRightInd w:val="0"/>
                    <w:snapToGrid w:val="0"/>
                    <w:spacing w:before="0" w:beforeAutospacing="0" w:after="0" w:afterAutospacing="0"/>
                    <w:ind w:left="-105" w:leftChars="-50" w:right="-105" w:rightChars="-50"/>
                    <w:jc w:val="center"/>
                    <w:rPr>
                      <w:rFonts w:hint="default"/>
                      <w:color w:val="auto"/>
                      <w:szCs w:val="21"/>
                      <w:highlight w:val="none"/>
                    </w:rPr>
                  </w:pPr>
                  <w:r>
                    <w:rPr>
                      <w:rFonts w:hint="eastAsia"/>
                      <w:color w:val="auto"/>
                      <w:kern w:val="0"/>
                      <w:szCs w:val="21"/>
                      <w:highlight w:val="none"/>
                      <w:lang w:bidi="ar"/>
                    </w:rPr>
                    <w:t>1、技术水平达不到国内先进水平的项目禁止入园。2、项目引进原则：1）符合国家、河北省、秦皇岛市产业政策和清洁生产要求；2）符合开发区产业规划的产业发展方向；3）满足开发区建设的补链需求；4）属于技术密集型、知识密集型企业；5）土地集约利用度高。3、医药产业中，原料药生产企业禁止准入。</w:t>
                  </w:r>
                </w:p>
              </w:tc>
              <w:tc>
                <w:tcPr>
                  <w:tcW w:w="1445" w:type="pct"/>
                  <w:vAlign w:val="center"/>
                </w:tcPr>
                <w:p w14:paraId="1843284D">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kern w:val="0"/>
                      <w:szCs w:val="21"/>
                      <w:highlight w:val="none"/>
                      <w:lang w:bidi="ar"/>
                    </w:rPr>
                    <w:t>根据政策符合性分析章节可知本项目符合国家、河北省、秦皇岛市产业政策。</w:t>
                  </w:r>
                </w:p>
              </w:tc>
            </w:tr>
            <w:tr w14:paraId="439D2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84" w:hRule="atLeast"/>
                <w:jc w:val="center"/>
              </w:trPr>
              <w:tc>
                <w:tcPr>
                  <w:tcW w:w="399" w:type="pct"/>
                  <w:vMerge w:val="restart"/>
                  <w:vAlign w:val="center"/>
                </w:tcPr>
                <w:p w14:paraId="08B1F69F">
                  <w:pPr>
                    <w:keepNext w:val="0"/>
                    <w:keepLines w:val="0"/>
                    <w:suppressLineNumbers w:val="0"/>
                    <w:spacing w:before="0" w:beforeAutospacing="0" w:after="0" w:afterAutospacing="0"/>
                    <w:ind w:left="-105" w:leftChars="-50" w:right="-105" w:rightChars="-50"/>
                    <w:jc w:val="center"/>
                    <w:rPr>
                      <w:rFonts w:hint="default"/>
                      <w:snapToGrid w:val="0"/>
                      <w:color w:val="auto"/>
                      <w:kern w:val="0"/>
                      <w:szCs w:val="21"/>
                      <w:highlight w:val="none"/>
                    </w:rPr>
                  </w:pPr>
                  <w:r>
                    <w:rPr>
                      <w:rFonts w:hint="eastAsia"/>
                      <w:snapToGrid w:val="0"/>
                      <w:color w:val="auto"/>
                      <w:kern w:val="0"/>
                      <w:szCs w:val="21"/>
                      <w:highlight w:val="none"/>
                    </w:rPr>
                    <w:t>重点管控区（腾飞路）ZH13037120075</w:t>
                  </w:r>
                </w:p>
              </w:tc>
              <w:tc>
                <w:tcPr>
                  <w:tcW w:w="588" w:type="pct"/>
                  <w:vMerge w:val="restart"/>
                  <w:vAlign w:val="center"/>
                </w:tcPr>
                <w:p w14:paraId="2E4EE17E">
                  <w:pPr>
                    <w:keepNext w:val="0"/>
                    <w:keepLines w:val="0"/>
                    <w:suppressLineNumbers w:val="0"/>
                    <w:spacing w:before="0" w:beforeAutospacing="0" w:after="0" w:afterAutospacing="0"/>
                    <w:ind w:left="0" w:right="0"/>
                    <w:jc w:val="center"/>
                    <w:rPr>
                      <w:rFonts w:hint="default"/>
                      <w:snapToGrid w:val="0"/>
                      <w:color w:val="auto"/>
                      <w:kern w:val="0"/>
                      <w:szCs w:val="21"/>
                      <w:highlight w:val="none"/>
                    </w:rPr>
                  </w:pPr>
                  <w:r>
                    <w:rPr>
                      <w:rFonts w:hint="eastAsia"/>
                      <w:snapToGrid w:val="0"/>
                      <w:color w:val="auto"/>
                      <w:kern w:val="0"/>
                      <w:szCs w:val="21"/>
                      <w:highlight w:val="none"/>
                    </w:rPr>
                    <w:t>秦皇岛经济技术开发区西区、工业污染重点管控区</w:t>
                  </w:r>
                </w:p>
              </w:tc>
              <w:tc>
                <w:tcPr>
                  <w:tcW w:w="277" w:type="pct"/>
                  <w:tcBorders>
                    <w:top w:val="single" w:color="auto" w:sz="4" w:space="0"/>
                  </w:tcBorders>
                  <w:vAlign w:val="center"/>
                </w:tcPr>
                <w:p w14:paraId="232D6D4D">
                  <w:pPr>
                    <w:keepNext w:val="0"/>
                    <w:keepLines w:val="0"/>
                    <w:suppressLineNumbers w:val="0"/>
                    <w:adjustRightInd w:val="0"/>
                    <w:snapToGrid w:val="0"/>
                    <w:spacing w:before="0" w:beforeAutospacing="0" w:after="0" w:afterAutospacing="0"/>
                    <w:ind w:left="0" w:right="0"/>
                    <w:rPr>
                      <w:rFonts w:hint="default"/>
                      <w:color w:val="auto"/>
                      <w:szCs w:val="21"/>
                      <w:highlight w:val="none"/>
                    </w:rPr>
                  </w:pPr>
                  <w:r>
                    <w:rPr>
                      <w:rFonts w:hint="eastAsia"/>
                      <w:color w:val="auto"/>
                      <w:szCs w:val="21"/>
                      <w:highlight w:val="none"/>
                    </w:rPr>
                    <w:t>污染物排放管控</w:t>
                  </w:r>
                </w:p>
              </w:tc>
              <w:tc>
                <w:tcPr>
                  <w:tcW w:w="2289" w:type="pct"/>
                  <w:tcBorders>
                    <w:top w:val="single" w:color="auto" w:sz="4" w:space="0"/>
                  </w:tcBorders>
                  <w:vAlign w:val="center"/>
                </w:tcPr>
                <w:p w14:paraId="20C6E43D">
                  <w:pPr>
                    <w:keepNext w:val="0"/>
                    <w:keepLines w:val="0"/>
                    <w:pageBreakBefore w:val="0"/>
                    <w:widowControl w:val="0"/>
                    <w:numPr>
                      <w:ilvl w:val="255"/>
                      <w:numId w:val="0"/>
                    </w:numPr>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color w:val="auto"/>
                      <w:kern w:val="0"/>
                      <w:szCs w:val="21"/>
                      <w:highlight w:val="none"/>
                      <w:lang w:bidi="ar"/>
                    </w:rPr>
                  </w:pPr>
                  <w:r>
                    <w:rPr>
                      <w:rFonts w:hint="eastAsia"/>
                      <w:color w:val="auto"/>
                      <w:kern w:val="0"/>
                      <w:szCs w:val="21"/>
                      <w:highlight w:val="none"/>
                      <w:lang w:bidi="ar"/>
                    </w:rPr>
                    <w:t>1、严格落实规划环评及其批复文件制定的环保措施。2、园区污水集中处理率100%。3、生活垃圾无害化处理率100%。4、危险废物、医疗废物安全处理率100%。5、完成当地下达的重金属减排指标。6、开展大气污染物特别排放限值改造，制药行业现有企业严格执行二氧化硫、氮氧化物、颗粒物和挥发性有机物特别排放限值。7、加强塑料等行业VOCs治理力度。重点提高涉VOCs排放主要工序密集化水平，加强无组织排放收集，加大含VOCs物料储存和装卸治理力度。8、开发区污水不能排入深河（经过短距离后汇入戴河）。9、涉VOCs排放工业企业污染物排放应达到《工业企业挥发性有机物排放控制标准》（DB13/2322-2016）及《挥发性有机物无组织排放控制标准》（GB37822-2019）相关排放要求。10、开发区内锅炉污染物排放应达到《锅炉大气污染物排放标准》（DB13/5161-2020）要求。</w:t>
                  </w:r>
                </w:p>
              </w:tc>
              <w:tc>
                <w:tcPr>
                  <w:tcW w:w="1445" w:type="pct"/>
                  <w:tcBorders>
                    <w:top w:val="single" w:color="auto" w:sz="4" w:space="0"/>
                  </w:tcBorders>
                  <w:vAlign w:val="center"/>
                </w:tcPr>
                <w:p w14:paraId="092EB3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color w:val="auto"/>
                      <w:kern w:val="0"/>
                      <w:szCs w:val="21"/>
                      <w:highlight w:val="none"/>
                      <w:lang w:bidi="ar"/>
                    </w:rPr>
                  </w:pPr>
                  <w:r>
                    <w:rPr>
                      <w:rFonts w:hint="eastAsia"/>
                      <w:color w:val="auto"/>
                      <w:kern w:val="0"/>
                      <w:szCs w:val="21"/>
                      <w:highlight w:val="none"/>
                      <w:lang w:bidi="ar"/>
                    </w:rPr>
                    <w:t>1、本项目建设符合规划环评及其批复文件要求；</w:t>
                  </w:r>
                </w:p>
                <w:p w14:paraId="5FAEF0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color w:val="auto"/>
                      <w:kern w:val="0"/>
                      <w:szCs w:val="21"/>
                      <w:highlight w:val="none"/>
                      <w:lang w:bidi="ar"/>
                    </w:rPr>
                  </w:pPr>
                  <w:r>
                    <w:rPr>
                      <w:rFonts w:hint="eastAsia"/>
                      <w:color w:val="auto"/>
                      <w:kern w:val="0"/>
                      <w:szCs w:val="21"/>
                      <w:highlight w:val="none"/>
                      <w:lang w:bidi="ar"/>
                    </w:rPr>
                    <w:t>2、本项目</w:t>
                  </w:r>
                  <w:r>
                    <w:rPr>
                      <w:rFonts w:hint="eastAsia"/>
                      <w:color w:val="auto"/>
                      <w:kern w:val="0"/>
                      <w:szCs w:val="21"/>
                      <w:highlight w:val="none"/>
                      <w:lang w:val="en-US" w:eastAsia="zh-CN" w:bidi="ar"/>
                    </w:rPr>
                    <w:t>废水经</w:t>
                  </w:r>
                  <w:r>
                    <w:rPr>
                      <w:rFonts w:hint="eastAsia"/>
                      <w:color w:val="auto"/>
                      <w:kern w:val="0"/>
                      <w:szCs w:val="21"/>
                      <w:highlight w:val="none"/>
                      <w:lang w:bidi="ar"/>
                    </w:rPr>
                    <w:t>市政污水管网</w:t>
                  </w:r>
                  <w:r>
                    <w:rPr>
                      <w:rFonts w:hint="eastAsia"/>
                      <w:color w:val="auto"/>
                      <w:kern w:val="0"/>
                      <w:szCs w:val="21"/>
                      <w:highlight w:val="none"/>
                      <w:lang w:val="en-US" w:eastAsia="zh-CN" w:bidi="ar"/>
                    </w:rPr>
                    <w:t>排入</w:t>
                  </w:r>
                  <w:r>
                    <w:rPr>
                      <w:rFonts w:hint="eastAsia" w:ascii="Times New Roman" w:hAnsi="Times New Roman" w:cs="Times New Roman"/>
                      <w:bCs/>
                      <w:color w:val="auto"/>
                      <w:kern w:val="21"/>
                      <w:highlight w:val="none"/>
                      <w:lang w:val="en-US" w:eastAsia="zh-CN"/>
                    </w:rPr>
                    <w:t>秦皇岛市第三</w:t>
                  </w:r>
                  <w:r>
                    <w:rPr>
                      <w:rFonts w:hint="eastAsia"/>
                      <w:color w:val="auto"/>
                      <w:kern w:val="0"/>
                      <w:szCs w:val="21"/>
                      <w:highlight w:val="none"/>
                      <w:lang w:bidi="ar"/>
                    </w:rPr>
                    <w:t>污水处理厂；</w:t>
                  </w:r>
                </w:p>
                <w:p w14:paraId="553BE9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color w:val="auto"/>
                      <w:kern w:val="0"/>
                      <w:szCs w:val="21"/>
                      <w:highlight w:val="none"/>
                      <w:lang w:bidi="ar"/>
                    </w:rPr>
                  </w:pPr>
                  <w:r>
                    <w:rPr>
                      <w:rFonts w:hint="eastAsia"/>
                      <w:color w:val="auto"/>
                      <w:kern w:val="0"/>
                      <w:szCs w:val="21"/>
                      <w:highlight w:val="none"/>
                      <w:lang w:bidi="ar"/>
                    </w:rPr>
                    <w:t>3、生活垃圾交由环卫部门处理；</w:t>
                  </w:r>
                </w:p>
                <w:p w14:paraId="766C73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eastAsia" w:eastAsia="宋体"/>
                      <w:color w:val="auto"/>
                      <w:kern w:val="0"/>
                      <w:szCs w:val="21"/>
                      <w:highlight w:val="none"/>
                      <w:lang w:eastAsia="zh-CN" w:bidi="ar"/>
                    </w:rPr>
                  </w:pPr>
                  <w:r>
                    <w:rPr>
                      <w:rFonts w:hint="eastAsia"/>
                      <w:color w:val="auto"/>
                      <w:kern w:val="0"/>
                      <w:szCs w:val="21"/>
                      <w:highlight w:val="none"/>
                      <w:lang w:bidi="ar"/>
                    </w:rPr>
                    <w:t>4、</w:t>
                  </w:r>
                  <w:r>
                    <w:rPr>
                      <w:rFonts w:hint="eastAsia"/>
                      <w:color w:val="auto"/>
                      <w:kern w:val="0"/>
                      <w:szCs w:val="21"/>
                      <w:highlight w:val="none"/>
                      <w:lang w:eastAsia="zh-CN" w:bidi="ar"/>
                    </w:rPr>
                    <w:t>本项目危废</w:t>
                  </w:r>
                  <w:r>
                    <w:rPr>
                      <w:rFonts w:hint="eastAsia"/>
                      <w:color w:val="auto"/>
                      <w:kern w:val="0"/>
                      <w:szCs w:val="21"/>
                      <w:highlight w:val="none"/>
                      <w:lang w:val="en-US" w:eastAsia="zh-CN" w:bidi="ar"/>
                    </w:rPr>
                    <w:t>暂存危废间，定期交由有资质单位处置</w:t>
                  </w:r>
                  <w:r>
                    <w:rPr>
                      <w:rFonts w:hint="eastAsia"/>
                      <w:color w:val="auto"/>
                      <w:kern w:val="0"/>
                      <w:szCs w:val="21"/>
                      <w:highlight w:val="none"/>
                      <w:lang w:eastAsia="zh-CN" w:bidi="ar"/>
                    </w:rPr>
                    <w:t>；</w:t>
                  </w:r>
                </w:p>
                <w:p w14:paraId="399708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color w:val="auto"/>
                      <w:kern w:val="0"/>
                      <w:szCs w:val="21"/>
                      <w:highlight w:val="none"/>
                      <w:lang w:bidi="ar"/>
                    </w:rPr>
                  </w:pPr>
                  <w:r>
                    <w:rPr>
                      <w:rFonts w:hint="eastAsia"/>
                      <w:color w:val="auto"/>
                      <w:kern w:val="0"/>
                      <w:szCs w:val="21"/>
                      <w:highlight w:val="none"/>
                      <w:lang w:bidi="ar"/>
                    </w:rPr>
                    <w:t>5、不涉及；</w:t>
                  </w:r>
                </w:p>
                <w:p w14:paraId="722486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color w:val="auto"/>
                      <w:kern w:val="0"/>
                      <w:szCs w:val="21"/>
                      <w:highlight w:val="none"/>
                      <w:lang w:bidi="ar"/>
                    </w:rPr>
                  </w:pPr>
                  <w:r>
                    <w:rPr>
                      <w:rFonts w:hint="eastAsia"/>
                      <w:color w:val="auto"/>
                      <w:kern w:val="0"/>
                      <w:szCs w:val="21"/>
                      <w:highlight w:val="none"/>
                      <w:lang w:bidi="ar"/>
                    </w:rPr>
                    <w:t>6、不涉及；</w:t>
                  </w:r>
                </w:p>
                <w:p w14:paraId="7E374B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color w:val="auto"/>
                      <w:kern w:val="0"/>
                      <w:szCs w:val="21"/>
                      <w:highlight w:val="none"/>
                      <w:lang w:bidi="ar"/>
                    </w:rPr>
                  </w:pPr>
                  <w:r>
                    <w:rPr>
                      <w:rFonts w:hint="eastAsia"/>
                      <w:color w:val="auto"/>
                      <w:kern w:val="0"/>
                      <w:szCs w:val="21"/>
                      <w:highlight w:val="none"/>
                      <w:lang w:bidi="ar"/>
                    </w:rPr>
                    <w:t>7、不涉及；</w:t>
                  </w:r>
                </w:p>
                <w:p w14:paraId="2A55A97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color w:val="auto"/>
                      <w:kern w:val="0"/>
                      <w:szCs w:val="21"/>
                      <w:highlight w:val="none"/>
                      <w:lang w:bidi="ar"/>
                    </w:rPr>
                  </w:pPr>
                  <w:r>
                    <w:rPr>
                      <w:rFonts w:hint="eastAsia"/>
                      <w:color w:val="auto"/>
                      <w:kern w:val="0"/>
                      <w:szCs w:val="21"/>
                      <w:highlight w:val="none"/>
                      <w:lang w:bidi="ar"/>
                    </w:rPr>
                    <w:t>8、本项目</w:t>
                  </w:r>
                  <w:r>
                    <w:rPr>
                      <w:rFonts w:hint="eastAsia"/>
                      <w:color w:val="auto"/>
                      <w:kern w:val="0"/>
                      <w:szCs w:val="21"/>
                      <w:highlight w:val="none"/>
                      <w:lang w:val="en-US" w:eastAsia="zh-CN" w:bidi="ar"/>
                    </w:rPr>
                    <w:t>废水经</w:t>
                  </w:r>
                  <w:r>
                    <w:rPr>
                      <w:rFonts w:hint="eastAsia"/>
                      <w:color w:val="auto"/>
                      <w:kern w:val="0"/>
                      <w:szCs w:val="21"/>
                      <w:highlight w:val="none"/>
                      <w:lang w:bidi="ar"/>
                    </w:rPr>
                    <w:t>市政污水管网</w:t>
                  </w:r>
                  <w:r>
                    <w:rPr>
                      <w:rFonts w:hint="eastAsia"/>
                      <w:color w:val="auto"/>
                      <w:kern w:val="0"/>
                      <w:szCs w:val="21"/>
                      <w:highlight w:val="none"/>
                      <w:lang w:val="en-US" w:eastAsia="zh-CN" w:bidi="ar"/>
                    </w:rPr>
                    <w:t>排入</w:t>
                  </w:r>
                  <w:r>
                    <w:rPr>
                      <w:rFonts w:hint="eastAsia" w:ascii="Times New Roman" w:hAnsi="Times New Roman" w:cs="Times New Roman"/>
                      <w:bCs/>
                      <w:color w:val="auto"/>
                      <w:kern w:val="21"/>
                      <w:highlight w:val="none"/>
                      <w:lang w:val="en-US" w:eastAsia="zh-CN"/>
                    </w:rPr>
                    <w:t>秦皇岛市第三</w:t>
                  </w:r>
                  <w:r>
                    <w:rPr>
                      <w:rFonts w:hint="eastAsia"/>
                      <w:color w:val="auto"/>
                      <w:kern w:val="0"/>
                      <w:szCs w:val="21"/>
                      <w:highlight w:val="none"/>
                      <w:lang w:bidi="ar"/>
                    </w:rPr>
                    <w:t>污水处理厂；</w:t>
                  </w:r>
                </w:p>
                <w:p w14:paraId="3353AA87">
                  <w:pPr>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jc w:val="left"/>
                    <w:textAlignment w:val="auto"/>
                    <w:rPr>
                      <w:rFonts w:hint="eastAsia" w:eastAsia="宋体"/>
                      <w:color w:val="auto"/>
                      <w:kern w:val="0"/>
                      <w:szCs w:val="21"/>
                      <w:highlight w:val="none"/>
                      <w:lang w:eastAsia="zh-CN" w:bidi="ar"/>
                    </w:rPr>
                  </w:pPr>
                  <w:r>
                    <w:rPr>
                      <w:rFonts w:hint="eastAsia"/>
                      <w:color w:val="auto"/>
                      <w:kern w:val="0"/>
                      <w:szCs w:val="21"/>
                      <w:highlight w:val="none"/>
                      <w:lang w:bidi="ar"/>
                    </w:rPr>
                    <w:t>9、</w:t>
                  </w:r>
                  <w:r>
                    <w:rPr>
                      <w:rFonts w:hint="eastAsia"/>
                      <w:color w:val="auto"/>
                      <w:szCs w:val="21"/>
                      <w:highlight w:val="none"/>
                    </w:rPr>
                    <w:t>本项目使用的</w:t>
                  </w:r>
                  <w:r>
                    <w:rPr>
                      <w:rFonts w:hint="eastAsia"/>
                      <w:color w:val="auto"/>
                      <w:szCs w:val="21"/>
                      <w:highlight w:val="none"/>
                      <w:lang w:eastAsia="zh-CN"/>
                    </w:rPr>
                    <w:t>湿式除尘一体机</w:t>
                  </w:r>
                  <w:r>
                    <w:rPr>
                      <w:rFonts w:hint="eastAsia"/>
                      <w:color w:val="auto"/>
                      <w:szCs w:val="21"/>
                      <w:highlight w:val="none"/>
                    </w:rPr>
                    <w:t>治理效率符合标准要求</w:t>
                  </w:r>
                  <w:r>
                    <w:rPr>
                      <w:rFonts w:hint="eastAsia"/>
                      <w:color w:val="auto"/>
                      <w:szCs w:val="21"/>
                      <w:highlight w:val="none"/>
                      <w:lang w:eastAsia="zh-CN"/>
                    </w:rPr>
                    <w:t>；</w:t>
                  </w:r>
                </w:p>
                <w:p w14:paraId="2BC1C4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color w:val="auto"/>
                      <w:highlight w:val="none"/>
                    </w:rPr>
                  </w:pPr>
                  <w:r>
                    <w:rPr>
                      <w:rFonts w:hint="eastAsia"/>
                      <w:color w:val="auto"/>
                      <w:kern w:val="0"/>
                      <w:szCs w:val="21"/>
                      <w:highlight w:val="none"/>
                      <w:lang w:bidi="ar"/>
                    </w:rPr>
                    <w:t>10、不涉及。</w:t>
                  </w:r>
                </w:p>
              </w:tc>
            </w:tr>
            <w:tr w14:paraId="1FF5A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99" w:type="pct"/>
                  <w:vMerge w:val="continue"/>
                  <w:vAlign w:val="center"/>
                </w:tcPr>
                <w:p w14:paraId="7FE5C71A">
                  <w:pPr>
                    <w:keepNext w:val="0"/>
                    <w:keepLines w:val="0"/>
                    <w:suppressLineNumbers w:val="0"/>
                    <w:adjustRightInd w:val="0"/>
                    <w:snapToGrid w:val="0"/>
                    <w:spacing w:before="0" w:beforeAutospacing="0" w:after="0" w:afterAutospacing="0"/>
                    <w:ind w:left="0" w:right="0"/>
                    <w:rPr>
                      <w:rFonts w:hint="default"/>
                      <w:color w:val="auto"/>
                      <w:szCs w:val="21"/>
                      <w:highlight w:val="none"/>
                    </w:rPr>
                  </w:pPr>
                </w:p>
              </w:tc>
              <w:tc>
                <w:tcPr>
                  <w:tcW w:w="588" w:type="pct"/>
                  <w:vMerge w:val="continue"/>
                  <w:vAlign w:val="center"/>
                </w:tcPr>
                <w:p w14:paraId="2D143C57">
                  <w:pPr>
                    <w:keepNext w:val="0"/>
                    <w:keepLines w:val="0"/>
                    <w:suppressLineNumbers w:val="0"/>
                    <w:adjustRightInd w:val="0"/>
                    <w:snapToGrid w:val="0"/>
                    <w:spacing w:before="0" w:beforeAutospacing="0" w:after="0" w:afterAutospacing="0"/>
                    <w:ind w:left="0" w:right="0"/>
                    <w:rPr>
                      <w:rFonts w:hint="default"/>
                      <w:color w:val="auto"/>
                      <w:szCs w:val="21"/>
                      <w:highlight w:val="none"/>
                    </w:rPr>
                  </w:pPr>
                </w:p>
              </w:tc>
              <w:tc>
                <w:tcPr>
                  <w:tcW w:w="277" w:type="pct"/>
                  <w:tcBorders>
                    <w:top w:val="single" w:color="auto" w:sz="4" w:space="0"/>
                    <w:bottom w:val="single" w:color="auto" w:sz="4" w:space="0"/>
                  </w:tcBorders>
                  <w:vAlign w:val="center"/>
                </w:tcPr>
                <w:p w14:paraId="7C5B8DE0">
                  <w:pPr>
                    <w:keepNext w:val="0"/>
                    <w:keepLines w:val="0"/>
                    <w:suppressLineNumbers w:val="0"/>
                    <w:adjustRightInd w:val="0"/>
                    <w:snapToGrid w:val="0"/>
                    <w:spacing w:before="0" w:beforeAutospacing="0" w:after="0" w:afterAutospacing="0"/>
                    <w:ind w:left="0" w:right="0"/>
                    <w:rPr>
                      <w:rFonts w:hint="default"/>
                      <w:color w:val="auto"/>
                      <w:szCs w:val="21"/>
                      <w:highlight w:val="none"/>
                    </w:rPr>
                  </w:pPr>
                  <w:r>
                    <w:rPr>
                      <w:rFonts w:hint="eastAsia"/>
                      <w:color w:val="auto"/>
                      <w:szCs w:val="21"/>
                      <w:highlight w:val="none"/>
                    </w:rPr>
                    <w:t>环境风险防控</w:t>
                  </w:r>
                </w:p>
              </w:tc>
              <w:tc>
                <w:tcPr>
                  <w:tcW w:w="2289" w:type="pct"/>
                  <w:tcBorders>
                    <w:top w:val="single" w:color="auto" w:sz="4" w:space="0"/>
                    <w:bottom w:val="single" w:color="auto" w:sz="4" w:space="0"/>
                  </w:tcBorders>
                  <w:vAlign w:val="center"/>
                </w:tcPr>
                <w:p w14:paraId="5F5EB406">
                  <w:pPr>
                    <w:keepNext w:val="0"/>
                    <w:keepLines w:val="0"/>
                    <w:widowControl/>
                    <w:numPr>
                      <w:ilvl w:val="255"/>
                      <w:numId w:val="0"/>
                    </w:numPr>
                    <w:suppressLineNumbers w:val="0"/>
                    <w:adjustRightInd w:val="0"/>
                    <w:snapToGrid w:val="0"/>
                    <w:spacing w:before="0" w:beforeAutospacing="0" w:after="0" w:afterAutospacing="0"/>
                    <w:ind w:left="0" w:right="0"/>
                    <w:rPr>
                      <w:rFonts w:hint="default"/>
                      <w:color w:val="auto"/>
                      <w:kern w:val="0"/>
                      <w:szCs w:val="21"/>
                      <w:highlight w:val="none"/>
                      <w:lang w:bidi="ar"/>
                    </w:rPr>
                  </w:pPr>
                  <w:r>
                    <w:rPr>
                      <w:rFonts w:hint="eastAsia"/>
                      <w:color w:val="auto"/>
                      <w:kern w:val="0"/>
                      <w:szCs w:val="21"/>
                      <w:highlight w:val="none"/>
                      <w:lang w:bidi="ar"/>
                    </w:rPr>
                    <w:t>1、严格落实规划环评及其批复文件制定的环境风险防范措施。2、对电镀企业实施强制性清洁审核，氢气对企业及周边开展土壤监测。3、开发区及入区企业需按照相关法律法规及文件要求组织编制《环境风险应急预案》成立应急组织机构，定期开展应急演练，提高区域环境风险防范能力。4、建立有效的事故风险防范体系，使开发区建设和环境保护协调发展。5、禁止建设存在重大环境安全隐患的工业项目。6、严格按照环评要求输氨管线事故影响范围内不得布置人口密集的用地项目，同时采取严格的防范措施。确定地下水污染来源和路径，进行污染风险评估。</w:t>
                  </w:r>
                </w:p>
              </w:tc>
              <w:tc>
                <w:tcPr>
                  <w:tcW w:w="1445" w:type="pct"/>
                  <w:tcBorders>
                    <w:top w:val="single" w:color="auto" w:sz="4" w:space="0"/>
                    <w:bottom w:val="single" w:color="auto" w:sz="4" w:space="0"/>
                  </w:tcBorders>
                  <w:vAlign w:val="center"/>
                </w:tcPr>
                <w:p w14:paraId="4F2D2884">
                  <w:pPr>
                    <w:keepNext w:val="0"/>
                    <w:keepLines w:val="0"/>
                    <w:widowControl/>
                    <w:suppressLineNumbers w:val="0"/>
                    <w:adjustRightInd w:val="0"/>
                    <w:snapToGrid w:val="0"/>
                    <w:spacing w:before="0" w:beforeAutospacing="0" w:after="0" w:afterAutospacing="0"/>
                    <w:ind w:left="0" w:right="0"/>
                    <w:rPr>
                      <w:rFonts w:hint="default"/>
                      <w:color w:val="auto"/>
                      <w:kern w:val="0"/>
                      <w:szCs w:val="21"/>
                      <w:highlight w:val="none"/>
                      <w:lang w:bidi="ar"/>
                    </w:rPr>
                  </w:pPr>
                  <w:r>
                    <w:rPr>
                      <w:rFonts w:hint="eastAsia"/>
                      <w:color w:val="auto"/>
                      <w:kern w:val="0"/>
                      <w:szCs w:val="21"/>
                      <w:highlight w:val="none"/>
                      <w:lang w:bidi="ar"/>
                    </w:rPr>
                    <w:t>1、本项目建设符合规划环评及其批复文件要求；</w:t>
                  </w:r>
                </w:p>
                <w:p w14:paraId="12781DBB">
                  <w:pPr>
                    <w:keepNext w:val="0"/>
                    <w:keepLines w:val="0"/>
                    <w:widowControl/>
                    <w:suppressLineNumbers w:val="0"/>
                    <w:adjustRightInd w:val="0"/>
                    <w:snapToGrid w:val="0"/>
                    <w:spacing w:before="0" w:beforeAutospacing="0" w:after="0" w:afterAutospacing="0"/>
                    <w:ind w:left="0" w:right="0"/>
                    <w:rPr>
                      <w:rFonts w:hint="default"/>
                      <w:color w:val="auto"/>
                      <w:kern w:val="0"/>
                      <w:szCs w:val="21"/>
                      <w:highlight w:val="none"/>
                      <w:lang w:bidi="ar"/>
                    </w:rPr>
                  </w:pPr>
                  <w:r>
                    <w:rPr>
                      <w:rFonts w:hint="eastAsia"/>
                      <w:color w:val="auto"/>
                      <w:kern w:val="0"/>
                      <w:szCs w:val="21"/>
                      <w:highlight w:val="none"/>
                      <w:lang w:bidi="ar"/>
                    </w:rPr>
                    <w:t>2、不涉及。</w:t>
                  </w:r>
                </w:p>
                <w:p w14:paraId="2519573E">
                  <w:pPr>
                    <w:keepNext w:val="0"/>
                    <w:keepLines w:val="0"/>
                    <w:widowControl/>
                    <w:suppressLineNumbers w:val="0"/>
                    <w:adjustRightInd w:val="0"/>
                    <w:snapToGrid w:val="0"/>
                    <w:spacing w:before="0" w:beforeAutospacing="0" w:after="0" w:afterAutospacing="0"/>
                    <w:ind w:left="0" w:right="0"/>
                    <w:rPr>
                      <w:rFonts w:hint="default"/>
                      <w:color w:val="auto"/>
                      <w:kern w:val="0"/>
                      <w:szCs w:val="21"/>
                      <w:highlight w:val="none"/>
                      <w:lang w:bidi="ar"/>
                    </w:rPr>
                  </w:pPr>
                  <w:r>
                    <w:rPr>
                      <w:rFonts w:hint="eastAsia"/>
                      <w:color w:val="auto"/>
                      <w:kern w:val="0"/>
                      <w:szCs w:val="21"/>
                      <w:highlight w:val="none"/>
                      <w:lang w:bidi="ar"/>
                    </w:rPr>
                    <w:t>3、项目建设完成后按主管部门要求开展突发环境事件应急预案的编制工作；</w:t>
                  </w:r>
                </w:p>
                <w:p w14:paraId="5834A3DD">
                  <w:pPr>
                    <w:keepNext w:val="0"/>
                    <w:keepLines w:val="0"/>
                    <w:widowControl/>
                    <w:suppressLineNumbers w:val="0"/>
                    <w:adjustRightInd w:val="0"/>
                    <w:snapToGrid w:val="0"/>
                    <w:spacing w:before="0" w:beforeAutospacing="0" w:after="0" w:afterAutospacing="0"/>
                    <w:ind w:left="0" w:right="0"/>
                    <w:rPr>
                      <w:rFonts w:hint="default"/>
                      <w:color w:val="auto"/>
                      <w:kern w:val="0"/>
                      <w:szCs w:val="21"/>
                      <w:highlight w:val="none"/>
                      <w:lang w:bidi="ar"/>
                    </w:rPr>
                  </w:pPr>
                  <w:r>
                    <w:rPr>
                      <w:rFonts w:hint="eastAsia"/>
                      <w:color w:val="auto"/>
                      <w:kern w:val="0"/>
                      <w:szCs w:val="21"/>
                      <w:highlight w:val="none"/>
                      <w:lang w:bidi="ar"/>
                    </w:rPr>
                    <w:t>4、建设应急机制，每年进行应急演练；</w:t>
                  </w:r>
                </w:p>
                <w:p w14:paraId="767F33EB">
                  <w:pPr>
                    <w:keepNext w:val="0"/>
                    <w:keepLines w:val="0"/>
                    <w:widowControl/>
                    <w:suppressLineNumbers w:val="0"/>
                    <w:adjustRightInd w:val="0"/>
                    <w:snapToGrid w:val="0"/>
                    <w:spacing w:before="0" w:beforeAutospacing="0" w:after="0" w:afterAutospacing="0"/>
                    <w:ind w:left="0" w:right="0"/>
                    <w:rPr>
                      <w:rFonts w:hint="default"/>
                      <w:color w:val="auto"/>
                      <w:kern w:val="0"/>
                      <w:szCs w:val="21"/>
                      <w:highlight w:val="none"/>
                      <w:lang w:bidi="ar"/>
                    </w:rPr>
                  </w:pPr>
                  <w:r>
                    <w:rPr>
                      <w:rFonts w:hint="eastAsia"/>
                      <w:color w:val="auto"/>
                      <w:kern w:val="0"/>
                      <w:szCs w:val="21"/>
                      <w:highlight w:val="none"/>
                      <w:lang w:bidi="ar"/>
                    </w:rPr>
                    <w:t>5、不属于；</w:t>
                  </w:r>
                </w:p>
                <w:p w14:paraId="08F7A806">
                  <w:pPr>
                    <w:keepNext w:val="0"/>
                    <w:keepLines w:val="0"/>
                    <w:widowControl/>
                    <w:suppressLineNumbers w:val="0"/>
                    <w:adjustRightInd w:val="0"/>
                    <w:snapToGrid w:val="0"/>
                    <w:spacing w:before="0" w:beforeAutospacing="0" w:after="0" w:afterAutospacing="0"/>
                    <w:ind w:left="0" w:right="0"/>
                    <w:rPr>
                      <w:rFonts w:hint="default"/>
                      <w:color w:val="auto"/>
                      <w:kern w:val="0"/>
                      <w:szCs w:val="21"/>
                      <w:highlight w:val="none"/>
                      <w:lang w:bidi="ar"/>
                    </w:rPr>
                  </w:pPr>
                  <w:r>
                    <w:rPr>
                      <w:rFonts w:hint="eastAsia"/>
                      <w:color w:val="auto"/>
                      <w:kern w:val="0"/>
                      <w:szCs w:val="21"/>
                      <w:highlight w:val="none"/>
                      <w:lang w:bidi="ar"/>
                    </w:rPr>
                    <w:t>6、不涉及。</w:t>
                  </w:r>
                </w:p>
              </w:tc>
            </w:tr>
            <w:tr w14:paraId="5DC0B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99" w:type="pct"/>
                  <w:vMerge w:val="continue"/>
                  <w:vAlign w:val="center"/>
                </w:tcPr>
                <w:p w14:paraId="2DF3F3F2">
                  <w:pPr>
                    <w:keepNext w:val="0"/>
                    <w:keepLines w:val="0"/>
                    <w:suppressLineNumbers w:val="0"/>
                    <w:adjustRightInd w:val="0"/>
                    <w:snapToGrid w:val="0"/>
                    <w:spacing w:before="0" w:beforeAutospacing="0" w:after="0" w:afterAutospacing="0"/>
                    <w:ind w:left="0" w:right="0"/>
                    <w:rPr>
                      <w:rFonts w:hint="default"/>
                      <w:color w:val="auto"/>
                      <w:szCs w:val="21"/>
                      <w:highlight w:val="none"/>
                    </w:rPr>
                  </w:pPr>
                </w:p>
              </w:tc>
              <w:tc>
                <w:tcPr>
                  <w:tcW w:w="588" w:type="pct"/>
                  <w:vMerge w:val="continue"/>
                  <w:vAlign w:val="center"/>
                </w:tcPr>
                <w:p w14:paraId="02E25339">
                  <w:pPr>
                    <w:keepNext w:val="0"/>
                    <w:keepLines w:val="0"/>
                    <w:suppressLineNumbers w:val="0"/>
                    <w:adjustRightInd w:val="0"/>
                    <w:snapToGrid w:val="0"/>
                    <w:spacing w:before="0" w:beforeAutospacing="0" w:after="0" w:afterAutospacing="0"/>
                    <w:ind w:left="0" w:right="0"/>
                    <w:rPr>
                      <w:rFonts w:hint="default"/>
                      <w:color w:val="auto"/>
                      <w:szCs w:val="21"/>
                      <w:highlight w:val="none"/>
                    </w:rPr>
                  </w:pPr>
                </w:p>
              </w:tc>
              <w:tc>
                <w:tcPr>
                  <w:tcW w:w="277" w:type="pct"/>
                  <w:tcBorders>
                    <w:top w:val="single" w:color="auto" w:sz="4" w:space="0"/>
                  </w:tcBorders>
                  <w:vAlign w:val="center"/>
                </w:tcPr>
                <w:p w14:paraId="3F9F700C">
                  <w:pPr>
                    <w:keepNext w:val="0"/>
                    <w:keepLines w:val="0"/>
                    <w:suppressLineNumbers w:val="0"/>
                    <w:adjustRightInd w:val="0"/>
                    <w:snapToGrid w:val="0"/>
                    <w:spacing w:before="0" w:beforeAutospacing="0" w:after="0" w:afterAutospacing="0"/>
                    <w:ind w:left="0" w:right="0"/>
                    <w:rPr>
                      <w:rFonts w:hint="default"/>
                      <w:color w:val="auto"/>
                      <w:szCs w:val="21"/>
                      <w:highlight w:val="none"/>
                    </w:rPr>
                  </w:pPr>
                  <w:r>
                    <w:rPr>
                      <w:rFonts w:hint="eastAsia"/>
                      <w:color w:val="auto"/>
                      <w:szCs w:val="21"/>
                      <w:highlight w:val="none"/>
                    </w:rPr>
                    <w:t>资源利用效率</w:t>
                  </w:r>
                </w:p>
              </w:tc>
              <w:tc>
                <w:tcPr>
                  <w:tcW w:w="2289" w:type="pct"/>
                  <w:tcBorders>
                    <w:top w:val="single" w:color="auto" w:sz="4" w:space="0"/>
                  </w:tcBorders>
                  <w:vAlign w:val="center"/>
                </w:tcPr>
                <w:p w14:paraId="629A5AFF">
                  <w:pPr>
                    <w:keepNext w:val="0"/>
                    <w:keepLines w:val="0"/>
                    <w:widowControl/>
                    <w:numPr>
                      <w:ilvl w:val="0"/>
                      <w:numId w:val="1"/>
                    </w:numPr>
                    <w:suppressLineNumbers w:val="0"/>
                    <w:adjustRightInd w:val="0"/>
                    <w:snapToGrid w:val="0"/>
                    <w:spacing w:before="0" w:beforeAutospacing="0" w:after="0" w:afterAutospacing="0"/>
                    <w:ind w:left="0" w:right="0"/>
                    <w:rPr>
                      <w:rFonts w:hint="default"/>
                      <w:color w:val="auto"/>
                      <w:kern w:val="0"/>
                      <w:szCs w:val="21"/>
                      <w:highlight w:val="none"/>
                      <w:lang w:bidi="ar"/>
                    </w:rPr>
                  </w:pPr>
                  <w:r>
                    <w:rPr>
                      <w:rFonts w:hint="eastAsia"/>
                      <w:color w:val="auto"/>
                      <w:kern w:val="0"/>
                      <w:szCs w:val="21"/>
                      <w:highlight w:val="none"/>
                      <w:lang w:bidi="ar"/>
                    </w:rPr>
                    <w:t>禁燃区内任何单位不得新建、扩建高污染燃料燃用设施，不得将其他燃料燃用设施改造为高污染燃料燃用设施。2、加强再生水回用设施建设，提高资源循环利用率，再生水回用率&gt;30%。</w:t>
                  </w:r>
                </w:p>
                <w:p w14:paraId="56A1C2ED">
                  <w:pPr>
                    <w:keepNext w:val="0"/>
                    <w:keepLines w:val="0"/>
                    <w:widowControl/>
                    <w:numPr>
                      <w:ilvl w:val="0"/>
                      <w:numId w:val="1"/>
                    </w:numPr>
                    <w:suppressLineNumbers w:val="0"/>
                    <w:adjustRightInd w:val="0"/>
                    <w:snapToGrid w:val="0"/>
                    <w:spacing w:before="0" w:beforeAutospacing="0" w:after="0" w:afterAutospacing="0"/>
                    <w:ind w:left="0" w:right="0"/>
                    <w:rPr>
                      <w:rFonts w:hint="default"/>
                      <w:color w:val="auto"/>
                      <w:kern w:val="0"/>
                      <w:szCs w:val="21"/>
                      <w:highlight w:val="none"/>
                      <w:lang w:bidi="ar"/>
                    </w:rPr>
                  </w:pPr>
                  <w:r>
                    <w:rPr>
                      <w:rFonts w:hint="eastAsia"/>
                      <w:color w:val="auto"/>
                      <w:kern w:val="0"/>
                      <w:szCs w:val="21"/>
                      <w:highlight w:val="none"/>
                      <w:lang w:bidi="ar"/>
                    </w:rPr>
                    <w:t>单位工业增加值能耗&lt;0.37tce/万元。4、单位工业增加值水耗&lt;9.7吨/万元。5、单位工业用地工业增加值&gt;9亿元/km</w:t>
                  </w:r>
                  <w:r>
                    <w:rPr>
                      <w:rFonts w:hint="eastAsia"/>
                      <w:color w:val="auto"/>
                      <w:kern w:val="0"/>
                      <w:szCs w:val="21"/>
                      <w:highlight w:val="none"/>
                      <w:vertAlign w:val="superscript"/>
                      <w:lang w:bidi="ar"/>
                    </w:rPr>
                    <w:t>2</w:t>
                  </w:r>
                  <w:r>
                    <w:rPr>
                      <w:rFonts w:hint="eastAsia"/>
                      <w:color w:val="auto"/>
                      <w:kern w:val="0"/>
                      <w:szCs w:val="21"/>
                      <w:highlight w:val="none"/>
                      <w:lang w:bidi="ar"/>
                    </w:rPr>
                    <w:t>。</w:t>
                  </w:r>
                </w:p>
                <w:p w14:paraId="16BFD338">
                  <w:pPr>
                    <w:keepNext w:val="0"/>
                    <w:keepLines w:val="0"/>
                    <w:widowControl/>
                    <w:suppressLineNumbers w:val="0"/>
                    <w:adjustRightInd w:val="0"/>
                    <w:snapToGrid w:val="0"/>
                    <w:spacing w:before="0" w:beforeAutospacing="0" w:after="0" w:afterAutospacing="0"/>
                    <w:ind w:left="0" w:right="0"/>
                    <w:rPr>
                      <w:rFonts w:hint="default"/>
                      <w:color w:val="auto"/>
                      <w:kern w:val="0"/>
                      <w:szCs w:val="21"/>
                      <w:highlight w:val="none"/>
                      <w:lang w:bidi="ar"/>
                    </w:rPr>
                  </w:pPr>
                  <w:r>
                    <w:rPr>
                      <w:rFonts w:hint="eastAsia"/>
                      <w:color w:val="auto"/>
                      <w:kern w:val="0"/>
                      <w:szCs w:val="21"/>
                      <w:highlight w:val="none"/>
                      <w:lang w:bidi="ar"/>
                    </w:rPr>
                    <w:t>6、工业固体废物综合利用率75%以上。</w:t>
                  </w:r>
                </w:p>
              </w:tc>
              <w:tc>
                <w:tcPr>
                  <w:tcW w:w="1445" w:type="pct"/>
                  <w:tcBorders>
                    <w:top w:val="single" w:color="auto" w:sz="4" w:space="0"/>
                  </w:tcBorders>
                  <w:vAlign w:val="center"/>
                </w:tcPr>
                <w:p w14:paraId="5816CC01">
                  <w:pPr>
                    <w:keepNext w:val="0"/>
                    <w:keepLines w:val="0"/>
                    <w:widowControl/>
                    <w:numPr>
                      <w:ilvl w:val="0"/>
                      <w:numId w:val="2"/>
                    </w:numPr>
                    <w:suppressLineNumbers w:val="0"/>
                    <w:adjustRightInd w:val="0"/>
                    <w:snapToGrid w:val="0"/>
                    <w:spacing w:before="0" w:beforeAutospacing="0" w:after="0" w:afterAutospacing="0"/>
                    <w:ind w:left="0" w:right="0"/>
                    <w:rPr>
                      <w:rFonts w:hint="default"/>
                      <w:color w:val="auto"/>
                      <w:kern w:val="0"/>
                      <w:szCs w:val="21"/>
                      <w:highlight w:val="none"/>
                      <w:lang w:bidi="ar"/>
                    </w:rPr>
                  </w:pPr>
                  <w:r>
                    <w:rPr>
                      <w:rFonts w:hint="eastAsia"/>
                      <w:color w:val="auto"/>
                      <w:kern w:val="0"/>
                      <w:szCs w:val="21"/>
                      <w:highlight w:val="none"/>
                      <w:lang w:bidi="ar"/>
                    </w:rPr>
                    <w:t>不涉及</w:t>
                  </w:r>
                </w:p>
                <w:p w14:paraId="7D9D3932">
                  <w:pPr>
                    <w:keepNext w:val="0"/>
                    <w:keepLines w:val="0"/>
                    <w:widowControl/>
                    <w:suppressLineNumbers w:val="0"/>
                    <w:adjustRightInd w:val="0"/>
                    <w:snapToGrid w:val="0"/>
                    <w:spacing w:before="0" w:beforeAutospacing="0" w:after="0" w:afterAutospacing="0"/>
                    <w:ind w:left="0" w:right="0"/>
                    <w:rPr>
                      <w:rFonts w:hint="eastAsia" w:eastAsia="宋体"/>
                      <w:color w:val="auto"/>
                      <w:kern w:val="0"/>
                      <w:szCs w:val="21"/>
                      <w:highlight w:val="none"/>
                      <w:lang w:eastAsia="zh-CN" w:bidi="ar"/>
                    </w:rPr>
                  </w:pPr>
                  <w:r>
                    <w:rPr>
                      <w:rFonts w:hint="eastAsia"/>
                      <w:color w:val="auto"/>
                      <w:kern w:val="0"/>
                      <w:szCs w:val="21"/>
                      <w:highlight w:val="none"/>
                      <w:lang w:bidi="ar"/>
                    </w:rPr>
                    <w:t>2、本项目</w:t>
                  </w:r>
                  <w:r>
                    <w:rPr>
                      <w:rFonts w:hint="eastAsia"/>
                      <w:color w:val="auto"/>
                      <w:kern w:val="0"/>
                      <w:szCs w:val="21"/>
                      <w:highlight w:val="none"/>
                      <w:lang w:eastAsia="zh-CN" w:bidi="ar"/>
                    </w:rPr>
                    <w:t>除</w:t>
                  </w:r>
                  <w:r>
                    <w:rPr>
                      <w:rFonts w:hint="eastAsia"/>
                      <w:color w:val="auto"/>
                      <w:kern w:val="0"/>
                      <w:szCs w:val="21"/>
                      <w:highlight w:val="none"/>
                      <w:lang w:bidi="ar"/>
                    </w:rPr>
                    <w:t>尘</w:t>
                  </w:r>
                  <w:r>
                    <w:rPr>
                      <w:rFonts w:hint="eastAsia"/>
                      <w:color w:val="auto"/>
                      <w:kern w:val="0"/>
                      <w:szCs w:val="21"/>
                      <w:highlight w:val="none"/>
                      <w:lang w:eastAsia="zh-CN" w:bidi="ar"/>
                    </w:rPr>
                    <w:t>、</w:t>
                  </w:r>
                  <w:r>
                    <w:rPr>
                      <w:rFonts w:hint="eastAsia"/>
                      <w:color w:val="auto"/>
                      <w:kern w:val="0"/>
                      <w:szCs w:val="21"/>
                      <w:highlight w:val="none"/>
                      <w:lang w:val="en-US" w:eastAsia="zh-CN" w:bidi="ar"/>
                    </w:rPr>
                    <w:t>水磨废水</w:t>
                  </w:r>
                  <w:r>
                    <w:rPr>
                      <w:rFonts w:hint="eastAsia"/>
                      <w:color w:val="auto"/>
                      <w:kern w:val="0"/>
                      <w:szCs w:val="21"/>
                      <w:highlight w:val="none"/>
                      <w:lang w:bidi="ar"/>
                    </w:rPr>
                    <w:t>水循环使用</w:t>
                  </w:r>
                  <w:r>
                    <w:rPr>
                      <w:rFonts w:hint="eastAsia"/>
                      <w:color w:val="auto"/>
                      <w:kern w:val="0"/>
                      <w:szCs w:val="21"/>
                      <w:highlight w:val="none"/>
                      <w:lang w:eastAsia="zh-CN" w:bidi="ar"/>
                    </w:rPr>
                    <w:t>。</w:t>
                  </w:r>
                </w:p>
                <w:p w14:paraId="13A83684">
                  <w:pPr>
                    <w:keepNext w:val="0"/>
                    <w:keepLines w:val="0"/>
                    <w:widowControl/>
                    <w:suppressLineNumbers w:val="0"/>
                    <w:adjustRightInd w:val="0"/>
                    <w:snapToGrid w:val="0"/>
                    <w:spacing w:before="0" w:beforeAutospacing="0" w:after="0" w:afterAutospacing="0"/>
                    <w:ind w:left="0" w:right="0"/>
                    <w:rPr>
                      <w:rFonts w:hint="default"/>
                      <w:color w:val="auto"/>
                      <w:kern w:val="0"/>
                      <w:szCs w:val="21"/>
                      <w:highlight w:val="none"/>
                      <w:lang w:bidi="ar"/>
                    </w:rPr>
                  </w:pPr>
                  <w:r>
                    <w:rPr>
                      <w:rFonts w:hint="eastAsia"/>
                      <w:color w:val="auto"/>
                      <w:kern w:val="0"/>
                      <w:szCs w:val="21"/>
                      <w:highlight w:val="none"/>
                      <w:lang w:bidi="ar"/>
                    </w:rPr>
                    <w:t>3、单位工业增加值能耗&lt;0.37tce/万元。</w:t>
                  </w:r>
                </w:p>
                <w:p w14:paraId="37402977">
                  <w:pPr>
                    <w:keepNext w:val="0"/>
                    <w:keepLines w:val="0"/>
                    <w:widowControl/>
                    <w:suppressLineNumbers w:val="0"/>
                    <w:adjustRightInd w:val="0"/>
                    <w:snapToGrid w:val="0"/>
                    <w:spacing w:before="0" w:beforeAutospacing="0" w:after="0" w:afterAutospacing="0"/>
                    <w:ind w:left="0" w:right="0"/>
                    <w:rPr>
                      <w:rFonts w:hint="default"/>
                      <w:color w:val="auto"/>
                      <w:kern w:val="0"/>
                      <w:szCs w:val="21"/>
                      <w:highlight w:val="none"/>
                      <w:lang w:bidi="ar"/>
                    </w:rPr>
                  </w:pPr>
                  <w:r>
                    <w:rPr>
                      <w:rFonts w:hint="eastAsia"/>
                      <w:color w:val="auto"/>
                      <w:kern w:val="0"/>
                      <w:szCs w:val="21"/>
                      <w:highlight w:val="none"/>
                      <w:lang w:bidi="ar"/>
                    </w:rPr>
                    <w:t>4、单位工业增加值水耗&lt;9.7吨/万元。</w:t>
                  </w:r>
                </w:p>
                <w:p w14:paraId="338386F5">
                  <w:pPr>
                    <w:keepNext w:val="0"/>
                    <w:keepLines w:val="0"/>
                    <w:widowControl/>
                    <w:suppressLineNumbers w:val="0"/>
                    <w:adjustRightInd w:val="0"/>
                    <w:snapToGrid w:val="0"/>
                    <w:spacing w:before="0" w:beforeAutospacing="0" w:after="0" w:afterAutospacing="0"/>
                    <w:ind w:left="0" w:right="0"/>
                    <w:rPr>
                      <w:rFonts w:hint="default"/>
                      <w:color w:val="auto"/>
                      <w:kern w:val="0"/>
                      <w:szCs w:val="21"/>
                      <w:highlight w:val="none"/>
                      <w:lang w:bidi="ar"/>
                    </w:rPr>
                  </w:pPr>
                  <w:r>
                    <w:rPr>
                      <w:rFonts w:hint="eastAsia"/>
                      <w:color w:val="auto"/>
                      <w:kern w:val="0"/>
                      <w:szCs w:val="21"/>
                      <w:highlight w:val="none"/>
                      <w:lang w:bidi="ar"/>
                    </w:rPr>
                    <w:t>5、单位工业用地工业增加值&gt;9亿元/km</w:t>
                  </w:r>
                  <w:r>
                    <w:rPr>
                      <w:rFonts w:hint="eastAsia"/>
                      <w:color w:val="auto"/>
                      <w:kern w:val="0"/>
                      <w:szCs w:val="21"/>
                      <w:highlight w:val="none"/>
                      <w:vertAlign w:val="superscript"/>
                      <w:lang w:bidi="ar"/>
                    </w:rPr>
                    <w:t>2</w:t>
                  </w:r>
                  <w:r>
                    <w:rPr>
                      <w:rFonts w:hint="eastAsia"/>
                      <w:color w:val="auto"/>
                      <w:kern w:val="0"/>
                      <w:szCs w:val="21"/>
                      <w:highlight w:val="none"/>
                      <w:lang w:bidi="ar"/>
                    </w:rPr>
                    <w:t>。</w:t>
                  </w:r>
                </w:p>
                <w:p w14:paraId="57DD3ED8">
                  <w:pPr>
                    <w:keepNext w:val="0"/>
                    <w:keepLines w:val="0"/>
                    <w:widowControl/>
                    <w:suppressLineNumbers w:val="0"/>
                    <w:adjustRightInd w:val="0"/>
                    <w:snapToGrid w:val="0"/>
                    <w:spacing w:before="0" w:beforeAutospacing="0" w:after="0" w:afterAutospacing="0"/>
                    <w:ind w:left="0" w:right="0"/>
                    <w:rPr>
                      <w:rFonts w:hint="default"/>
                      <w:color w:val="auto"/>
                      <w:highlight w:val="none"/>
                    </w:rPr>
                  </w:pPr>
                  <w:r>
                    <w:rPr>
                      <w:rFonts w:hint="eastAsia"/>
                      <w:color w:val="auto"/>
                      <w:kern w:val="0"/>
                      <w:szCs w:val="21"/>
                      <w:highlight w:val="none"/>
                      <w:lang w:bidi="ar"/>
                    </w:rPr>
                    <w:t>6、工业固体废物综合利用率75%以上。</w:t>
                  </w:r>
                </w:p>
              </w:tc>
            </w:tr>
          </w:tbl>
          <w:p w14:paraId="4F73778A">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综上所述，项目满足《秦皇岛市人民政府办公 室关于印发〈秦皇岛市生态环境准入清单（2023 版）〉的通知》（秦皇岛市人民政府办公室，2024 年 6 月 7 日）中的生态环境分区管控要求，符合文件中的生态环境准入清单要求。</w:t>
            </w:r>
          </w:p>
          <w:p w14:paraId="52A035D1">
            <w:pPr>
              <w:pStyle w:val="34"/>
              <w:keepNext w:val="0"/>
              <w:keepLines w:val="0"/>
              <w:suppressLineNumbers w:val="0"/>
              <w:spacing w:before="0" w:beforeAutospacing="0" w:after="0" w:afterAutospacing="0"/>
              <w:ind w:left="0" w:leftChars="0" w:right="0" w:firstLine="0" w:firstLineChars="0"/>
              <w:jc w:val="center"/>
              <w:rPr>
                <w:rFonts w:hint="default"/>
                <w:b/>
                <w:bCs/>
                <w:color w:val="auto"/>
                <w:szCs w:val="24"/>
                <w:highlight w:val="none"/>
              </w:rPr>
            </w:pPr>
            <w:r>
              <w:rPr>
                <w:rFonts w:hint="default"/>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2509520</wp:posOffset>
                      </wp:positionH>
                      <wp:positionV relativeFrom="paragraph">
                        <wp:posOffset>2740660</wp:posOffset>
                      </wp:positionV>
                      <wp:extent cx="865505" cy="267335"/>
                      <wp:effectExtent l="6350" t="6350" r="23495" b="354965"/>
                      <wp:wrapNone/>
                      <wp:docPr id="4" name="矩形标注 4"/>
                      <wp:cNvGraphicFramePr/>
                      <a:graphic xmlns:a="http://schemas.openxmlformats.org/drawingml/2006/main">
                        <a:graphicData uri="http://schemas.microsoft.com/office/word/2010/wordprocessingShape">
                          <wps:wsp>
                            <wps:cNvSpPr/>
                            <wps:spPr>
                              <a:xfrm>
                                <a:off x="4077335" y="3834765"/>
                                <a:ext cx="865505" cy="267335"/>
                              </a:xfrm>
                              <a:prstGeom prst="wedgeRectCallout">
                                <a:avLst>
                                  <a:gd name="adj1" fmla="val 37055"/>
                                  <a:gd name="adj2" fmla="val 176126"/>
                                </a:avLst>
                              </a:prstGeom>
                              <a:solidFill>
                                <a:schemeClr val="bg1"/>
                              </a:solid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C06DE6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本项目位置</w:t>
                                  </w:r>
                                </w:p>
                                <w:p w14:paraId="1E8E416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7.6pt;margin-top:215.8pt;height:21.05pt;width:68.15pt;z-index:251661312;v-text-anchor:middle;mso-width-relative:page;mso-height-relative:page;" fillcolor="#C7EDCC [3212]" filled="t" stroked="t" coordsize="21600,21600" o:gfxdata="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4ERle9gAAAALAQAADwAAAAAAAAABACAAAAAiAAAAZHJz&#10;L2Rvd25yZXYueG1sUEsBAhQAFAAAAAgAh07iQOPEbdivAgAAVwUAAA4AAAAAAAAAAQAgAAAAJwEA&#10;AGRycy9lMm9Eb2MueG1sUEsFBgAAAAAGAAYAWQEAAEgGAAAAAA==&#10;" adj="18804,48843">
                      <v:fill on="t" focussize="0,0"/>
                      <v:stroke weight="1pt" color="#000000 [3213]" joinstyle="round"/>
                      <v:imagedata o:title=""/>
                      <o:lock v:ext="edit" aspectratio="f"/>
                      <v:textbox>
                        <w:txbxContent>
                          <w:p w14:paraId="2C06DE6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本项目位置</w:t>
                            </w:r>
                          </w:p>
                          <w:p w14:paraId="1E8E416D">
                            <w:pPr>
                              <w:jc w:val="center"/>
                            </w:pPr>
                          </w:p>
                        </w:txbxContent>
                      </v:textbox>
                    </v:shape>
                  </w:pict>
                </mc:Fallback>
              </mc:AlternateContent>
            </w:r>
            <w:r>
              <w:rPr>
                <w:rFonts w:hint="default"/>
                <w:color w:val="auto"/>
                <w:highlight w:val="none"/>
              </w:rPr>
              <w:drawing>
                <wp:inline distT="0" distB="0" distL="114300" distR="114300">
                  <wp:extent cx="5254625" cy="7414260"/>
                  <wp:effectExtent l="0" t="0" r="3175" b="15240"/>
                  <wp:docPr id="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4"/>
                          <pic:cNvPicPr>
                            <a:picLocks noChangeAspect="1"/>
                          </pic:cNvPicPr>
                        </pic:nvPicPr>
                        <pic:blipFill>
                          <a:blip r:embed="rId22"/>
                          <a:stretch>
                            <a:fillRect/>
                          </a:stretch>
                        </pic:blipFill>
                        <pic:spPr>
                          <a:xfrm>
                            <a:off x="0" y="0"/>
                            <a:ext cx="5254625" cy="7414260"/>
                          </a:xfrm>
                          <a:prstGeom prst="rect">
                            <a:avLst/>
                          </a:prstGeom>
                          <a:noFill/>
                          <a:ln>
                            <a:noFill/>
                          </a:ln>
                        </pic:spPr>
                      </pic:pic>
                    </a:graphicData>
                  </a:graphic>
                </wp:inline>
              </w:drawing>
            </w:r>
          </w:p>
          <w:p w14:paraId="67723A3C">
            <w:pPr>
              <w:pStyle w:val="34"/>
              <w:keepNext w:val="0"/>
              <w:keepLines w:val="0"/>
              <w:suppressLineNumbers w:val="0"/>
              <w:spacing w:before="0" w:beforeAutospacing="0" w:after="0" w:afterAutospacing="0"/>
              <w:ind w:left="0" w:leftChars="0" w:right="0" w:firstLine="0" w:firstLineChars="0"/>
              <w:jc w:val="center"/>
              <w:rPr>
                <w:rFonts w:hint="default"/>
                <w:b/>
                <w:bCs/>
                <w:color w:val="auto"/>
                <w:kern w:val="0"/>
                <w:sz w:val="24"/>
                <w:highlight w:val="none"/>
              </w:rPr>
            </w:pPr>
            <w:r>
              <w:rPr>
                <w:rFonts w:hint="eastAsia"/>
                <w:b/>
                <w:bCs/>
                <w:color w:val="auto"/>
                <w:szCs w:val="24"/>
                <w:highlight w:val="none"/>
              </w:rPr>
              <w:t>图</w:t>
            </w:r>
            <w:r>
              <w:rPr>
                <w:rFonts w:hint="eastAsia"/>
                <w:b/>
                <w:bCs/>
                <w:color w:val="auto"/>
                <w:szCs w:val="24"/>
                <w:highlight w:val="none"/>
                <w:lang w:val="en-US" w:eastAsia="zh-CN"/>
              </w:rPr>
              <w:t>1</w:t>
            </w:r>
            <w:r>
              <w:rPr>
                <w:rFonts w:hint="eastAsia"/>
                <w:b/>
                <w:bCs/>
                <w:color w:val="auto"/>
                <w:szCs w:val="24"/>
                <w:highlight w:val="none"/>
              </w:rPr>
              <w:t>-2 本项目与秦皇岛市生态环境管控单元位置关系图</w:t>
            </w:r>
          </w:p>
        </w:tc>
      </w:tr>
    </w:tbl>
    <w:p w14:paraId="2A53D3B4">
      <w:pPr>
        <w:spacing w:line="360" w:lineRule="auto"/>
        <w:outlineLvl w:val="0"/>
        <w:rPr>
          <w:rFonts w:eastAsia="黑体"/>
          <w:color w:val="auto"/>
          <w:sz w:val="30"/>
          <w:highlight w:val="none"/>
        </w:rPr>
        <w:sectPr>
          <w:footerReference r:id="rId7"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4C264B7D">
      <w:pPr>
        <w:pStyle w:val="31"/>
        <w:spacing w:before="0" w:beforeAutospacing="0" w:after="0" w:afterAutospacing="0"/>
        <w:jc w:val="center"/>
        <w:outlineLvl w:val="0"/>
        <w:rPr>
          <w:rFonts w:ascii="黑体" w:hAnsi="黑体" w:eastAsia="黑体"/>
          <w:snapToGrid w:val="0"/>
          <w:color w:val="auto"/>
          <w:sz w:val="30"/>
          <w:szCs w:val="30"/>
          <w:highlight w:val="none"/>
        </w:rPr>
      </w:pPr>
      <w:bookmarkStart w:id="4" w:name="_Toc6121"/>
      <w:r>
        <w:rPr>
          <w:rFonts w:hint="eastAsia" w:ascii="黑体" w:hAnsi="黑体" w:eastAsia="黑体"/>
          <w:snapToGrid w:val="0"/>
          <w:color w:val="auto"/>
          <w:sz w:val="30"/>
          <w:szCs w:val="30"/>
          <w:highlight w:val="none"/>
        </w:rPr>
        <w:t>二、建设项目工程分析</w:t>
      </w:r>
      <w:bookmarkEnd w:id="4"/>
    </w:p>
    <w:tbl>
      <w:tblPr>
        <w:tblStyle w:val="3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9"/>
        <w:gridCol w:w="8621"/>
      </w:tblGrid>
      <w:tr w14:paraId="52BF06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9" w:type="dxa"/>
            <w:vAlign w:val="center"/>
          </w:tcPr>
          <w:p w14:paraId="23AC0800">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73AEED8">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66CF794">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2A764ED">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A22BABD">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36045C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A71EC6D">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559F9E5">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41BF4A2">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EE70E48">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D428527">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ECF8335">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E845A29">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294E07D">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821199C">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2B5D00A">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D177FBD">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DB87CA2">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42AD2D3">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r>
              <w:rPr>
                <w:rFonts w:hint="default" w:ascii="Times New Roman" w:hAnsi="Times New Roman" w:eastAsia="宋体" w:cs="Times New Roman"/>
                <w:b/>
                <w:bCs/>
                <w:color w:val="auto"/>
                <w:kern w:val="0"/>
                <w:sz w:val="28"/>
                <w:szCs w:val="28"/>
                <w:highlight w:val="none"/>
              </w:rPr>
              <w:t>建设内容</w:t>
            </w:r>
          </w:p>
          <w:p w14:paraId="2E395C43">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D3AC433">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D47C372">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015C039">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122C5DE5">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22B1E1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D2A8587">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0DD7E52">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507F6F7">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40FE7D3">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45541D1">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11827428">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80FFAB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8D25008">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13DFEFC7">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B8CF273">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758F05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BBDEEDA">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E8A259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B513E3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15929E38">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CA99D7D">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EB6AEC5">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5B9ADF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E2BB1C1">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736BACC">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A3857F6">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D63BF0C">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1A5E09D">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ED6B0E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3C2F4E0">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DC4CFA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3D81368">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76DCCF6">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2F56B54">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7176965">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r>
              <w:rPr>
                <w:rFonts w:hint="default" w:ascii="Times New Roman" w:hAnsi="Times New Roman" w:eastAsia="宋体" w:cs="Times New Roman"/>
                <w:b/>
                <w:bCs/>
                <w:color w:val="auto"/>
                <w:kern w:val="0"/>
                <w:sz w:val="28"/>
                <w:szCs w:val="28"/>
                <w:highlight w:val="none"/>
              </w:rPr>
              <w:t>建设内容</w:t>
            </w:r>
          </w:p>
          <w:p w14:paraId="431D5339">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1E2C2C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B6DD3AD">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A68861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F89BD20">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0A6588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1BBD9B22">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AA660D5">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6A22BC9">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D59AEA4">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5D8BB82">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45E95F2">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E5350FD">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1EE90ED8">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105BDBD">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3DBD7A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4082F52">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1A5012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B3CF261">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5D18355">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9B6AC7D">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4DC9925">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B23044A">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A0CB8C4">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9EFADD0">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ED7BC49">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D4BBB7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0823B23">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E40E72A">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1C880DF7">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39F7B2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6702D26">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A27738B">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CA1B719">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94833A8">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F3D65F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EE1DB73">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A2CF1FC">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r>
              <w:rPr>
                <w:rFonts w:hint="default" w:ascii="Times New Roman" w:hAnsi="Times New Roman" w:eastAsia="宋体" w:cs="Times New Roman"/>
                <w:b/>
                <w:bCs/>
                <w:color w:val="auto"/>
                <w:kern w:val="0"/>
                <w:sz w:val="28"/>
                <w:szCs w:val="28"/>
                <w:highlight w:val="none"/>
              </w:rPr>
              <w:t>建设内容</w:t>
            </w:r>
          </w:p>
          <w:p w14:paraId="6A605F8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9940712">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17E7525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BE2DD0A">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D4B5DE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141E8B6">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1BAF3B67">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B8F2632">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2257BB4">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28F67C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0F8FD0B">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34A6019">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0E41739">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5F964F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EDBB73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F4C208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859B809">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1CA7B20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484F595">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24307A5">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D8A4438">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8F3FF6C">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984A91C">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1FE99492">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EA05078">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1AC67E7">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14FCF7A">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0BBE352">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2A948CD">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1546570">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4499689">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95C113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0A08C2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9FA95E6">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B982C95">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14CA2C8A">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B2545E7">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C258C2A">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AF99511">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r>
              <w:rPr>
                <w:rFonts w:hint="default" w:ascii="Times New Roman" w:hAnsi="Times New Roman" w:eastAsia="宋体" w:cs="Times New Roman"/>
                <w:b/>
                <w:bCs/>
                <w:color w:val="auto"/>
                <w:kern w:val="0"/>
                <w:sz w:val="28"/>
                <w:szCs w:val="28"/>
                <w:highlight w:val="none"/>
              </w:rPr>
              <w:t>建设内容</w:t>
            </w:r>
          </w:p>
          <w:p w14:paraId="43056423">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25852F7">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157EAAE2">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6552FE6">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5D0174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6653424">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A807F71">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63D0E91">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2E4BF44">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0A2ED20">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17F7400">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95FA2D0">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A8164F9">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DA93F0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891FAC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5F8733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14F3124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5940498">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ED7E35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98F414A">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EA3E3B0">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42810DB">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F13052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7A01A38">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36C4809">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B6F8D43">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CD71FD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280FDD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5E6C3EA">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F44C6A2">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3DD7420">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13EDD799">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0459758">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10309A08">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7E71D8C">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717FF8D">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DB8D4A5">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r>
              <w:rPr>
                <w:rFonts w:hint="default" w:ascii="Times New Roman" w:hAnsi="Times New Roman" w:eastAsia="宋体" w:cs="Times New Roman"/>
                <w:b/>
                <w:bCs/>
                <w:color w:val="auto"/>
                <w:kern w:val="0"/>
                <w:sz w:val="28"/>
                <w:szCs w:val="28"/>
                <w:highlight w:val="none"/>
              </w:rPr>
              <w:t>建设内容</w:t>
            </w:r>
          </w:p>
          <w:p w14:paraId="611D5D6A">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9CEF977">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5D31B75">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9635C79">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08CA5DA">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EA291CD">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AC72BA0">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B514120">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2DB8E8D">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108B26B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D3447E7">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12E134F3">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EB6ED6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CFD9AC9">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6C6985B">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C97C517">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4B70F6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A1B692A">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1C06881">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tc>
        <w:tc>
          <w:tcPr>
            <w:tcW w:w="8621" w:type="dxa"/>
          </w:tcPr>
          <w:p w14:paraId="29E6CF61">
            <w:pPr>
              <w:pStyle w:val="14"/>
              <w:keepNext w:val="0"/>
              <w:keepLines w:val="0"/>
              <w:suppressLineNumbers w:val="0"/>
              <w:snapToGrid w:val="0"/>
              <w:spacing w:before="0" w:beforeAutospacing="0" w:after="0" w:afterAutospacing="0" w:line="360" w:lineRule="auto"/>
              <w:ind w:left="0" w:leftChars="0" w:right="0"/>
              <w:jc w:val="left"/>
              <w:rPr>
                <w:rFonts w:hint="default"/>
                <w:b/>
                <w:bCs/>
                <w:color w:val="auto"/>
                <w:sz w:val="28"/>
                <w:szCs w:val="28"/>
                <w:highlight w:val="none"/>
              </w:rPr>
            </w:pPr>
            <w:r>
              <w:rPr>
                <w:rFonts w:hint="default"/>
                <w:b/>
                <w:bCs/>
                <w:color w:val="auto"/>
                <w:sz w:val="28"/>
                <w:szCs w:val="28"/>
                <w:highlight w:val="none"/>
              </w:rPr>
              <w:t>1、项目由来</w:t>
            </w:r>
          </w:p>
          <w:p w14:paraId="39595929">
            <w:pPr>
              <w:pStyle w:val="109"/>
              <w:keepNext w:val="0"/>
              <w:keepLines w:val="0"/>
              <w:suppressLineNumbers w:val="0"/>
              <w:spacing w:before="132" w:beforeAutospacing="0" w:after="0" w:afterAutospacing="0" w:line="360" w:lineRule="auto"/>
              <w:ind w:left="113" w:right="100" w:firstLine="415"/>
              <w:rPr>
                <w:rFonts w:hint="default" w:ascii="Times New Roman" w:hAnsi="Times New Roman" w:eastAsia="宋体" w:cs="Times New Roman"/>
                <w:b w:val="0"/>
                <w:color w:val="auto"/>
                <w:kern w:val="0"/>
                <w:sz w:val="24"/>
                <w:szCs w:val="27"/>
                <w:highlight w:val="none"/>
                <w:lang w:val="en-US" w:eastAsia="zh-CN" w:bidi="ar-SA"/>
              </w:rPr>
            </w:pPr>
            <w:r>
              <w:rPr>
                <w:rFonts w:hint="eastAsia" w:ascii="Times New Roman" w:hAnsi="Times New Roman" w:eastAsia="宋体" w:cs="Times New Roman"/>
                <w:b w:val="0"/>
                <w:color w:val="auto"/>
                <w:kern w:val="0"/>
                <w:sz w:val="24"/>
                <w:szCs w:val="27"/>
                <w:highlight w:val="none"/>
                <w:lang w:val="en-US" w:eastAsia="zh-CN" w:bidi="ar-SA"/>
              </w:rPr>
              <w:t>秦皇岛万邦零部件加工有限公司</w:t>
            </w:r>
            <w:r>
              <w:rPr>
                <w:rFonts w:hint="default" w:ascii="Times New Roman" w:hAnsi="Times New Roman" w:eastAsia="宋体" w:cs="Times New Roman"/>
                <w:b w:val="0"/>
                <w:color w:val="auto"/>
                <w:kern w:val="0"/>
                <w:sz w:val="24"/>
                <w:szCs w:val="27"/>
                <w:highlight w:val="none"/>
                <w:lang w:val="en-US" w:eastAsia="zh-CN" w:bidi="ar-SA"/>
              </w:rPr>
              <w:t>位于秦皇岛市开发区龙海道37号戴河国际产业园</w:t>
            </w:r>
            <w:r>
              <w:rPr>
                <w:rFonts w:hint="eastAsia" w:ascii="Times New Roman" w:hAnsi="Times New Roman" w:eastAsia="宋体" w:cs="Times New Roman"/>
                <w:b w:val="0"/>
                <w:color w:val="auto"/>
                <w:kern w:val="0"/>
                <w:sz w:val="24"/>
                <w:szCs w:val="27"/>
                <w:highlight w:val="none"/>
                <w:lang w:val="en-US" w:eastAsia="zh-CN" w:bidi="ar-SA"/>
              </w:rPr>
              <w:t>13</w:t>
            </w:r>
            <w:r>
              <w:rPr>
                <w:rFonts w:hint="default" w:ascii="Times New Roman" w:hAnsi="Times New Roman" w:eastAsia="宋体" w:cs="Times New Roman"/>
                <w:b w:val="0"/>
                <w:color w:val="auto"/>
                <w:kern w:val="0"/>
                <w:sz w:val="24"/>
                <w:szCs w:val="27"/>
                <w:highlight w:val="none"/>
                <w:lang w:val="en-US" w:eastAsia="zh-CN" w:bidi="ar-SA"/>
              </w:rPr>
              <w:t>号厂房。主营汽车轮毂加工业务，为</w:t>
            </w:r>
            <w:r>
              <w:rPr>
                <w:rFonts w:hint="eastAsia" w:ascii="Times New Roman" w:hAnsi="Times New Roman" w:cs="Times New Roman"/>
                <w:b w:val="0"/>
                <w:color w:val="auto"/>
                <w:kern w:val="0"/>
                <w:sz w:val="24"/>
                <w:szCs w:val="27"/>
                <w:highlight w:val="none"/>
                <w:lang w:val="en-US" w:eastAsia="zh-CN" w:bidi="ar-SA"/>
              </w:rPr>
              <w:t>戴卡</w:t>
            </w:r>
            <w:r>
              <w:rPr>
                <w:rFonts w:hint="default" w:ascii="Times New Roman" w:hAnsi="Times New Roman" w:eastAsia="宋体" w:cs="Times New Roman"/>
                <w:b w:val="0"/>
                <w:color w:val="auto"/>
                <w:kern w:val="0"/>
                <w:sz w:val="24"/>
                <w:szCs w:val="27"/>
                <w:highlight w:val="none"/>
                <w:lang w:val="en-US" w:eastAsia="zh-CN" w:bidi="ar-SA"/>
              </w:rPr>
              <w:t>轮毂企业做配套加工</w:t>
            </w:r>
            <w:r>
              <w:rPr>
                <w:rFonts w:hint="eastAsia" w:ascii="Times New Roman" w:hAnsi="Times New Roman" w:cs="Times New Roman"/>
                <w:b w:val="0"/>
                <w:color w:val="auto"/>
                <w:kern w:val="0"/>
                <w:sz w:val="24"/>
                <w:szCs w:val="27"/>
                <w:highlight w:val="none"/>
                <w:lang w:val="en-US" w:eastAsia="zh-CN" w:bidi="ar-SA"/>
              </w:rPr>
              <w:t>项目，项目主要工艺流程为打磨和抛光，不涉</w:t>
            </w:r>
            <w:r>
              <w:rPr>
                <w:rFonts w:hint="eastAsia" w:ascii="Times New Roman" w:hAnsi="Times New Roman" w:eastAsia="宋体" w:cs="Times New Roman"/>
                <w:b w:val="0"/>
                <w:color w:val="auto"/>
                <w:kern w:val="0"/>
                <w:sz w:val="24"/>
                <w:szCs w:val="27"/>
                <w:highlight w:val="none"/>
                <w:lang w:val="en-US" w:eastAsia="zh-CN" w:bidi="ar-SA"/>
              </w:rPr>
              <w:t>及喷砂、酸洗、喷漆、喷涂、电镀等表面处理工序</w:t>
            </w:r>
            <w:r>
              <w:rPr>
                <w:rFonts w:hint="default" w:ascii="Times New Roman" w:hAnsi="Times New Roman" w:eastAsia="宋体" w:cs="Times New Roman"/>
                <w:b w:val="0"/>
                <w:color w:val="auto"/>
                <w:kern w:val="0"/>
                <w:sz w:val="24"/>
                <w:szCs w:val="27"/>
                <w:highlight w:val="none"/>
                <w:lang w:val="en-US" w:eastAsia="zh-CN" w:bidi="ar-SA"/>
              </w:rPr>
              <w:t>。</w:t>
            </w:r>
          </w:p>
          <w:p w14:paraId="16AE9747">
            <w:pPr>
              <w:pStyle w:val="109"/>
              <w:keepNext w:val="0"/>
              <w:keepLines w:val="0"/>
              <w:suppressLineNumbers w:val="0"/>
              <w:spacing w:before="16" w:beforeAutospacing="0" w:after="0" w:afterAutospacing="0" w:line="360" w:lineRule="auto"/>
              <w:ind w:left="106" w:right="100" w:firstLine="420"/>
              <w:jc w:val="both"/>
              <w:rPr>
                <w:rFonts w:hint="default" w:ascii="Times New Roman" w:hAnsi="Times New Roman" w:eastAsia="宋体" w:cs="Times New Roman"/>
                <w:b w:val="0"/>
                <w:color w:val="auto"/>
                <w:kern w:val="0"/>
                <w:sz w:val="24"/>
                <w:szCs w:val="27"/>
                <w:highlight w:val="none"/>
                <w:lang w:val="en-US" w:eastAsia="zh-CN" w:bidi="ar-SA"/>
              </w:rPr>
            </w:pPr>
            <w:r>
              <w:rPr>
                <w:rFonts w:hint="default" w:ascii="Times New Roman" w:hAnsi="Times New Roman" w:eastAsia="宋体" w:cs="Times New Roman"/>
                <w:b w:val="0"/>
                <w:color w:val="auto"/>
                <w:kern w:val="0"/>
                <w:sz w:val="24"/>
                <w:szCs w:val="27"/>
                <w:highlight w:val="none"/>
                <w:lang w:val="en-US" w:eastAsia="zh-CN" w:bidi="ar-SA"/>
              </w:rPr>
              <w:t>基于市场需求，接受戴卡公司轮毂加工的委托，公司拟租赁厂房，建设“秦皇岛</w:t>
            </w:r>
            <w:r>
              <w:rPr>
                <w:rFonts w:hint="eastAsia" w:ascii="Times New Roman" w:hAnsi="Times New Roman" w:cs="Times New Roman"/>
                <w:b w:val="0"/>
                <w:color w:val="auto"/>
                <w:kern w:val="0"/>
                <w:sz w:val="24"/>
                <w:szCs w:val="27"/>
                <w:highlight w:val="none"/>
                <w:lang w:val="en-US" w:eastAsia="zh-CN" w:bidi="ar-SA"/>
              </w:rPr>
              <w:t>万邦零部件加工</w:t>
            </w:r>
            <w:r>
              <w:rPr>
                <w:rFonts w:hint="default" w:ascii="Times New Roman" w:hAnsi="Times New Roman" w:eastAsia="宋体" w:cs="Times New Roman"/>
                <w:b w:val="0"/>
                <w:color w:val="auto"/>
                <w:kern w:val="0"/>
                <w:sz w:val="24"/>
                <w:szCs w:val="27"/>
                <w:highlight w:val="none"/>
                <w:lang w:val="en-US" w:eastAsia="zh-CN" w:bidi="ar-SA"/>
              </w:rPr>
              <w:t>有限公司</w:t>
            </w:r>
            <w:r>
              <w:rPr>
                <w:rFonts w:hint="eastAsia" w:ascii="Times New Roman" w:hAnsi="Times New Roman" w:cs="Times New Roman"/>
                <w:b w:val="0"/>
                <w:color w:val="auto"/>
                <w:kern w:val="0"/>
                <w:sz w:val="24"/>
                <w:szCs w:val="27"/>
                <w:highlight w:val="none"/>
                <w:lang w:val="en-US" w:eastAsia="zh-CN" w:bidi="ar-SA"/>
              </w:rPr>
              <w:t>新建二车间</w:t>
            </w:r>
            <w:r>
              <w:rPr>
                <w:rFonts w:hint="default" w:ascii="Times New Roman" w:hAnsi="Times New Roman" w:eastAsia="宋体" w:cs="Times New Roman"/>
                <w:b w:val="0"/>
                <w:color w:val="auto"/>
                <w:kern w:val="0"/>
                <w:sz w:val="24"/>
                <w:szCs w:val="27"/>
                <w:highlight w:val="none"/>
                <w:lang w:val="en-US" w:eastAsia="zh-CN" w:bidi="ar-SA"/>
              </w:rPr>
              <w:t>项目” ，主要建设内容为项目租赁厂房 17</w:t>
            </w:r>
            <w:r>
              <w:rPr>
                <w:rFonts w:hint="eastAsia" w:ascii="Times New Roman" w:hAnsi="Times New Roman" w:cs="Times New Roman"/>
                <w:b w:val="0"/>
                <w:color w:val="auto"/>
                <w:kern w:val="0"/>
                <w:sz w:val="24"/>
                <w:szCs w:val="27"/>
                <w:highlight w:val="none"/>
                <w:lang w:val="en-US" w:eastAsia="zh-CN" w:bidi="ar-SA"/>
              </w:rPr>
              <w:t>28</w:t>
            </w:r>
            <w:r>
              <w:rPr>
                <w:rFonts w:hint="default" w:ascii="Times New Roman" w:hAnsi="Times New Roman" w:eastAsia="宋体" w:cs="Times New Roman"/>
                <w:b w:val="0"/>
                <w:color w:val="auto"/>
                <w:kern w:val="0"/>
                <w:sz w:val="24"/>
                <w:szCs w:val="27"/>
                <w:highlight w:val="none"/>
                <w:lang w:val="en-US" w:eastAsia="zh-CN" w:bidi="ar-SA"/>
              </w:rPr>
              <w:t xml:space="preserve"> 平方米，</w:t>
            </w:r>
            <w:r>
              <w:rPr>
                <w:rFonts w:hint="eastAsia" w:ascii="Times New Roman" w:hAnsi="Times New Roman" w:cs="Times New Roman"/>
                <w:b w:val="0"/>
                <w:color w:val="auto"/>
                <w:kern w:val="0"/>
                <w:sz w:val="24"/>
                <w:szCs w:val="27"/>
                <w:highlight w:val="none"/>
                <w:lang w:val="en-US" w:eastAsia="zh-CN" w:bidi="ar-SA"/>
              </w:rPr>
              <w:t>购置（环保抛光打磨湿式一体机）20台、自动水磨机20台等设备，年处理轮毂30万件。</w:t>
            </w:r>
          </w:p>
          <w:p w14:paraId="42EE4CDE">
            <w:pPr>
              <w:pStyle w:val="109"/>
              <w:keepNext w:val="0"/>
              <w:keepLines w:val="0"/>
              <w:suppressLineNumbers w:val="0"/>
              <w:spacing w:before="16" w:beforeAutospacing="0" w:after="0" w:afterAutospacing="0" w:line="360" w:lineRule="auto"/>
              <w:ind w:left="106" w:right="100" w:firstLine="420"/>
              <w:jc w:val="both"/>
              <w:rPr>
                <w:rFonts w:hint="default" w:ascii="Times New Roman" w:hAnsi="Times New Roman" w:eastAsia="宋体" w:cs="Times New Roman"/>
                <w:b w:val="0"/>
                <w:color w:val="auto"/>
                <w:kern w:val="0"/>
                <w:sz w:val="24"/>
                <w:szCs w:val="27"/>
                <w:highlight w:val="none"/>
                <w:lang w:val="en-US" w:eastAsia="zh-CN" w:bidi="ar-SA"/>
              </w:rPr>
            </w:pPr>
            <w:r>
              <w:rPr>
                <w:rFonts w:hint="default" w:ascii="Times New Roman" w:hAnsi="Times New Roman" w:eastAsia="宋体" w:cs="Times New Roman"/>
                <w:b w:val="0"/>
                <w:color w:val="auto"/>
                <w:kern w:val="0"/>
                <w:sz w:val="24"/>
                <w:szCs w:val="27"/>
                <w:highlight w:val="none"/>
                <w:lang w:val="en-US" w:eastAsia="zh-CN" w:bidi="ar-SA"/>
              </w:rPr>
              <w:t>根据《中华人民共和国环境影响评价法》、《建设项目环境保护管理条例》及《建设项目环境影响评价分类管理名录（2021 年版）》中的有关规定，本项目属于名录中“三十三、汽车制造业-71 汽车零部件及配件制造-其他”，应编制环境影响报告表。</w:t>
            </w:r>
            <w:r>
              <w:rPr>
                <w:rFonts w:hint="eastAsia" w:ascii="Times New Roman" w:hAnsi="Times New Roman" w:eastAsia="宋体" w:cs="Times New Roman"/>
                <w:b w:val="0"/>
                <w:color w:val="auto"/>
                <w:kern w:val="0"/>
                <w:sz w:val="24"/>
                <w:szCs w:val="27"/>
                <w:highlight w:val="none"/>
                <w:lang w:val="en-US" w:eastAsia="zh-CN" w:bidi="ar-SA"/>
              </w:rPr>
              <w:t>秦皇岛万邦零部件加工有限公司</w:t>
            </w:r>
            <w:r>
              <w:rPr>
                <w:rFonts w:hint="default" w:ascii="Times New Roman" w:hAnsi="Times New Roman" w:eastAsia="宋体" w:cs="Times New Roman"/>
                <w:b w:val="0"/>
                <w:color w:val="auto"/>
                <w:kern w:val="0"/>
                <w:sz w:val="24"/>
                <w:szCs w:val="27"/>
                <w:highlight w:val="none"/>
                <w:lang w:val="en-US" w:eastAsia="zh-CN" w:bidi="ar-SA"/>
              </w:rPr>
              <w:t>特委托我</w:t>
            </w:r>
            <w:r>
              <w:rPr>
                <w:rFonts w:hint="eastAsia" w:ascii="Times New Roman" w:hAnsi="Times New Roman" w:eastAsia="宋体" w:cs="Times New Roman"/>
                <w:b w:val="0"/>
                <w:color w:val="auto"/>
                <w:kern w:val="0"/>
                <w:sz w:val="24"/>
                <w:szCs w:val="27"/>
                <w:highlight w:val="none"/>
                <w:lang w:val="en-US" w:eastAsia="zh-CN" w:bidi="ar-SA"/>
              </w:rPr>
              <w:t>公</w:t>
            </w:r>
            <w:r>
              <w:rPr>
                <w:rFonts w:hint="default" w:ascii="Times New Roman" w:hAnsi="Times New Roman" w:eastAsia="宋体" w:cs="Times New Roman"/>
                <w:b w:val="0"/>
                <w:color w:val="auto"/>
                <w:kern w:val="0"/>
                <w:sz w:val="24"/>
                <w:szCs w:val="27"/>
                <w:highlight w:val="none"/>
                <w:lang w:val="en-US" w:eastAsia="zh-CN" w:bidi="ar-SA"/>
              </w:rPr>
              <w:t>司开展该项目的环境影响评价工作</w:t>
            </w:r>
            <w:r>
              <w:rPr>
                <w:rFonts w:hint="eastAsia" w:ascii="Times New Roman" w:hAnsi="Times New Roman" w:eastAsia="宋体" w:cs="Times New Roman"/>
                <w:b w:val="0"/>
                <w:color w:val="auto"/>
                <w:kern w:val="0"/>
                <w:sz w:val="24"/>
                <w:szCs w:val="27"/>
                <w:highlight w:val="none"/>
                <w:lang w:val="en-US" w:eastAsia="zh-CN" w:bidi="ar-SA"/>
              </w:rPr>
              <w:t>。</w:t>
            </w:r>
            <w:r>
              <w:rPr>
                <w:rFonts w:hint="default" w:ascii="Times New Roman" w:hAnsi="Times New Roman" w:eastAsia="宋体" w:cs="Times New Roman"/>
                <w:b w:val="0"/>
                <w:color w:val="auto"/>
                <w:kern w:val="0"/>
                <w:sz w:val="24"/>
                <w:szCs w:val="27"/>
                <w:highlight w:val="none"/>
                <w:lang w:val="en-US" w:eastAsia="zh-CN" w:bidi="ar-SA"/>
              </w:rPr>
              <w:t>接受委托后，我</w:t>
            </w:r>
            <w:r>
              <w:rPr>
                <w:rFonts w:hint="eastAsia" w:ascii="Times New Roman" w:hAnsi="Times New Roman" w:eastAsia="宋体" w:cs="Times New Roman"/>
                <w:b w:val="0"/>
                <w:color w:val="auto"/>
                <w:kern w:val="0"/>
                <w:sz w:val="24"/>
                <w:szCs w:val="27"/>
                <w:highlight w:val="none"/>
                <w:lang w:val="en-US" w:eastAsia="zh-CN" w:bidi="ar-SA"/>
              </w:rPr>
              <w:t>公司</w:t>
            </w:r>
            <w:r>
              <w:rPr>
                <w:rFonts w:hint="default" w:ascii="Times New Roman" w:hAnsi="Times New Roman" w:eastAsia="宋体" w:cs="Times New Roman"/>
                <w:b w:val="0"/>
                <w:color w:val="auto"/>
                <w:kern w:val="0"/>
                <w:sz w:val="24"/>
                <w:szCs w:val="27"/>
                <w:highlight w:val="none"/>
                <w:lang w:val="en-US" w:eastAsia="zh-CN" w:bidi="ar-SA"/>
              </w:rPr>
              <w:t>立即开展了现场踏勘、资料收集等工作，并按照《建设项目环境影响报告表编制技术指南（污染影响类）（试行）》（环办环评〔2020〕33号）的要求编制完成了本项目环境影响报告表。</w:t>
            </w:r>
          </w:p>
          <w:p w14:paraId="4B07C4D4">
            <w:pPr>
              <w:pStyle w:val="14"/>
              <w:keepNext w:val="0"/>
              <w:keepLines w:val="0"/>
              <w:suppressLineNumbers w:val="0"/>
              <w:snapToGrid w:val="0"/>
              <w:spacing w:before="0" w:beforeAutospacing="0" w:after="0" w:afterAutospacing="0" w:line="360" w:lineRule="auto"/>
              <w:ind w:left="0" w:leftChars="0" w:right="0"/>
              <w:jc w:val="left"/>
              <w:rPr>
                <w:rFonts w:hint="default"/>
                <w:b/>
                <w:bCs/>
                <w:color w:val="auto"/>
                <w:sz w:val="28"/>
                <w:szCs w:val="28"/>
                <w:highlight w:val="none"/>
              </w:rPr>
            </w:pPr>
            <w:r>
              <w:rPr>
                <w:rFonts w:hint="eastAsia"/>
                <w:b/>
                <w:bCs/>
                <w:color w:val="auto"/>
                <w:sz w:val="28"/>
                <w:szCs w:val="28"/>
                <w:highlight w:val="none"/>
              </w:rPr>
              <w:t>2、</w:t>
            </w:r>
            <w:r>
              <w:rPr>
                <w:rFonts w:hint="default"/>
                <w:b/>
                <w:bCs/>
                <w:color w:val="auto"/>
                <w:sz w:val="28"/>
                <w:szCs w:val="28"/>
                <w:highlight w:val="none"/>
              </w:rPr>
              <w:t>工程概况</w:t>
            </w:r>
          </w:p>
          <w:p w14:paraId="0416CD3D">
            <w:pPr>
              <w:pStyle w:val="6"/>
              <w:keepNext w:val="0"/>
              <w:keepLines w:val="0"/>
              <w:suppressLineNumbers w:val="0"/>
              <w:spacing w:before="0" w:beforeAutospacing="0" w:after="0" w:afterAutospacing="0"/>
              <w:ind w:left="0" w:right="0"/>
              <w:rPr>
                <w:rFonts w:hint="default" w:ascii="Times New Roman" w:hAnsi="Times New Roman"/>
                <w:color w:val="auto"/>
                <w:highlight w:val="none"/>
              </w:rPr>
            </w:pPr>
            <w:r>
              <w:rPr>
                <w:rFonts w:hint="default" w:ascii="Times New Roman" w:hAnsi="Times New Roman"/>
                <w:color w:val="auto"/>
                <w:highlight w:val="none"/>
              </w:rPr>
              <w:t>2.1 项目概况</w:t>
            </w:r>
          </w:p>
          <w:p w14:paraId="79CC56ED">
            <w:pPr>
              <w:keepNext w:val="0"/>
              <w:keepLines w:val="0"/>
              <w:suppressLineNumbers w:val="0"/>
              <w:adjustRightIn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（1）项目名称：</w:t>
            </w:r>
            <w:r>
              <w:rPr>
                <w:rFonts w:hint="eastAsia"/>
                <w:color w:val="auto"/>
                <w:sz w:val="24"/>
                <w:highlight w:val="none"/>
                <w:lang w:eastAsia="zh-CN"/>
              </w:rPr>
              <w:t>秦皇岛万邦零部件加工有限公司新建二车间</w:t>
            </w:r>
          </w:p>
          <w:p w14:paraId="2F2FC406">
            <w:pPr>
              <w:keepNext w:val="0"/>
              <w:keepLines w:val="0"/>
              <w:suppressLineNumbers w:val="0"/>
              <w:adjustRightInd w:val="0"/>
              <w:spacing w:before="0" w:beforeAutospacing="0" w:after="0" w:afterAutospacing="0" w:line="360" w:lineRule="auto"/>
              <w:ind w:left="0" w:right="0" w:firstLine="480" w:firstLineChars="200"/>
              <w:jc w:val="left"/>
              <w:rPr>
                <w:rFonts w:hint="eastAsia" w:eastAsia="宋体"/>
                <w:color w:val="auto"/>
                <w:sz w:val="24"/>
                <w:highlight w:val="none"/>
                <w:lang w:eastAsia="zh-CN"/>
              </w:rPr>
            </w:pPr>
            <w:r>
              <w:rPr>
                <w:rFonts w:hint="default"/>
                <w:color w:val="auto"/>
                <w:sz w:val="24"/>
                <w:highlight w:val="none"/>
              </w:rPr>
              <w:t>（2）建设单位：</w:t>
            </w:r>
            <w:r>
              <w:rPr>
                <w:rFonts w:hint="eastAsia"/>
                <w:color w:val="auto"/>
                <w:sz w:val="24"/>
                <w:highlight w:val="none"/>
                <w:lang w:eastAsia="zh-CN"/>
              </w:rPr>
              <w:t>秦皇岛万邦零部件加工有限公司</w:t>
            </w:r>
          </w:p>
          <w:p w14:paraId="567FF2D2">
            <w:pPr>
              <w:keepNext w:val="0"/>
              <w:keepLines w:val="0"/>
              <w:suppressLineNumbers w:val="0"/>
              <w:adjustRightIn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（3）建设性质：新建</w:t>
            </w:r>
          </w:p>
          <w:p w14:paraId="05933790">
            <w:pPr>
              <w:pStyle w:val="6"/>
              <w:keepNext w:val="0"/>
              <w:keepLines w:val="0"/>
              <w:suppressLineNumbers w:val="0"/>
              <w:spacing w:before="0" w:beforeAutospacing="0" w:after="0" w:afterAutospacing="0"/>
              <w:ind w:left="0" w:right="0" w:firstLine="480" w:firstLineChars="200"/>
              <w:rPr>
                <w:rFonts w:hint="default" w:ascii="Times New Roman" w:hAnsi="Times New Roman"/>
                <w:b w:val="0"/>
                <w:color w:val="auto"/>
                <w:szCs w:val="24"/>
                <w:highlight w:val="none"/>
              </w:rPr>
            </w:pPr>
            <w:r>
              <w:rPr>
                <w:rFonts w:hint="default" w:ascii="Times New Roman" w:hAnsi="Times New Roman"/>
                <w:b w:val="0"/>
                <w:color w:val="auto"/>
                <w:szCs w:val="24"/>
                <w:highlight w:val="none"/>
              </w:rPr>
              <w:t>（4）建设地点：</w:t>
            </w:r>
          </w:p>
          <w:p w14:paraId="7BC7378C">
            <w:pPr>
              <w:pStyle w:val="110"/>
              <w:keepNext w:val="0"/>
              <w:keepLines w:val="0"/>
              <w:suppressLineNumbers w:val="0"/>
              <w:adjustRightInd w:val="0"/>
              <w:spacing w:before="0" w:beforeAutospacing="0" w:after="0" w:afterAutospacing="0" w:line="360" w:lineRule="auto"/>
              <w:ind w:left="0" w:right="0"/>
              <w:jc w:val="left"/>
              <w:rPr>
                <w:rFonts w:hint="default" w:ascii="Times New Roman" w:hAnsi="Times New Roman"/>
                <w:color w:val="auto"/>
                <w:sz w:val="24"/>
                <w:highlight w:val="none"/>
              </w:rPr>
            </w:pPr>
            <w:r>
              <w:rPr>
                <w:rFonts w:hint="eastAsia" w:ascii="Times New Roman" w:hAnsi="Times New Roman"/>
                <w:color w:val="auto"/>
                <w:kern w:val="0"/>
                <w:sz w:val="24"/>
                <w:highlight w:val="none"/>
                <w:lang w:eastAsia="zh-CN"/>
              </w:rPr>
              <w:t>秦皇岛万邦零部件加工有限公司</w:t>
            </w:r>
            <w:r>
              <w:rPr>
                <w:rFonts w:hint="default" w:ascii="Times New Roman" w:hAnsi="Times New Roman"/>
                <w:color w:val="auto"/>
                <w:kern w:val="0"/>
                <w:sz w:val="24"/>
                <w:highlight w:val="none"/>
              </w:rPr>
              <w:t>位于秦皇岛市开发区龙海道37号戴河国际产业园</w:t>
            </w:r>
            <w:r>
              <w:rPr>
                <w:rFonts w:hint="eastAsia" w:ascii="Times New Roman" w:hAnsi="Times New Roman"/>
                <w:color w:val="auto"/>
                <w:kern w:val="0"/>
                <w:sz w:val="24"/>
                <w:highlight w:val="none"/>
                <w:lang w:val="en-US" w:eastAsia="zh-CN"/>
              </w:rPr>
              <w:t>13</w:t>
            </w:r>
            <w:r>
              <w:rPr>
                <w:rFonts w:hint="default" w:ascii="Times New Roman" w:hAnsi="Times New Roman"/>
                <w:color w:val="auto"/>
                <w:kern w:val="0"/>
                <w:sz w:val="24"/>
                <w:highlight w:val="none"/>
              </w:rPr>
              <w:t>号厂房，厂址地理位置中心坐标为：东经</w:t>
            </w:r>
            <w:r>
              <w:rPr>
                <w:rFonts w:hint="default" w:ascii="Times New Roman" w:hAnsi="Times New Roman"/>
                <w:color w:val="auto"/>
                <w:sz w:val="24"/>
                <w:highlight w:val="none"/>
              </w:rPr>
              <w:t>119°29′</w:t>
            </w:r>
            <w:r>
              <w:rPr>
                <w:rFonts w:hint="eastAsia" w:ascii="Times New Roman" w:hAnsi="Times New Roman"/>
                <w:color w:val="auto"/>
                <w:sz w:val="24"/>
                <w:highlight w:val="none"/>
                <w:lang w:val="en-US" w:eastAsia="zh-CN"/>
              </w:rPr>
              <w:t>22.484</w:t>
            </w:r>
            <w:r>
              <w:rPr>
                <w:rFonts w:hint="default" w:ascii="Times New Roman" w:hAnsi="Times New Roman"/>
                <w:color w:val="auto"/>
                <w:sz w:val="24"/>
                <w:highlight w:val="none"/>
              </w:rPr>
              <w:t>"</w:t>
            </w:r>
            <w:r>
              <w:rPr>
                <w:rFonts w:hint="default" w:ascii="Times New Roman" w:hAnsi="Times New Roman"/>
                <w:color w:val="auto"/>
                <w:kern w:val="0"/>
                <w:sz w:val="24"/>
                <w:highlight w:val="none"/>
              </w:rPr>
              <w:t>，北纬</w:t>
            </w:r>
            <w:r>
              <w:rPr>
                <w:rFonts w:hint="default" w:ascii="Times New Roman" w:hAnsi="Times New Roman"/>
                <w:color w:val="auto"/>
                <w:sz w:val="24"/>
                <w:highlight w:val="none"/>
              </w:rPr>
              <w:t>39°55′</w:t>
            </w:r>
            <w:r>
              <w:rPr>
                <w:rFonts w:hint="eastAsia" w:ascii="Times New Roman" w:hAnsi="Times New Roman"/>
                <w:color w:val="auto"/>
                <w:sz w:val="24"/>
                <w:highlight w:val="none"/>
                <w:lang w:val="en-US" w:eastAsia="zh-CN"/>
              </w:rPr>
              <w:t>47.625</w:t>
            </w:r>
            <w:r>
              <w:rPr>
                <w:rFonts w:hint="default" w:ascii="Times New Roman" w:hAnsi="Times New Roman"/>
                <w:color w:val="auto"/>
                <w:sz w:val="24"/>
                <w:highlight w:val="none"/>
              </w:rPr>
              <w:t>"</w:t>
            </w:r>
            <w:r>
              <w:rPr>
                <w:rFonts w:hint="default" w:ascii="Times New Roman" w:hAnsi="Times New Roman"/>
                <w:color w:val="auto"/>
                <w:kern w:val="0"/>
                <w:sz w:val="24"/>
                <w:highlight w:val="none"/>
              </w:rPr>
              <w:t>。企业总占地</w:t>
            </w:r>
            <w:r>
              <w:rPr>
                <w:rFonts w:hint="eastAsia" w:ascii="Times New Roman" w:hAnsi="Times New Roman"/>
                <w:color w:val="auto"/>
                <w:kern w:val="0"/>
                <w:sz w:val="24"/>
                <w:highlight w:val="none"/>
                <w:lang w:val="en-US" w:eastAsia="zh-CN"/>
              </w:rPr>
              <w:t>面积1728</w:t>
            </w:r>
            <w:r>
              <w:rPr>
                <w:rFonts w:hint="default" w:ascii="Times New Roman" w:hAnsi="Times New Roman"/>
                <w:color w:val="auto"/>
                <w:kern w:val="0"/>
                <w:sz w:val="24"/>
                <w:highlight w:val="none"/>
              </w:rPr>
              <w:t>m</w:t>
            </w:r>
            <w:r>
              <w:rPr>
                <w:rFonts w:hint="default" w:ascii="Times New Roman" w:hAnsi="Times New Roman"/>
                <w:color w:val="auto"/>
                <w:kern w:val="0"/>
                <w:sz w:val="24"/>
                <w:highlight w:val="none"/>
                <w:vertAlign w:val="superscript"/>
              </w:rPr>
              <w:t>2</w:t>
            </w:r>
            <w:r>
              <w:rPr>
                <w:rFonts w:hint="default" w:ascii="Times New Roman" w:hAnsi="Times New Roman"/>
                <w:color w:val="auto"/>
                <w:kern w:val="0"/>
                <w:sz w:val="24"/>
                <w:highlight w:val="none"/>
              </w:rPr>
              <w:t>，为规划工业用地，厂房西</w:t>
            </w:r>
            <w:r>
              <w:rPr>
                <w:rFonts w:hint="eastAsia" w:ascii="Times New Roman" w:hAnsi="Times New Roman"/>
                <w:color w:val="auto"/>
                <w:kern w:val="0"/>
                <w:sz w:val="24"/>
                <w:highlight w:val="none"/>
                <w:lang w:val="en-US" w:eastAsia="zh-CN"/>
              </w:rPr>
              <w:t>临镜泊湖路</w:t>
            </w:r>
            <w:r>
              <w:rPr>
                <w:rFonts w:hint="eastAsia" w:ascii="Times New Roman" w:hAnsi="Times New Roman"/>
                <w:color w:val="auto"/>
                <w:kern w:val="0"/>
                <w:sz w:val="24"/>
                <w:highlight w:val="none"/>
                <w:lang w:eastAsia="zh-CN"/>
              </w:rPr>
              <w:t>，</w:t>
            </w:r>
            <w:r>
              <w:rPr>
                <w:rFonts w:hint="default" w:ascii="Times New Roman" w:hAnsi="Times New Roman"/>
                <w:color w:val="auto"/>
                <w:kern w:val="0"/>
                <w:sz w:val="24"/>
                <w:highlight w:val="none"/>
              </w:rPr>
              <w:t>东侧</w:t>
            </w:r>
            <w:r>
              <w:rPr>
                <w:rFonts w:hint="eastAsia" w:ascii="Times New Roman" w:hAnsi="Times New Roman"/>
                <w:color w:val="auto"/>
                <w:kern w:val="0"/>
                <w:sz w:val="24"/>
                <w:highlight w:val="none"/>
                <w:lang w:val="en-US" w:eastAsia="zh-CN"/>
              </w:rPr>
              <w:t>为空地，南临龙海道，北侧12号厂房为中国电信仓库</w:t>
            </w:r>
            <w:r>
              <w:rPr>
                <w:rFonts w:hint="default" w:ascii="Times New Roman" w:hAnsi="Times New Roman"/>
                <w:color w:val="auto"/>
                <w:sz w:val="24"/>
                <w:highlight w:val="none"/>
              </w:rPr>
              <w:t>。项目所在厂址周边关系示意图见附图2所示。</w:t>
            </w:r>
          </w:p>
          <w:p w14:paraId="24AAE475">
            <w:pPr>
              <w:pStyle w:val="110"/>
              <w:keepNext w:val="0"/>
              <w:keepLines w:val="0"/>
              <w:suppressLineNumbers w:val="0"/>
              <w:adjustRightInd w:val="0"/>
              <w:spacing w:before="0" w:beforeAutospacing="0" w:after="0" w:afterAutospacing="0" w:line="360" w:lineRule="auto"/>
              <w:ind w:left="0" w:right="0"/>
              <w:jc w:val="left"/>
              <w:rPr>
                <w:rFonts w:hint="default" w:ascii="Times New Roman" w:hAnsi="Times New Roman"/>
                <w:color w:val="auto"/>
                <w:sz w:val="24"/>
                <w:highlight w:val="none"/>
              </w:rPr>
            </w:pPr>
            <w:r>
              <w:rPr>
                <w:rFonts w:hint="default" w:ascii="Times New Roman" w:hAnsi="Times New Roman"/>
                <w:color w:val="auto"/>
                <w:sz w:val="24"/>
                <w:highlight w:val="none"/>
              </w:rPr>
              <w:t>（5）建设内容：该项目租赁秦皇岛市开发区龙海道</w:t>
            </w:r>
            <w:r>
              <w:rPr>
                <w:rFonts w:hint="eastAsia" w:ascii="Times New Roman" w:hAnsi="Times New Roman"/>
                <w:color w:val="auto"/>
                <w:sz w:val="24"/>
                <w:highlight w:val="none"/>
              </w:rPr>
              <w:t>37</w:t>
            </w:r>
            <w:r>
              <w:rPr>
                <w:rFonts w:hint="default" w:ascii="Times New Roman" w:hAnsi="Times New Roman"/>
                <w:color w:val="auto"/>
                <w:sz w:val="24"/>
                <w:highlight w:val="none"/>
              </w:rPr>
              <w:t>号戴河国际产业园</w:t>
            </w:r>
            <w:r>
              <w:rPr>
                <w:rFonts w:hint="eastAsia" w:ascii="Times New Roman" w:hAnsi="Times New Roman"/>
                <w:color w:val="auto"/>
                <w:sz w:val="24"/>
                <w:highlight w:val="none"/>
                <w:lang w:val="en-US" w:eastAsia="zh-CN"/>
              </w:rPr>
              <w:t>13</w:t>
            </w:r>
            <w:r>
              <w:rPr>
                <w:rFonts w:hint="default" w:ascii="Times New Roman" w:hAnsi="Times New Roman"/>
                <w:color w:val="auto"/>
                <w:sz w:val="24"/>
                <w:highlight w:val="none"/>
              </w:rPr>
              <w:t>号厂房，总建筑面积</w:t>
            </w:r>
            <w:r>
              <w:rPr>
                <w:rFonts w:hint="eastAsia" w:ascii="Times New Roman" w:hAnsi="Times New Roman"/>
                <w:color w:val="auto"/>
                <w:sz w:val="24"/>
                <w:highlight w:val="none"/>
                <w:lang w:val="en-US" w:eastAsia="zh-CN"/>
              </w:rPr>
              <w:t>1728</w:t>
            </w:r>
            <w:r>
              <w:rPr>
                <w:rFonts w:hint="default" w:ascii="Times New Roman" w:hAnsi="Times New Roman"/>
                <w:color w:val="auto"/>
                <w:sz w:val="24"/>
                <w:highlight w:val="none"/>
              </w:rPr>
              <w:t>平方米。</w:t>
            </w:r>
            <w:r>
              <w:rPr>
                <w:rFonts w:hint="eastAsia" w:ascii="Times New Roman" w:hAnsi="Times New Roman"/>
                <w:color w:val="auto"/>
                <w:sz w:val="24"/>
                <w:highlight w:val="none"/>
                <w:lang w:eastAsia="zh-CN"/>
              </w:rPr>
              <w:t>项目</w:t>
            </w:r>
            <w:r>
              <w:rPr>
                <w:rFonts w:hint="eastAsia" w:ascii="Times New Roman" w:hAnsi="Times New Roman" w:cs="Times New Roman"/>
                <w:b w:val="0"/>
                <w:color w:val="auto"/>
                <w:kern w:val="0"/>
                <w:sz w:val="24"/>
                <w:szCs w:val="27"/>
                <w:highlight w:val="none"/>
                <w:lang w:val="en-US" w:eastAsia="zh-CN" w:bidi="ar-SA"/>
              </w:rPr>
              <w:t>购置（环保抛光打磨湿式一体机）20台、自动水磨机设备20台，年处理轮毂30万件（5224t）。</w:t>
            </w:r>
          </w:p>
          <w:p w14:paraId="4B0B13E0">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（6）工程投资：本项目总投资</w:t>
            </w:r>
            <w:r>
              <w:rPr>
                <w:rFonts w:hint="eastAsia"/>
                <w:color w:val="auto"/>
                <w:sz w:val="24"/>
                <w:highlight w:val="none"/>
                <w:lang w:val="en-US" w:eastAsia="zh-CN"/>
              </w:rPr>
              <w:t>650</w:t>
            </w:r>
            <w:r>
              <w:rPr>
                <w:rFonts w:hint="default"/>
                <w:color w:val="auto"/>
                <w:sz w:val="24"/>
                <w:highlight w:val="none"/>
              </w:rPr>
              <w:t>万元，其中环保投资</w:t>
            </w:r>
            <w:r>
              <w:rPr>
                <w:rFonts w:hint="eastAsia"/>
                <w:color w:val="auto"/>
                <w:sz w:val="24"/>
                <w:highlight w:val="none"/>
                <w:lang w:val="en-US" w:eastAsia="zh-CN"/>
              </w:rPr>
              <w:t>80</w:t>
            </w:r>
            <w:r>
              <w:rPr>
                <w:rFonts w:hint="default"/>
                <w:color w:val="auto"/>
                <w:sz w:val="24"/>
                <w:highlight w:val="none"/>
              </w:rPr>
              <w:t>万元，占总投资的</w:t>
            </w:r>
            <w:r>
              <w:rPr>
                <w:rFonts w:hint="eastAsia"/>
                <w:color w:val="auto"/>
                <w:sz w:val="24"/>
                <w:highlight w:val="none"/>
                <w:lang w:val="en-US" w:eastAsia="zh-CN"/>
              </w:rPr>
              <w:t>12.3</w:t>
            </w:r>
            <w:r>
              <w:rPr>
                <w:rFonts w:hint="default"/>
                <w:color w:val="auto"/>
                <w:sz w:val="24"/>
                <w:highlight w:val="none"/>
              </w:rPr>
              <w:t>%。</w:t>
            </w:r>
          </w:p>
          <w:p w14:paraId="03065B22">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（7）劳动定员及工作制度：本项目劳动定员</w:t>
            </w:r>
            <w:r>
              <w:rPr>
                <w:rFonts w:hint="eastAsia"/>
                <w:color w:val="auto"/>
                <w:sz w:val="24"/>
                <w:highlight w:val="none"/>
                <w:lang w:val="en-US" w:eastAsia="zh-CN"/>
              </w:rPr>
              <w:t>94</w:t>
            </w:r>
            <w:r>
              <w:rPr>
                <w:rFonts w:hint="default"/>
                <w:color w:val="auto"/>
                <w:sz w:val="24"/>
                <w:highlight w:val="none"/>
              </w:rPr>
              <w:t>人，年工作天数为</w:t>
            </w:r>
            <w:r>
              <w:rPr>
                <w:rFonts w:hint="eastAsia"/>
                <w:color w:val="auto"/>
                <w:sz w:val="24"/>
                <w:highlight w:val="none"/>
                <w:lang w:val="en-US" w:eastAsia="zh-CN"/>
              </w:rPr>
              <w:t>300</w:t>
            </w:r>
            <w:r>
              <w:rPr>
                <w:rFonts w:hint="default"/>
                <w:color w:val="auto"/>
                <w:sz w:val="24"/>
                <w:highlight w:val="none"/>
              </w:rPr>
              <w:t>天，两班制，每班</w:t>
            </w:r>
            <w:r>
              <w:rPr>
                <w:rFonts w:hint="eastAsia"/>
                <w:color w:val="auto"/>
                <w:sz w:val="24"/>
                <w:highlight w:val="none"/>
              </w:rPr>
              <w:t>12</w:t>
            </w:r>
            <w:r>
              <w:rPr>
                <w:rFonts w:hint="default"/>
                <w:color w:val="auto"/>
                <w:sz w:val="24"/>
                <w:highlight w:val="none"/>
              </w:rPr>
              <w:t>小时，不提供食宿和洗浴。</w:t>
            </w:r>
          </w:p>
          <w:p w14:paraId="25E2EA44">
            <w:pPr>
              <w:pStyle w:val="6"/>
              <w:keepNext w:val="0"/>
              <w:keepLines w:val="0"/>
              <w:suppressLineNumbers w:val="0"/>
              <w:spacing w:before="0" w:beforeAutospacing="0" w:after="0" w:afterAutospacing="0"/>
              <w:ind w:left="0" w:right="0"/>
              <w:rPr>
                <w:rFonts w:hint="default" w:ascii="Times New Roman" w:hAnsi="Times New Roman"/>
                <w:color w:val="auto"/>
                <w:highlight w:val="none"/>
              </w:rPr>
            </w:pPr>
            <w:r>
              <w:rPr>
                <w:rFonts w:hint="default" w:ascii="Times New Roman" w:hAnsi="Times New Roman"/>
                <w:color w:val="auto"/>
                <w:highlight w:val="none"/>
              </w:rPr>
              <w:t>2.2 工程规模及工程内容</w:t>
            </w:r>
          </w:p>
          <w:p w14:paraId="6A17D5C9">
            <w:pPr>
              <w:keepNext w:val="0"/>
              <w:keepLines w:val="0"/>
              <w:suppressLineNumbers w:val="0"/>
              <w:spacing w:before="0" w:beforeAutospacing="0" w:after="0" w:afterAutospacing="0" w:line="360" w:lineRule="auto"/>
              <w:ind w:left="0" w:right="0" w:firstLine="480" w:firstLineChars="200"/>
              <w:jc w:val="left"/>
              <w:rPr>
                <w:rFonts w:hint="default"/>
                <w:snapToGrid w:val="0"/>
                <w:color w:val="auto"/>
                <w:highlight w:val="none"/>
              </w:rPr>
            </w:pPr>
            <w:r>
              <w:rPr>
                <w:rFonts w:hint="default"/>
                <w:color w:val="auto"/>
                <w:sz w:val="24"/>
                <w:highlight w:val="none"/>
              </w:rPr>
              <w:t>本项目总占地面积为</w:t>
            </w:r>
            <w:r>
              <w:rPr>
                <w:rFonts w:hint="eastAsia"/>
                <w:color w:val="auto"/>
                <w:sz w:val="24"/>
                <w:highlight w:val="none"/>
                <w:lang w:val="en-US" w:eastAsia="zh-CN"/>
              </w:rPr>
              <w:t>1728</w:t>
            </w:r>
            <w:r>
              <w:rPr>
                <w:rFonts w:hint="default"/>
                <w:color w:val="auto"/>
                <w:sz w:val="24"/>
                <w:highlight w:val="none"/>
              </w:rPr>
              <w:t>m</w:t>
            </w:r>
            <w:r>
              <w:rPr>
                <w:rFonts w:hint="default"/>
                <w:color w:val="auto"/>
                <w:sz w:val="24"/>
                <w:highlight w:val="none"/>
                <w:vertAlign w:val="superscript"/>
              </w:rPr>
              <w:t>2</w:t>
            </w:r>
            <w:r>
              <w:rPr>
                <w:rFonts w:hint="default"/>
                <w:color w:val="auto"/>
                <w:sz w:val="24"/>
                <w:highlight w:val="none"/>
              </w:rPr>
              <w:t>，租用戴河国际产业园</w:t>
            </w:r>
            <w:r>
              <w:rPr>
                <w:rFonts w:hint="eastAsia"/>
                <w:color w:val="auto"/>
                <w:sz w:val="24"/>
                <w:highlight w:val="none"/>
                <w:lang w:val="en-US" w:eastAsia="zh-CN"/>
              </w:rPr>
              <w:t>13</w:t>
            </w:r>
            <w:r>
              <w:rPr>
                <w:rFonts w:hint="default"/>
                <w:color w:val="auto"/>
                <w:sz w:val="24"/>
                <w:highlight w:val="none"/>
              </w:rPr>
              <w:t>号厂房。项目组成见下表</w:t>
            </w:r>
            <w:r>
              <w:rPr>
                <w:rFonts w:hint="eastAsia"/>
                <w:color w:val="auto"/>
                <w:sz w:val="24"/>
                <w:highlight w:val="none"/>
              </w:rPr>
              <w:t>：</w:t>
            </w:r>
          </w:p>
          <w:p w14:paraId="35562DCF">
            <w:pPr>
              <w:pStyle w:val="58"/>
              <w:keepNext w:val="0"/>
              <w:keepLines w:val="0"/>
              <w:suppressLineNumbers w:val="0"/>
              <w:spacing w:before="0" w:beforeAutospacing="0" w:after="0" w:afterAutospacing="0" w:line="240" w:lineRule="auto"/>
              <w:ind w:left="0" w:right="0" w:firstLine="0" w:firstLineChars="0"/>
              <w:rPr>
                <w:rFonts w:hint="default"/>
                <w:snapToGrid w:val="0"/>
                <w:color w:val="auto"/>
                <w:highlight w:val="none"/>
              </w:rPr>
            </w:pPr>
            <w:r>
              <w:rPr>
                <w:rFonts w:hint="default"/>
                <w:snapToGrid w:val="0"/>
                <w:color w:val="auto"/>
                <w:highlight w:val="none"/>
              </w:rPr>
              <w:t>表</w:t>
            </w:r>
            <w:r>
              <w:rPr>
                <w:rFonts w:hint="eastAsia"/>
                <w:snapToGrid w:val="0"/>
                <w:color w:val="auto"/>
                <w:highlight w:val="none"/>
              </w:rPr>
              <w:t>2-1</w:t>
            </w:r>
            <w:r>
              <w:rPr>
                <w:rFonts w:hint="default"/>
                <w:snapToGrid w:val="0"/>
                <w:color w:val="auto"/>
                <w:highlight w:val="none"/>
              </w:rPr>
              <w:t xml:space="preserve">  项目组成一览表</w:t>
            </w:r>
          </w:p>
          <w:tbl>
            <w:tblPr>
              <w:tblStyle w:val="35"/>
              <w:tblW w:w="832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0"/>
              <w:gridCol w:w="503"/>
              <w:gridCol w:w="525"/>
              <w:gridCol w:w="1161"/>
              <w:gridCol w:w="5349"/>
            </w:tblGrid>
            <w:tr w14:paraId="4E7F8D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tcBorders>
                    <w:left w:val="single" w:color="auto" w:sz="0" w:space="0"/>
                  </w:tcBorders>
                  <w:vAlign w:val="center"/>
                </w:tcPr>
                <w:p w14:paraId="462823CF">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工程分类</w:t>
                  </w:r>
                </w:p>
              </w:tc>
              <w:tc>
                <w:tcPr>
                  <w:tcW w:w="2189" w:type="dxa"/>
                  <w:gridSpan w:val="3"/>
                  <w:vAlign w:val="center"/>
                </w:tcPr>
                <w:p w14:paraId="0CF28C3A">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项目名称</w:t>
                  </w:r>
                </w:p>
              </w:tc>
              <w:tc>
                <w:tcPr>
                  <w:tcW w:w="5349" w:type="dxa"/>
                  <w:tcBorders>
                    <w:right w:val="single" w:color="auto" w:sz="4" w:space="0"/>
                  </w:tcBorders>
                  <w:vAlign w:val="center"/>
                </w:tcPr>
                <w:p w14:paraId="4FFA403F">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项目内容</w:t>
                  </w:r>
                </w:p>
              </w:tc>
            </w:tr>
            <w:tr w14:paraId="78FF7A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0" w:type="dxa"/>
                  <w:tcBorders>
                    <w:left w:val="single" w:color="auto" w:sz="4" w:space="0"/>
                  </w:tcBorders>
                  <w:vAlign w:val="center"/>
                </w:tcPr>
                <w:p w14:paraId="0E52EF3D">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主体工程</w:t>
                  </w:r>
                </w:p>
              </w:tc>
              <w:tc>
                <w:tcPr>
                  <w:tcW w:w="2189" w:type="dxa"/>
                  <w:gridSpan w:val="3"/>
                  <w:vAlign w:val="center"/>
                </w:tcPr>
                <w:p w14:paraId="1EB09D87">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lang w:eastAsia="zh-CN"/>
                    </w:rPr>
                    <w:t>打磨抛光清洗</w:t>
                  </w:r>
                  <w:r>
                    <w:rPr>
                      <w:rFonts w:hint="eastAsia" w:ascii="Times New Roman"/>
                      <w:color w:val="auto"/>
                      <w:sz w:val="21"/>
                      <w:szCs w:val="21"/>
                      <w:highlight w:val="none"/>
                    </w:rPr>
                    <w:t>车间</w:t>
                  </w:r>
                </w:p>
              </w:tc>
              <w:tc>
                <w:tcPr>
                  <w:tcW w:w="5349" w:type="dxa"/>
                  <w:tcBorders>
                    <w:right w:val="single" w:color="auto" w:sz="4" w:space="0"/>
                  </w:tcBorders>
                  <w:vAlign w:val="center"/>
                </w:tcPr>
                <w:p w14:paraId="7897F784">
                  <w:pPr>
                    <w:pStyle w:val="61"/>
                    <w:keepNext w:val="0"/>
                    <w:keepLines w:val="0"/>
                    <w:suppressLineNumbers w:val="0"/>
                    <w:spacing w:before="24" w:beforeAutospacing="0" w:after="24" w:afterAutospacing="0" w:line="240" w:lineRule="auto"/>
                    <w:ind w:left="0" w:right="0" w:firstLine="0" w:firstLineChars="0"/>
                    <w:jc w:val="both"/>
                    <w:rPr>
                      <w:rFonts w:hint="default" w:ascii="Times New Roman"/>
                      <w:color w:val="auto"/>
                      <w:sz w:val="21"/>
                      <w:szCs w:val="21"/>
                      <w:highlight w:val="none"/>
                    </w:rPr>
                  </w:pPr>
                  <w:r>
                    <w:rPr>
                      <w:rFonts w:hint="eastAsia" w:ascii="Times New Roman"/>
                      <w:color w:val="auto"/>
                      <w:sz w:val="21"/>
                      <w:szCs w:val="21"/>
                      <w:highlight w:val="none"/>
                      <w:lang w:val="en-US" w:eastAsia="zh-CN"/>
                    </w:rPr>
                    <w:t>约1728</w:t>
                  </w:r>
                  <w:r>
                    <w:rPr>
                      <w:rFonts w:hint="default" w:ascii="Times New Roman"/>
                      <w:color w:val="auto"/>
                      <w:sz w:val="21"/>
                      <w:szCs w:val="21"/>
                      <w:highlight w:val="none"/>
                    </w:rPr>
                    <w:t>m</w:t>
                  </w:r>
                  <w:r>
                    <w:rPr>
                      <w:rFonts w:hint="default" w:ascii="Times New Roman"/>
                      <w:color w:val="auto"/>
                      <w:sz w:val="21"/>
                      <w:szCs w:val="21"/>
                      <w:highlight w:val="none"/>
                      <w:vertAlign w:val="superscript"/>
                    </w:rPr>
                    <w:t>2</w:t>
                  </w:r>
                  <w:r>
                    <w:rPr>
                      <w:rFonts w:hint="eastAsia" w:ascii="Times New Roman"/>
                      <w:color w:val="auto"/>
                      <w:sz w:val="21"/>
                      <w:szCs w:val="21"/>
                      <w:highlight w:val="none"/>
                      <w:lang w:val="en-US" w:eastAsia="zh-CN"/>
                    </w:rPr>
                    <w:t>，内设角磨机、水磨机、环保抛光打磨湿式一体机等设备，年处理轮毂30万件（5224t）</w:t>
                  </w:r>
                </w:p>
              </w:tc>
            </w:tr>
            <w:tr w14:paraId="085A85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90" w:type="dxa"/>
                  <w:vMerge w:val="restart"/>
                  <w:tcBorders>
                    <w:left w:val="single" w:color="auto" w:sz="4" w:space="0"/>
                  </w:tcBorders>
                  <w:vAlign w:val="center"/>
                </w:tcPr>
                <w:p w14:paraId="7EB3AD10">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辅助工程</w:t>
                  </w:r>
                </w:p>
              </w:tc>
              <w:tc>
                <w:tcPr>
                  <w:tcW w:w="2189" w:type="dxa"/>
                  <w:gridSpan w:val="3"/>
                  <w:shd w:val="clear" w:color="auto" w:fill="auto"/>
                  <w:vAlign w:val="center"/>
                </w:tcPr>
                <w:p w14:paraId="4E0333B3">
                  <w:pPr>
                    <w:pStyle w:val="61"/>
                    <w:keepNext w:val="0"/>
                    <w:keepLines w:val="0"/>
                    <w:suppressLineNumbers w:val="0"/>
                    <w:spacing w:before="24" w:beforeAutospacing="0" w:after="24"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rPr>
                    <w:t>一般固废</w:t>
                  </w:r>
                  <w:r>
                    <w:rPr>
                      <w:rFonts w:hint="eastAsia" w:ascii="Times New Roman"/>
                      <w:color w:val="auto"/>
                      <w:sz w:val="21"/>
                      <w:szCs w:val="21"/>
                      <w:highlight w:val="none"/>
                      <w:lang w:eastAsia="zh-CN"/>
                    </w:rPr>
                    <w:t>区</w:t>
                  </w:r>
                </w:p>
              </w:tc>
              <w:tc>
                <w:tcPr>
                  <w:tcW w:w="5349" w:type="dxa"/>
                  <w:tcBorders>
                    <w:right w:val="single" w:color="auto" w:sz="4" w:space="0"/>
                  </w:tcBorders>
                  <w:shd w:val="clear" w:color="auto" w:fill="auto"/>
                  <w:vAlign w:val="center"/>
                </w:tcPr>
                <w:p w14:paraId="6BE341A7">
                  <w:pPr>
                    <w:pStyle w:val="61"/>
                    <w:keepNext w:val="0"/>
                    <w:keepLines w:val="0"/>
                    <w:suppressLineNumbers w:val="0"/>
                    <w:spacing w:before="24" w:beforeAutospacing="0" w:after="24"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位于</w:t>
                  </w:r>
                  <w:r>
                    <w:rPr>
                      <w:rFonts w:hint="eastAsia" w:ascii="Times New Roman"/>
                      <w:color w:val="auto"/>
                      <w:sz w:val="21"/>
                      <w:szCs w:val="21"/>
                      <w:highlight w:val="none"/>
                      <w:lang w:val="en-US" w:eastAsia="zh-CN"/>
                    </w:rPr>
                    <w:t>厂房外南侧</w:t>
                  </w:r>
                  <w:r>
                    <w:rPr>
                      <w:rFonts w:hint="default" w:ascii="Times New Roman"/>
                      <w:color w:val="auto"/>
                      <w:sz w:val="21"/>
                      <w:szCs w:val="21"/>
                      <w:highlight w:val="none"/>
                    </w:rPr>
                    <w:t>，</w:t>
                  </w:r>
                  <w:r>
                    <w:rPr>
                      <w:rFonts w:hint="eastAsia" w:ascii="Times New Roman"/>
                      <w:color w:val="auto"/>
                      <w:sz w:val="21"/>
                      <w:szCs w:val="21"/>
                      <w:highlight w:val="none"/>
                    </w:rPr>
                    <w:t>占地面积</w:t>
                  </w:r>
                  <w:r>
                    <w:rPr>
                      <w:rFonts w:hint="eastAsia" w:ascii="Times New Roman"/>
                      <w:color w:val="auto"/>
                      <w:sz w:val="21"/>
                      <w:szCs w:val="21"/>
                      <w:highlight w:val="none"/>
                      <w:lang w:val="en-US" w:eastAsia="zh-CN"/>
                    </w:rPr>
                    <w:t>4</w:t>
                  </w:r>
                  <w:r>
                    <w:rPr>
                      <w:rFonts w:hint="default" w:ascii="Times New Roman"/>
                      <w:color w:val="auto"/>
                      <w:sz w:val="21"/>
                      <w:szCs w:val="21"/>
                      <w:highlight w:val="none"/>
                    </w:rPr>
                    <w:t>m</w:t>
                  </w:r>
                  <w:r>
                    <w:rPr>
                      <w:rFonts w:hint="default" w:ascii="Times New Roman"/>
                      <w:color w:val="auto"/>
                      <w:sz w:val="21"/>
                      <w:szCs w:val="21"/>
                      <w:highlight w:val="none"/>
                      <w:vertAlign w:val="superscript"/>
                    </w:rPr>
                    <w:t>2</w:t>
                  </w:r>
                  <w:r>
                    <w:rPr>
                      <w:rFonts w:hint="default" w:ascii="Times New Roman"/>
                      <w:color w:val="auto"/>
                      <w:sz w:val="21"/>
                      <w:szCs w:val="21"/>
                      <w:highlight w:val="none"/>
                    </w:rPr>
                    <w:t>，用于</w:t>
                  </w:r>
                  <w:r>
                    <w:rPr>
                      <w:rFonts w:hint="eastAsia" w:ascii="Times New Roman"/>
                      <w:color w:val="auto"/>
                      <w:sz w:val="21"/>
                      <w:szCs w:val="21"/>
                      <w:highlight w:val="none"/>
                      <w:lang w:eastAsia="zh-CN"/>
                    </w:rPr>
                    <w:t>一般固废</w:t>
                  </w:r>
                  <w:r>
                    <w:rPr>
                      <w:rFonts w:hint="default" w:ascii="Times New Roman"/>
                      <w:color w:val="auto"/>
                      <w:sz w:val="21"/>
                      <w:szCs w:val="21"/>
                      <w:highlight w:val="none"/>
                    </w:rPr>
                    <w:t>废物的贮存</w:t>
                  </w:r>
                  <w:r>
                    <w:rPr>
                      <w:rFonts w:hint="eastAsia" w:ascii="Times New Roman"/>
                      <w:color w:val="auto"/>
                      <w:sz w:val="21"/>
                      <w:szCs w:val="21"/>
                      <w:highlight w:val="none"/>
                    </w:rPr>
                    <w:t>。</w:t>
                  </w:r>
                </w:p>
              </w:tc>
            </w:tr>
            <w:tr w14:paraId="45665C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90" w:type="dxa"/>
                  <w:vMerge w:val="continue"/>
                  <w:tcBorders>
                    <w:left w:val="single" w:color="auto" w:sz="4" w:space="0"/>
                  </w:tcBorders>
                  <w:vAlign w:val="center"/>
                </w:tcPr>
                <w:p w14:paraId="2610B8A5">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2189" w:type="dxa"/>
                  <w:gridSpan w:val="3"/>
                  <w:shd w:val="clear" w:color="auto" w:fill="auto"/>
                  <w:vAlign w:val="center"/>
                </w:tcPr>
                <w:p w14:paraId="5A4F7B94">
                  <w:pPr>
                    <w:pStyle w:val="61"/>
                    <w:keepNext w:val="0"/>
                    <w:keepLines w:val="0"/>
                    <w:suppressLineNumbers w:val="0"/>
                    <w:spacing w:before="24" w:beforeAutospacing="0" w:after="24" w:afterAutospacing="0" w:line="240" w:lineRule="auto"/>
                    <w:ind w:left="0" w:leftChars="0" w:right="0" w:rightChars="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危废暂存间</w:t>
                  </w:r>
                </w:p>
              </w:tc>
              <w:tc>
                <w:tcPr>
                  <w:tcW w:w="5349" w:type="dxa"/>
                  <w:tcBorders>
                    <w:right w:val="single" w:color="auto" w:sz="4" w:space="0"/>
                  </w:tcBorders>
                  <w:shd w:val="clear" w:color="auto" w:fill="auto"/>
                  <w:vAlign w:val="center"/>
                </w:tcPr>
                <w:p w14:paraId="600F20B6">
                  <w:pPr>
                    <w:pStyle w:val="61"/>
                    <w:keepNext w:val="0"/>
                    <w:keepLines w:val="0"/>
                    <w:suppressLineNumbers w:val="0"/>
                    <w:spacing w:before="24" w:beforeAutospacing="0" w:after="24" w:afterAutospacing="0" w:line="240" w:lineRule="auto"/>
                    <w:ind w:left="0" w:leftChars="0" w:right="0" w:rightChars="0" w:firstLine="0" w:firstLineChars="0"/>
                    <w:rPr>
                      <w:rFonts w:hint="default" w:ascii="Times New Roman"/>
                      <w:color w:val="auto"/>
                      <w:sz w:val="21"/>
                      <w:szCs w:val="21"/>
                      <w:highlight w:val="none"/>
                    </w:rPr>
                  </w:pPr>
                  <w:r>
                    <w:rPr>
                      <w:rFonts w:hint="default" w:ascii="Times New Roman"/>
                      <w:color w:val="auto"/>
                      <w:sz w:val="21"/>
                      <w:szCs w:val="21"/>
                      <w:highlight w:val="none"/>
                    </w:rPr>
                    <w:t>位于</w:t>
                  </w:r>
                  <w:r>
                    <w:rPr>
                      <w:rFonts w:hint="eastAsia" w:ascii="Times New Roman"/>
                      <w:color w:val="auto"/>
                      <w:sz w:val="21"/>
                      <w:szCs w:val="21"/>
                      <w:highlight w:val="none"/>
                      <w:lang w:val="en-US" w:eastAsia="zh-CN"/>
                    </w:rPr>
                    <w:t>厂房外东南角</w:t>
                  </w:r>
                  <w:r>
                    <w:rPr>
                      <w:rFonts w:hint="default" w:ascii="Times New Roman"/>
                      <w:color w:val="auto"/>
                      <w:sz w:val="21"/>
                      <w:szCs w:val="21"/>
                      <w:highlight w:val="none"/>
                    </w:rPr>
                    <w:t>，</w:t>
                  </w:r>
                  <w:r>
                    <w:rPr>
                      <w:rFonts w:hint="eastAsia" w:ascii="Times New Roman"/>
                      <w:color w:val="auto"/>
                      <w:sz w:val="21"/>
                      <w:szCs w:val="21"/>
                      <w:highlight w:val="none"/>
                    </w:rPr>
                    <w:t>占地面积3</w:t>
                  </w:r>
                  <w:r>
                    <w:rPr>
                      <w:rFonts w:hint="default" w:ascii="Times New Roman"/>
                      <w:color w:val="auto"/>
                      <w:sz w:val="21"/>
                      <w:szCs w:val="21"/>
                      <w:highlight w:val="none"/>
                    </w:rPr>
                    <w:t>m</w:t>
                  </w:r>
                  <w:r>
                    <w:rPr>
                      <w:rFonts w:hint="default" w:ascii="Times New Roman"/>
                      <w:color w:val="auto"/>
                      <w:sz w:val="21"/>
                      <w:szCs w:val="21"/>
                      <w:highlight w:val="none"/>
                      <w:vertAlign w:val="superscript"/>
                    </w:rPr>
                    <w:t>2</w:t>
                  </w:r>
                  <w:r>
                    <w:rPr>
                      <w:rFonts w:hint="default" w:ascii="Times New Roman"/>
                      <w:color w:val="auto"/>
                      <w:sz w:val="21"/>
                      <w:szCs w:val="21"/>
                      <w:highlight w:val="none"/>
                    </w:rPr>
                    <w:t>，用于</w:t>
                  </w:r>
                  <w:r>
                    <w:rPr>
                      <w:rFonts w:hint="eastAsia" w:ascii="Times New Roman"/>
                      <w:color w:val="auto"/>
                      <w:sz w:val="21"/>
                      <w:szCs w:val="21"/>
                      <w:highlight w:val="none"/>
                      <w:lang w:val="en-US" w:eastAsia="zh-CN"/>
                    </w:rPr>
                    <w:t>危险</w:t>
                  </w:r>
                  <w:r>
                    <w:rPr>
                      <w:rFonts w:hint="default" w:ascii="Times New Roman"/>
                      <w:color w:val="auto"/>
                      <w:sz w:val="21"/>
                      <w:szCs w:val="21"/>
                      <w:highlight w:val="none"/>
                    </w:rPr>
                    <w:t>废物的贮存</w:t>
                  </w:r>
                  <w:r>
                    <w:rPr>
                      <w:rFonts w:hint="eastAsia" w:ascii="Times New Roman"/>
                      <w:color w:val="auto"/>
                      <w:sz w:val="21"/>
                      <w:szCs w:val="21"/>
                      <w:highlight w:val="none"/>
                    </w:rPr>
                    <w:t>。</w:t>
                  </w:r>
                </w:p>
              </w:tc>
            </w:tr>
            <w:tr w14:paraId="47D699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restart"/>
                  <w:tcBorders>
                    <w:left w:val="single" w:color="auto" w:sz="4" w:space="0"/>
                  </w:tcBorders>
                  <w:vAlign w:val="center"/>
                </w:tcPr>
                <w:p w14:paraId="4103DE11">
                  <w:pPr>
                    <w:pStyle w:val="61"/>
                    <w:keepNext w:val="0"/>
                    <w:keepLines w:val="0"/>
                    <w:suppressLineNumbers w:val="0"/>
                    <w:spacing w:before="24" w:beforeAutospacing="0" w:after="24" w:afterAutospacing="0" w:line="240" w:lineRule="auto"/>
                    <w:ind w:left="0" w:right="0" w:firstLine="0" w:firstLineChars="0"/>
                    <w:rPr>
                      <w:rFonts w:hint="eastAsia"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储运工程</w:t>
                  </w:r>
                </w:p>
              </w:tc>
              <w:tc>
                <w:tcPr>
                  <w:tcW w:w="2189" w:type="dxa"/>
                  <w:gridSpan w:val="3"/>
                  <w:vAlign w:val="center"/>
                </w:tcPr>
                <w:p w14:paraId="090F1759">
                  <w:pPr>
                    <w:pStyle w:val="61"/>
                    <w:keepNext w:val="0"/>
                    <w:keepLines w:val="0"/>
                    <w:suppressLineNumbers w:val="0"/>
                    <w:spacing w:before="24" w:beforeAutospacing="0" w:after="24"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eastAsia="zh-CN"/>
                    </w:rPr>
                    <w:t>原材料区</w:t>
                  </w:r>
                </w:p>
              </w:tc>
              <w:tc>
                <w:tcPr>
                  <w:tcW w:w="5349" w:type="dxa"/>
                  <w:tcBorders>
                    <w:right w:val="single" w:color="auto" w:sz="4" w:space="0"/>
                  </w:tcBorders>
                  <w:vAlign w:val="center"/>
                </w:tcPr>
                <w:p w14:paraId="6CB6B661">
                  <w:pPr>
                    <w:pStyle w:val="61"/>
                    <w:keepNext w:val="0"/>
                    <w:keepLines w:val="0"/>
                    <w:suppressLineNumbers w:val="0"/>
                    <w:spacing w:before="24" w:beforeAutospacing="0" w:after="24"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200</w:t>
                  </w:r>
                  <w:r>
                    <w:rPr>
                      <w:rFonts w:hint="default" w:ascii="Times New Roman"/>
                      <w:color w:val="auto"/>
                      <w:sz w:val="21"/>
                      <w:szCs w:val="21"/>
                      <w:highlight w:val="none"/>
                    </w:rPr>
                    <w:t>m</w:t>
                  </w:r>
                  <w:r>
                    <w:rPr>
                      <w:rFonts w:hint="default" w:ascii="Times New Roman"/>
                      <w:color w:val="auto"/>
                      <w:sz w:val="21"/>
                      <w:szCs w:val="21"/>
                      <w:highlight w:val="none"/>
                      <w:vertAlign w:val="superscript"/>
                    </w:rPr>
                    <w:t>2</w:t>
                  </w:r>
                  <w:r>
                    <w:rPr>
                      <w:rFonts w:hint="eastAsia" w:ascii="Times New Roman"/>
                      <w:color w:val="auto"/>
                      <w:sz w:val="21"/>
                      <w:szCs w:val="21"/>
                      <w:highlight w:val="none"/>
                      <w:lang w:val="en-US" w:eastAsia="zh-CN"/>
                    </w:rPr>
                    <w:t>，位于生产车间西北侧，用于存储原料轮毂。</w:t>
                  </w:r>
                </w:p>
              </w:tc>
            </w:tr>
            <w:tr w14:paraId="761BBC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continue"/>
                  <w:tcBorders>
                    <w:left w:val="single" w:color="auto" w:sz="4" w:space="0"/>
                  </w:tcBorders>
                  <w:vAlign w:val="center"/>
                </w:tcPr>
                <w:p w14:paraId="7986FF91">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2189" w:type="dxa"/>
                  <w:gridSpan w:val="3"/>
                  <w:shd w:val="clear" w:color="auto" w:fill="auto"/>
                  <w:vAlign w:val="center"/>
                </w:tcPr>
                <w:p w14:paraId="13121B4C">
                  <w:pPr>
                    <w:pStyle w:val="61"/>
                    <w:keepNext w:val="0"/>
                    <w:keepLines w:val="0"/>
                    <w:suppressLineNumbers w:val="0"/>
                    <w:spacing w:before="24" w:beforeAutospacing="0" w:after="24"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成品区</w:t>
                  </w:r>
                </w:p>
              </w:tc>
              <w:tc>
                <w:tcPr>
                  <w:tcW w:w="5349" w:type="dxa"/>
                  <w:tcBorders>
                    <w:right w:val="single" w:color="auto" w:sz="4" w:space="0"/>
                  </w:tcBorders>
                  <w:shd w:val="clear" w:color="auto" w:fill="auto"/>
                  <w:vAlign w:val="center"/>
                </w:tcPr>
                <w:p w14:paraId="50A588DF">
                  <w:pPr>
                    <w:pStyle w:val="61"/>
                    <w:keepNext w:val="0"/>
                    <w:keepLines w:val="0"/>
                    <w:suppressLineNumbers w:val="0"/>
                    <w:spacing w:before="24" w:beforeAutospacing="0" w:after="24"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200</w:t>
                  </w:r>
                  <w:r>
                    <w:rPr>
                      <w:rFonts w:hint="default" w:ascii="Times New Roman"/>
                      <w:color w:val="auto"/>
                      <w:sz w:val="21"/>
                      <w:szCs w:val="21"/>
                      <w:highlight w:val="none"/>
                    </w:rPr>
                    <w:t>m</w:t>
                  </w:r>
                  <w:r>
                    <w:rPr>
                      <w:rFonts w:hint="default" w:ascii="Times New Roman"/>
                      <w:color w:val="auto"/>
                      <w:sz w:val="21"/>
                      <w:szCs w:val="21"/>
                      <w:highlight w:val="none"/>
                      <w:vertAlign w:val="superscript"/>
                    </w:rPr>
                    <w:t>2</w:t>
                  </w:r>
                  <w:r>
                    <w:rPr>
                      <w:rFonts w:hint="eastAsia" w:ascii="Times New Roman"/>
                      <w:color w:val="auto"/>
                      <w:sz w:val="21"/>
                      <w:szCs w:val="21"/>
                      <w:highlight w:val="none"/>
                      <w:lang w:val="en-US" w:eastAsia="zh-CN"/>
                    </w:rPr>
                    <w:t>，位于生产车间东北侧，用于成品暂存。</w:t>
                  </w:r>
                </w:p>
              </w:tc>
            </w:tr>
            <w:tr w14:paraId="74FE73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continue"/>
                  <w:tcBorders>
                    <w:left w:val="single" w:color="auto" w:sz="4" w:space="0"/>
                  </w:tcBorders>
                  <w:vAlign w:val="center"/>
                </w:tcPr>
                <w:p w14:paraId="54F6C0C9">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2189" w:type="dxa"/>
                  <w:gridSpan w:val="3"/>
                  <w:vAlign w:val="center"/>
                </w:tcPr>
                <w:p w14:paraId="076D1E1D">
                  <w:pPr>
                    <w:pStyle w:val="61"/>
                    <w:keepNext w:val="0"/>
                    <w:keepLines w:val="0"/>
                    <w:suppressLineNumbers w:val="0"/>
                    <w:spacing w:before="24" w:beforeAutospacing="0" w:after="24" w:afterAutospacing="0" w:line="240" w:lineRule="auto"/>
                    <w:ind w:left="0" w:right="0" w:firstLine="0" w:firstLineChars="0"/>
                    <w:rPr>
                      <w:rFonts w:hint="eastAsia"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运输</w:t>
                  </w:r>
                </w:p>
              </w:tc>
              <w:tc>
                <w:tcPr>
                  <w:tcW w:w="5349" w:type="dxa"/>
                  <w:tcBorders>
                    <w:right w:val="single" w:color="auto" w:sz="4" w:space="0"/>
                  </w:tcBorders>
                  <w:vAlign w:val="center"/>
                </w:tcPr>
                <w:p w14:paraId="5906A3E7">
                  <w:pPr>
                    <w:pStyle w:val="61"/>
                    <w:keepNext w:val="0"/>
                    <w:keepLines w:val="0"/>
                    <w:suppressLineNumbers w:val="0"/>
                    <w:spacing w:before="24" w:beforeAutospacing="0" w:after="24"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厂内运输使用一台叉车进行运输，原料与成品的运输均为原料厂家或委其他有资质单位运输</w:t>
                  </w:r>
                </w:p>
              </w:tc>
            </w:tr>
            <w:tr w14:paraId="266EC4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restart"/>
                  <w:tcBorders>
                    <w:left w:val="single" w:color="auto" w:sz="4" w:space="0"/>
                  </w:tcBorders>
                  <w:vAlign w:val="center"/>
                </w:tcPr>
                <w:p w14:paraId="029B2261">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公用工程</w:t>
                  </w:r>
                </w:p>
              </w:tc>
              <w:tc>
                <w:tcPr>
                  <w:tcW w:w="2189" w:type="dxa"/>
                  <w:gridSpan w:val="3"/>
                  <w:shd w:val="clear" w:color="auto" w:fill="auto"/>
                  <w:vAlign w:val="center"/>
                </w:tcPr>
                <w:p w14:paraId="148287CE">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bCs/>
                      <w:color w:val="auto"/>
                      <w:szCs w:val="21"/>
                      <w:highlight w:val="none"/>
                    </w:rPr>
                    <w:t>供电工程</w:t>
                  </w:r>
                </w:p>
              </w:tc>
              <w:tc>
                <w:tcPr>
                  <w:tcW w:w="5349" w:type="dxa"/>
                  <w:tcBorders>
                    <w:right w:val="single" w:color="auto" w:sz="4" w:space="0"/>
                  </w:tcBorders>
                  <w:shd w:val="clear" w:color="auto" w:fill="auto"/>
                  <w:vAlign w:val="center"/>
                </w:tcPr>
                <w:p w14:paraId="6EA0B5E3">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bCs/>
                      <w:color w:val="auto"/>
                      <w:szCs w:val="21"/>
                      <w:highlight w:val="none"/>
                    </w:rPr>
                    <w:t>秦皇岛市政电网</w:t>
                  </w:r>
                </w:p>
              </w:tc>
            </w:tr>
            <w:tr w14:paraId="702790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continue"/>
                  <w:tcBorders>
                    <w:left w:val="single" w:color="auto" w:sz="4" w:space="0"/>
                  </w:tcBorders>
                  <w:vAlign w:val="center"/>
                </w:tcPr>
                <w:p w14:paraId="032F23AB">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2189" w:type="dxa"/>
                  <w:gridSpan w:val="3"/>
                  <w:shd w:val="clear" w:color="auto" w:fill="auto"/>
                  <w:vAlign w:val="center"/>
                </w:tcPr>
                <w:p w14:paraId="556C8579">
                  <w:pPr>
                    <w:keepNext w:val="0"/>
                    <w:keepLines w:val="0"/>
                    <w:suppressLineNumbers w:val="0"/>
                    <w:adjustRightInd w:val="0"/>
                    <w:snapToGrid w:val="0"/>
                    <w:spacing w:before="0" w:beforeAutospacing="0" w:after="0" w:afterAutospacing="0"/>
                    <w:ind w:left="0" w:right="0"/>
                    <w:jc w:val="center"/>
                    <w:rPr>
                      <w:rFonts w:hint="default" w:eastAsia="宋体"/>
                      <w:bCs/>
                      <w:color w:val="auto"/>
                      <w:szCs w:val="21"/>
                      <w:highlight w:val="none"/>
                      <w:lang w:val="en-US" w:eastAsia="zh-CN"/>
                    </w:rPr>
                  </w:pPr>
                  <w:r>
                    <w:rPr>
                      <w:rFonts w:hint="eastAsia"/>
                      <w:bCs/>
                      <w:color w:val="auto"/>
                      <w:szCs w:val="21"/>
                      <w:highlight w:val="none"/>
                      <w:lang w:val="en-US" w:eastAsia="zh-CN"/>
                    </w:rPr>
                    <w:t>供暖工程</w:t>
                  </w:r>
                </w:p>
              </w:tc>
              <w:tc>
                <w:tcPr>
                  <w:tcW w:w="5349" w:type="dxa"/>
                  <w:tcBorders>
                    <w:right w:val="single" w:color="auto" w:sz="4" w:space="0"/>
                  </w:tcBorders>
                  <w:shd w:val="clear" w:color="auto" w:fill="auto"/>
                  <w:vAlign w:val="center"/>
                </w:tcPr>
                <w:p w14:paraId="74105483">
                  <w:pPr>
                    <w:keepNext w:val="0"/>
                    <w:keepLines w:val="0"/>
                    <w:suppressLineNumbers w:val="0"/>
                    <w:adjustRightInd w:val="0"/>
                    <w:snapToGrid w:val="0"/>
                    <w:spacing w:before="0" w:beforeAutospacing="0" w:after="0" w:afterAutospacing="0"/>
                    <w:ind w:left="0" w:right="0"/>
                    <w:jc w:val="center"/>
                    <w:rPr>
                      <w:rFonts w:hint="eastAsia" w:eastAsia="宋体"/>
                      <w:bCs/>
                      <w:color w:val="auto"/>
                      <w:szCs w:val="21"/>
                      <w:highlight w:val="none"/>
                      <w:lang w:val="en-US" w:eastAsia="zh-CN"/>
                    </w:rPr>
                  </w:pPr>
                  <w:r>
                    <w:rPr>
                      <w:rFonts w:hint="eastAsia"/>
                      <w:bCs/>
                      <w:color w:val="auto"/>
                      <w:szCs w:val="21"/>
                      <w:highlight w:val="none"/>
                      <w:lang w:val="en-US" w:eastAsia="zh-CN"/>
                    </w:rPr>
                    <w:t>空气能</w:t>
                  </w:r>
                </w:p>
              </w:tc>
            </w:tr>
            <w:tr w14:paraId="055A3E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continue"/>
                  <w:tcBorders>
                    <w:left w:val="single" w:color="auto" w:sz="4" w:space="0"/>
                  </w:tcBorders>
                  <w:vAlign w:val="center"/>
                </w:tcPr>
                <w:p w14:paraId="2B826777">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2189" w:type="dxa"/>
                  <w:gridSpan w:val="3"/>
                  <w:shd w:val="clear" w:color="auto" w:fill="auto"/>
                  <w:vAlign w:val="center"/>
                </w:tcPr>
                <w:p w14:paraId="42780281">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供水系统</w:t>
                  </w:r>
                </w:p>
              </w:tc>
              <w:tc>
                <w:tcPr>
                  <w:tcW w:w="5349" w:type="dxa"/>
                  <w:tcBorders>
                    <w:right w:val="single" w:color="auto" w:sz="4" w:space="0"/>
                  </w:tcBorders>
                  <w:shd w:val="clear" w:color="auto" w:fill="auto"/>
                  <w:vAlign w:val="center"/>
                </w:tcPr>
                <w:p w14:paraId="1104EF3A">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秦皇岛市政自来水管网</w:t>
                  </w:r>
                </w:p>
              </w:tc>
            </w:tr>
            <w:tr w14:paraId="25CC56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continue"/>
                  <w:tcBorders>
                    <w:left w:val="single" w:color="auto" w:sz="4" w:space="0"/>
                  </w:tcBorders>
                  <w:vAlign w:val="center"/>
                </w:tcPr>
                <w:p w14:paraId="72289AFC">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2189" w:type="dxa"/>
                  <w:gridSpan w:val="3"/>
                  <w:shd w:val="clear" w:color="auto" w:fill="auto"/>
                  <w:vAlign w:val="center"/>
                </w:tcPr>
                <w:p w14:paraId="1ACEA531">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排水系统</w:t>
                  </w:r>
                </w:p>
              </w:tc>
              <w:tc>
                <w:tcPr>
                  <w:tcW w:w="5349" w:type="dxa"/>
                  <w:tcBorders>
                    <w:right w:val="single" w:color="auto" w:sz="4" w:space="0"/>
                  </w:tcBorders>
                  <w:shd w:val="clear" w:color="auto" w:fill="auto"/>
                  <w:vAlign w:val="center"/>
                </w:tcPr>
                <w:p w14:paraId="04A41528">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秦皇岛市政雨水管网和污水管网</w:t>
                  </w:r>
                </w:p>
              </w:tc>
            </w:tr>
            <w:tr w14:paraId="209C8E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restart"/>
                  <w:tcBorders>
                    <w:left w:val="single" w:color="auto" w:sz="4" w:space="0"/>
                  </w:tcBorders>
                  <w:vAlign w:val="center"/>
                </w:tcPr>
                <w:p w14:paraId="2B205F52">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环保工程</w:t>
                  </w:r>
                </w:p>
              </w:tc>
              <w:tc>
                <w:tcPr>
                  <w:tcW w:w="503" w:type="dxa"/>
                  <w:vAlign w:val="center"/>
                </w:tcPr>
                <w:p w14:paraId="13F5A44F">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废气</w:t>
                  </w:r>
                </w:p>
              </w:tc>
              <w:tc>
                <w:tcPr>
                  <w:tcW w:w="1686" w:type="dxa"/>
                  <w:gridSpan w:val="2"/>
                  <w:vAlign w:val="center"/>
                </w:tcPr>
                <w:p w14:paraId="51AD242B">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lang w:eastAsia="zh-CN"/>
                    </w:rPr>
                    <w:t>打磨抛光</w:t>
                  </w:r>
                </w:p>
              </w:tc>
              <w:tc>
                <w:tcPr>
                  <w:tcW w:w="5349" w:type="dxa"/>
                  <w:tcBorders>
                    <w:right w:val="single" w:color="auto" w:sz="4" w:space="0"/>
                  </w:tcBorders>
                  <w:vAlign w:val="center"/>
                </w:tcPr>
                <w:p w14:paraId="7A516BAC">
                  <w:pPr>
                    <w:pStyle w:val="61"/>
                    <w:keepNext w:val="0"/>
                    <w:keepLines w:val="0"/>
                    <w:suppressLineNumbers w:val="0"/>
                    <w:spacing w:before="24" w:beforeAutospacing="0" w:after="24"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color w:val="auto"/>
                      <w:sz w:val="21"/>
                      <w:szCs w:val="21"/>
                      <w:highlight w:val="none"/>
                      <w:lang w:eastAsia="zh-CN"/>
                    </w:rPr>
                    <w:t>打磨抛光</w:t>
                  </w:r>
                  <w:r>
                    <w:rPr>
                      <w:rFonts w:hint="eastAsia"/>
                      <w:color w:val="auto"/>
                      <w:sz w:val="21"/>
                      <w:szCs w:val="21"/>
                      <w:highlight w:val="none"/>
                      <w:lang w:val="en-US" w:eastAsia="zh-CN"/>
                    </w:rPr>
                    <w:t>产生的</w:t>
                  </w:r>
                  <w:r>
                    <w:rPr>
                      <w:rFonts w:hint="eastAsia"/>
                      <w:bCs/>
                      <w:color w:val="auto"/>
                      <w:kern w:val="2"/>
                      <w:sz w:val="21"/>
                      <w:szCs w:val="21"/>
                      <w:highlight w:val="none"/>
                      <w:lang w:val="en-US" w:eastAsia="zh-CN"/>
                    </w:rPr>
                    <w:t>粉尘采用负压收集后送至环保抛光打磨湿式一体机“多层水帘幕”过滤处理</w:t>
                  </w:r>
                  <w:r>
                    <w:rPr>
                      <w:rFonts w:hint="eastAsia" w:ascii="Times New Roman"/>
                      <w:bCs/>
                      <w:color w:val="auto"/>
                      <w:kern w:val="2"/>
                      <w:sz w:val="21"/>
                      <w:szCs w:val="21"/>
                      <w:highlight w:val="none"/>
                      <w:lang w:eastAsia="zh-CN"/>
                    </w:rPr>
                    <w:t>，处理效率可达</w:t>
                  </w:r>
                  <w:r>
                    <w:rPr>
                      <w:rFonts w:hint="eastAsia" w:ascii="Times New Roman"/>
                      <w:bCs/>
                      <w:color w:val="auto"/>
                      <w:kern w:val="2"/>
                      <w:sz w:val="21"/>
                      <w:szCs w:val="21"/>
                      <w:highlight w:val="none"/>
                      <w:lang w:val="en-US" w:eastAsia="zh-CN"/>
                    </w:rPr>
                    <w:t>95%以上。</w:t>
                  </w:r>
                </w:p>
              </w:tc>
            </w:tr>
            <w:tr w14:paraId="340D46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0" w:type="dxa"/>
                  <w:vMerge w:val="continue"/>
                  <w:tcBorders>
                    <w:left w:val="single" w:color="auto" w:sz="4" w:space="0"/>
                  </w:tcBorders>
                  <w:vAlign w:val="center"/>
                </w:tcPr>
                <w:p w14:paraId="6FE20A38">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03" w:type="dxa"/>
                  <w:vMerge w:val="restart"/>
                  <w:vAlign w:val="center"/>
                </w:tcPr>
                <w:p w14:paraId="4DAF0486">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废水</w:t>
                  </w:r>
                </w:p>
              </w:tc>
              <w:tc>
                <w:tcPr>
                  <w:tcW w:w="1686" w:type="dxa"/>
                  <w:gridSpan w:val="2"/>
                  <w:vAlign w:val="center"/>
                </w:tcPr>
                <w:p w14:paraId="4E4D5E06">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生活污水</w:t>
                  </w:r>
                </w:p>
              </w:tc>
              <w:tc>
                <w:tcPr>
                  <w:tcW w:w="5349" w:type="dxa"/>
                  <w:tcBorders>
                    <w:right w:val="single" w:color="auto" w:sz="4" w:space="0"/>
                  </w:tcBorders>
                  <w:vAlign w:val="center"/>
                </w:tcPr>
                <w:p w14:paraId="091CE1C0">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经化粪池处理后进入开发区污水管网，最后由</w:t>
                  </w:r>
                  <w:r>
                    <w:rPr>
                      <w:rFonts w:hint="eastAsia" w:ascii="Times New Roman"/>
                      <w:color w:val="auto"/>
                      <w:sz w:val="21"/>
                      <w:szCs w:val="21"/>
                      <w:highlight w:val="none"/>
                      <w:lang w:val="en-US" w:eastAsia="zh-CN"/>
                    </w:rPr>
                    <w:t>秦皇岛市第三</w:t>
                  </w:r>
                  <w:r>
                    <w:rPr>
                      <w:rFonts w:hint="eastAsia" w:ascii="Times New Roman"/>
                      <w:color w:val="auto"/>
                      <w:sz w:val="21"/>
                      <w:szCs w:val="21"/>
                      <w:highlight w:val="none"/>
                    </w:rPr>
                    <w:t>污水处理厂</w:t>
                  </w:r>
                  <w:r>
                    <w:rPr>
                      <w:rFonts w:hint="default" w:ascii="Times New Roman"/>
                      <w:color w:val="auto"/>
                      <w:sz w:val="21"/>
                      <w:szCs w:val="21"/>
                      <w:highlight w:val="none"/>
                    </w:rPr>
                    <w:t>进行处理</w:t>
                  </w:r>
                  <w:r>
                    <w:rPr>
                      <w:rFonts w:hint="eastAsia" w:ascii="Times New Roman"/>
                      <w:color w:val="auto"/>
                      <w:sz w:val="21"/>
                      <w:szCs w:val="21"/>
                      <w:highlight w:val="none"/>
                    </w:rPr>
                    <w:t>。</w:t>
                  </w:r>
                </w:p>
              </w:tc>
            </w:tr>
            <w:tr w14:paraId="0DCA2F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0" w:type="dxa"/>
                  <w:vMerge w:val="continue"/>
                  <w:tcBorders>
                    <w:left w:val="single" w:color="auto" w:sz="4" w:space="0"/>
                  </w:tcBorders>
                  <w:vAlign w:val="center"/>
                </w:tcPr>
                <w:p w14:paraId="7C644407">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03" w:type="dxa"/>
                  <w:vMerge w:val="continue"/>
                  <w:vAlign w:val="center"/>
                </w:tcPr>
                <w:p w14:paraId="2D92C624">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1686" w:type="dxa"/>
                  <w:gridSpan w:val="2"/>
                  <w:vAlign w:val="center"/>
                </w:tcPr>
                <w:p w14:paraId="72C827D2">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生产废水</w:t>
                  </w:r>
                </w:p>
              </w:tc>
              <w:tc>
                <w:tcPr>
                  <w:tcW w:w="5349" w:type="dxa"/>
                  <w:tcBorders>
                    <w:right w:val="single" w:color="auto" w:sz="4" w:space="0"/>
                  </w:tcBorders>
                  <w:vAlign w:val="center"/>
                </w:tcPr>
                <w:p w14:paraId="03AC8DD7">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lang w:eastAsia="zh-CN"/>
                    </w:rPr>
                    <w:t>除尘</w:t>
                  </w:r>
                  <w:r>
                    <w:rPr>
                      <w:rFonts w:hint="eastAsia" w:ascii="Times New Roman"/>
                      <w:color w:val="auto"/>
                      <w:sz w:val="21"/>
                      <w:szCs w:val="21"/>
                      <w:highlight w:val="none"/>
                      <w:lang w:val="en-US" w:eastAsia="zh-CN"/>
                    </w:rPr>
                    <w:t>废</w:t>
                  </w:r>
                  <w:r>
                    <w:rPr>
                      <w:rFonts w:hint="eastAsia" w:ascii="Times New Roman"/>
                      <w:color w:val="auto"/>
                      <w:sz w:val="21"/>
                      <w:szCs w:val="21"/>
                      <w:highlight w:val="none"/>
                      <w:lang w:eastAsia="zh-CN"/>
                    </w:rPr>
                    <w:t>水经三级</w:t>
                  </w:r>
                  <w:r>
                    <w:rPr>
                      <w:rFonts w:hint="eastAsia" w:ascii="Times New Roman"/>
                      <w:color w:val="auto"/>
                      <w:sz w:val="21"/>
                      <w:szCs w:val="21"/>
                      <w:highlight w:val="none"/>
                      <w:lang w:val="en-US" w:eastAsia="zh-CN"/>
                    </w:rPr>
                    <w:t>过滤</w:t>
                  </w:r>
                  <w:r>
                    <w:rPr>
                      <w:rFonts w:hint="eastAsia" w:ascii="Times New Roman"/>
                      <w:color w:val="auto"/>
                      <w:sz w:val="21"/>
                      <w:szCs w:val="21"/>
                      <w:highlight w:val="none"/>
                      <w:lang w:eastAsia="zh-CN"/>
                    </w:rPr>
                    <w:t>池</w:t>
                  </w:r>
                  <w:r>
                    <w:rPr>
                      <w:rFonts w:hint="eastAsia" w:ascii="Times New Roman"/>
                      <w:color w:val="auto"/>
                      <w:sz w:val="21"/>
                      <w:szCs w:val="21"/>
                      <w:highlight w:val="none"/>
                      <w:lang w:val="en-US" w:eastAsia="zh-CN"/>
                    </w:rPr>
                    <w:t>过滤</w:t>
                  </w:r>
                  <w:r>
                    <w:rPr>
                      <w:rFonts w:hint="eastAsia" w:ascii="Times New Roman"/>
                      <w:color w:val="auto"/>
                      <w:sz w:val="21"/>
                      <w:szCs w:val="21"/>
                      <w:highlight w:val="none"/>
                      <w:lang w:eastAsia="zh-CN"/>
                    </w:rPr>
                    <w:t>后的清水回用于除尘系统</w:t>
                  </w:r>
                  <w:r>
                    <w:rPr>
                      <w:rFonts w:hint="eastAsia" w:ascii="Times New Roman"/>
                      <w:color w:val="auto"/>
                      <w:sz w:val="21"/>
                      <w:szCs w:val="21"/>
                      <w:highlight w:val="none"/>
                    </w:rPr>
                    <w:t>，</w:t>
                  </w:r>
                  <w:r>
                    <w:rPr>
                      <w:rFonts w:hint="eastAsia" w:ascii="Times New Roman"/>
                      <w:color w:val="auto"/>
                      <w:sz w:val="21"/>
                      <w:szCs w:val="21"/>
                      <w:highlight w:val="none"/>
                      <w:lang w:eastAsia="zh-CN"/>
                    </w:rPr>
                    <w:t>清洗</w:t>
                  </w:r>
                  <w:r>
                    <w:rPr>
                      <w:rFonts w:hint="eastAsia" w:ascii="Times New Roman"/>
                      <w:color w:val="auto"/>
                      <w:sz w:val="21"/>
                      <w:szCs w:val="21"/>
                      <w:highlight w:val="none"/>
                      <w:lang w:val="en-US" w:eastAsia="zh-CN"/>
                    </w:rPr>
                    <w:t>废</w:t>
                  </w:r>
                  <w:r>
                    <w:rPr>
                      <w:rFonts w:hint="eastAsia" w:ascii="Times New Roman"/>
                      <w:color w:val="auto"/>
                      <w:sz w:val="21"/>
                      <w:szCs w:val="21"/>
                      <w:highlight w:val="none"/>
                      <w:lang w:eastAsia="zh-CN"/>
                    </w:rPr>
                    <w:t>水经“</w:t>
                  </w:r>
                  <w:r>
                    <w:rPr>
                      <w:rFonts w:hint="eastAsia" w:ascii="Times New Roman"/>
                      <w:color w:val="auto"/>
                      <w:sz w:val="21"/>
                      <w:szCs w:val="21"/>
                      <w:highlight w:val="none"/>
                      <w:lang w:val="en-US" w:eastAsia="zh-CN"/>
                    </w:rPr>
                    <w:t>破乳-絮凝-沉淀</w:t>
                  </w:r>
                  <w:r>
                    <w:rPr>
                      <w:rFonts w:hint="eastAsia" w:ascii="Times New Roman"/>
                      <w:color w:val="auto"/>
                      <w:sz w:val="21"/>
                      <w:szCs w:val="21"/>
                      <w:highlight w:val="none"/>
                      <w:lang w:eastAsia="zh-CN"/>
                    </w:rPr>
                    <w:t>”处理后</w:t>
                  </w:r>
                  <w:r>
                    <w:rPr>
                      <w:rFonts w:hint="default" w:ascii="Times New Roman"/>
                      <w:color w:val="auto"/>
                      <w:sz w:val="21"/>
                      <w:szCs w:val="21"/>
                      <w:highlight w:val="none"/>
                    </w:rPr>
                    <w:t>进入开发区污水管网</w:t>
                  </w:r>
                  <w:r>
                    <w:rPr>
                      <w:rFonts w:hint="eastAsia" w:ascii="Times New Roman"/>
                      <w:color w:val="auto"/>
                      <w:sz w:val="21"/>
                      <w:szCs w:val="21"/>
                      <w:highlight w:val="none"/>
                      <w:lang w:eastAsia="zh-CN"/>
                    </w:rPr>
                    <w:t>，</w:t>
                  </w:r>
                  <w:r>
                    <w:rPr>
                      <w:rFonts w:hint="default" w:ascii="Times New Roman"/>
                      <w:color w:val="auto"/>
                      <w:sz w:val="21"/>
                      <w:szCs w:val="21"/>
                      <w:highlight w:val="none"/>
                    </w:rPr>
                    <w:t>最后</w:t>
                  </w:r>
                  <w:r>
                    <w:rPr>
                      <w:rFonts w:hint="eastAsia" w:ascii="Times New Roman"/>
                      <w:color w:val="auto"/>
                      <w:sz w:val="21"/>
                      <w:szCs w:val="21"/>
                      <w:highlight w:val="none"/>
                      <w:lang w:eastAsia="zh-CN"/>
                    </w:rPr>
                    <w:t>排入</w:t>
                  </w:r>
                  <w:r>
                    <w:rPr>
                      <w:rFonts w:hint="eastAsia" w:ascii="Times New Roman"/>
                      <w:color w:val="auto"/>
                      <w:sz w:val="21"/>
                      <w:szCs w:val="21"/>
                      <w:highlight w:val="none"/>
                      <w:lang w:val="en-US" w:eastAsia="zh-CN"/>
                    </w:rPr>
                    <w:t>秦皇岛市第三</w:t>
                  </w:r>
                  <w:r>
                    <w:rPr>
                      <w:rFonts w:hint="eastAsia" w:ascii="Times New Roman"/>
                      <w:color w:val="auto"/>
                      <w:sz w:val="21"/>
                      <w:szCs w:val="21"/>
                      <w:highlight w:val="none"/>
                      <w:lang w:eastAsia="zh-CN"/>
                    </w:rPr>
                    <w:t>污</w:t>
                  </w:r>
                  <w:r>
                    <w:rPr>
                      <w:rFonts w:hint="eastAsia" w:ascii="Times New Roman"/>
                      <w:color w:val="auto"/>
                      <w:sz w:val="21"/>
                      <w:szCs w:val="21"/>
                      <w:highlight w:val="none"/>
                    </w:rPr>
                    <w:t>水处理厂</w:t>
                  </w:r>
                  <w:r>
                    <w:rPr>
                      <w:rFonts w:hint="default" w:ascii="Times New Roman"/>
                      <w:color w:val="auto"/>
                      <w:sz w:val="21"/>
                      <w:szCs w:val="21"/>
                      <w:highlight w:val="none"/>
                    </w:rPr>
                    <w:t>进行处理</w:t>
                  </w:r>
                  <w:r>
                    <w:rPr>
                      <w:rFonts w:hint="eastAsia" w:ascii="Times New Roman"/>
                      <w:color w:val="auto"/>
                      <w:sz w:val="21"/>
                      <w:szCs w:val="21"/>
                      <w:highlight w:val="none"/>
                    </w:rPr>
                    <w:t>。</w:t>
                  </w:r>
                </w:p>
              </w:tc>
            </w:tr>
            <w:tr w14:paraId="435AF8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0" w:type="dxa"/>
                  <w:vMerge w:val="continue"/>
                  <w:tcBorders>
                    <w:left w:val="single" w:color="auto" w:sz="4" w:space="0"/>
                  </w:tcBorders>
                  <w:vAlign w:val="center"/>
                </w:tcPr>
                <w:p w14:paraId="209F2625">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03" w:type="dxa"/>
                  <w:vAlign w:val="center"/>
                </w:tcPr>
                <w:p w14:paraId="1487263F">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噪声</w:t>
                  </w:r>
                </w:p>
              </w:tc>
              <w:tc>
                <w:tcPr>
                  <w:tcW w:w="1686" w:type="dxa"/>
                  <w:gridSpan w:val="2"/>
                  <w:vAlign w:val="center"/>
                </w:tcPr>
                <w:p w14:paraId="1FD2F955">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设备噪声</w:t>
                  </w:r>
                </w:p>
              </w:tc>
              <w:tc>
                <w:tcPr>
                  <w:tcW w:w="5349" w:type="dxa"/>
                  <w:tcBorders>
                    <w:right w:val="single" w:color="auto" w:sz="4" w:space="0"/>
                  </w:tcBorders>
                  <w:vAlign w:val="center"/>
                </w:tcPr>
                <w:p w14:paraId="7BB3FF6D">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设备采用基础减震，均置于室内，利用建筑隔声等措施</w:t>
                  </w:r>
                </w:p>
              </w:tc>
            </w:tr>
            <w:tr w14:paraId="747C42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continue"/>
                  <w:tcBorders>
                    <w:left w:val="single" w:color="auto" w:sz="4" w:space="0"/>
                  </w:tcBorders>
                  <w:vAlign w:val="center"/>
                </w:tcPr>
                <w:p w14:paraId="1404C26D">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03" w:type="dxa"/>
                  <w:vMerge w:val="restart"/>
                  <w:vAlign w:val="center"/>
                </w:tcPr>
                <w:p w14:paraId="15A394AF">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固废</w:t>
                  </w:r>
                </w:p>
              </w:tc>
              <w:tc>
                <w:tcPr>
                  <w:tcW w:w="1686" w:type="dxa"/>
                  <w:gridSpan w:val="2"/>
                  <w:vAlign w:val="center"/>
                </w:tcPr>
                <w:p w14:paraId="72C2E4E7">
                  <w:pPr>
                    <w:pStyle w:val="61"/>
                    <w:keepNext w:val="0"/>
                    <w:keepLines w:val="0"/>
                    <w:suppressLineNumbers w:val="0"/>
                    <w:spacing w:before="24" w:beforeAutospacing="0" w:after="24" w:afterAutospacing="0" w:line="240" w:lineRule="auto"/>
                    <w:ind w:left="0" w:leftChars="0" w:right="0" w:rightChars="0" w:firstLine="0" w:firstLineChars="0"/>
                    <w:rPr>
                      <w:rFonts w:hint="default" w:ascii="Times New Roman"/>
                      <w:color w:val="auto"/>
                      <w:sz w:val="21"/>
                      <w:szCs w:val="21"/>
                      <w:highlight w:val="none"/>
                    </w:rPr>
                  </w:pPr>
                  <w:r>
                    <w:rPr>
                      <w:rFonts w:hint="default" w:ascii="Times New Roman"/>
                      <w:color w:val="auto"/>
                      <w:sz w:val="21"/>
                      <w:szCs w:val="21"/>
                      <w:highlight w:val="none"/>
                    </w:rPr>
                    <w:t>生活垃圾</w:t>
                  </w:r>
                </w:p>
              </w:tc>
              <w:tc>
                <w:tcPr>
                  <w:tcW w:w="5349" w:type="dxa"/>
                  <w:vMerge w:val="restart"/>
                  <w:tcBorders>
                    <w:right w:val="single" w:color="auto" w:sz="4" w:space="0"/>
                  </w:tcBorders>
                  <w:vAlign w:val="center"/>
                </w:tcPr>
                <w:p w14:paraId="6FCBB218">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统一收集后送至环卫部门指定地点</w:t>
                  </w:r>
                </w:p>
              </w:tc>
            </w:tr>
            <w:tr w14:paraId="2328A9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continue"/>
                  <w:tcBorders>
                    <w:left w:val="single" w:color="auto" w:sz="4" w:space="0"/>
                  </w:tcBorders>
                  <w:vAlign w:val="center"/>
                </w:tcPr>
                <w:p w14:paraId="5E14A9FF">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03" w:type="dxa"/>
                  <w:vMerge w:val="continue"/>
                  <w:vAlign w:val="center"/>
                </w:tcPr>
                <w:p w14:paraId="48A822C4">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25" w:type="dxa"/>
                  <w:vMerge w:val="restart"/>
                  <w:vAlign w:val="center"/>
                </w:tcPr>
                <w:p w14:paraId="032A20BA">
                  <w:pPr>
                    <w:pStyle w:val="61"/>
                    <w:keepNext w:val="0"/>
                    <w:keepLines w:val="0"/>
                    <w:suppressLineNumbers w:val="0"/>
                    <w:spacing w:before="24" w:beforeAutospacing="0" w:after="24" w:afterAutospacing="0" w:line="240" w:lineRule="auto"/>
                    <w:ind w:left="0" w:right="0" w:firstLine="0" w:firstLineChars="0"/>
                    <w:rPr>
                      <w:rFonts w:hint="eastAsia" w:ascii="Times New Roman" w:eastAsia="宋体"/>
                      <w:color w:val="auto"/>
                      <w:sz w:val="21"/>
                      <w:szCs w:val="21"/>
                      <w:highlight w:val="none"/>
                      <w:lang w:eastAsia="zh-CN"/>
                    </w:rPr>
                  </w:pPr>
                  <w:r>
                    <w:rPr>
                      <w:rFonts w:hint="eastAsia" w:ascii="Times New Roman"/>
                      <w:color w:val="auto"/>
                      <w:sz w:val="21"/>
                      <w:szCs w:val="21"/>
                      <w:highlight w:val="none"/>
                      <w:lang w:val="en-US" w:eastAsia="zh-CN"/>
                    </w:rPr>
                    <w:t>一般固废</w:t>
                  </w:r>
                </w:p>
              </w:tc>
              <w:tc>
                <w:tcPr>
                  <w:tcW w:w="1161" w:type="dxa"/>
                  <w:vAlign w:val="center"/>
                </w:tcPr>
                <w:p w14:paraId="0C18C7E2">
                  <w:pPr>
                    <w:pStyle w:val="61"/>
                    <w:keepNext w:val="0"/>
                    <w:keepLines w:val="0"/>
                    <w:suppressLineNumbers w:val="0"/>
                    <w:spacing w:before="24" w:beforeAutospacing="0" w:after="24" w:afterAutospacing="0" w:line="240" w:lineRule="auto"/>
                    <w:ind w:left="0" w:leftChars="0" w:right="0" w:rightChars="0" w:firstLine="0" w:firstLineChars="0"/>
                    <w:rPr>
                      <w:rFonts w:hint="eastAsia" w:ascii="Times New Roman"/>
                      <w:color w:val="auto"/>
                      <w:sz w:val="21"/>
                      <w:szCs w:val="21"/>
                      <w:highlight w:val="none"/>
                      <w:lang w:eastAsia="zh-CN"/>
                    </w:rPr>
                  </w:pPr>
                  <w:r>
                    <w:rPr>
                      <w:rFonts w:hint="eastAsia" w:ascii="Times New Roman"/>
                      <w:color w:val="auto"/>
                      <w:sz w:val="21"/>
                      <w:szCs w:val="21"/>
                      <w:highlight w:val="none"/>
                      <w:lang w:eastAsia="zh-CN"/>
                    </w:rPr>
                    <w:t>废砂布</w:t>
                  </w:r>
                </w:p>
              </w:tc>
              <w:tc>
                <w:tcPr>
                  <w:tcW w:w="5349" w:type="dxa"/>
                  <w:vMerge w:val="continue"/>
                  <w:tcBorders>
                    <w:right w:val="single" w:color="auto" w:sz="4" w:space="0"/>
                  </w:tcBorders>
                  <w:vAlign w:val="center"/>
                </w:tcPr>
                <w:p w14:paraId="453EF456">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r>
            <w:tr w14:paraId="01F38E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continue"/>
                  <w:tcBorders>
                    <w:left w:val="single" w:color="auto" w:sz="4" w:space="0"/>
                  </w:tcBorders>
                  <w:vAlign w:val="center"/>
                </w:tcPr>
                <w:p w14:paraId="7CC2746D">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03" w:type="dxa"/>
                  <w:vMerge w:val="continue"/>
                  <w:vAlign w:val="center"/>
                </w:tcPr>
                <w:p w14:paraId="3B8863AF">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25" w:type="dxa"/>
                  <w:vMerge w:val="continue"/>
                  <w:vAlign w:val="center"/>
                </w:tcPr>
                <w:p w14:paraId="6D4F855D">
                  <w:pPr>
                    <w:pStyle w:val="61"/>
                    <w:keepNext w:val="0"/>
                    <w:keepLines w:val="0"/>
                    <w:suppressLineNumbers w:val="0"/>
                    <w:spacing w:before="24" w:beforeAutospacing="0" w:after="24" w:afterAutospacing="0" w:line="240" w:lineRule="auto"/>
                    <w:ind w:left="0" w:right="0" w:firstLine="0" w:firstLineChars="0"/>
                    <w:rPr>
                      <w:rFonts w:hint="eastAsia" w:ascii="Times New Roman"/>
                      <w:color w:val="auto"/>
                      <w:sz w:val="21"/>
                      <w:szCs w:val="21"/>
                      <w:highlight w:val="none"/>
                      <w:lang w:eastAsia="zh-CN"/>
                    </w:rPr>
                  </w:pPr>
                </w:p>
              </w:tc>
              <w:tc>
                <w:tcPr>
                  <w:tcW w:w="1161" w:type="dxa"/>
                  <w:vAlign w:val="center"/>
                </w:tcPr>
                <w:p w14:paraId="581C9569">
                  <w:pPr>
                    <w:pStyle w:val="61"/>
                    <w:keepNext w:val="0"/>
                    <w:keepLines w:val="0"/>
                    <w:suppressLineNumbers w:val="0"/>
                    <w:spacing w:before="24" w:beforeAutospacing="0" w:after="24" w:afterAutospacing="0" w:line="240" w:lineRule="auto"/>
                    <w:ind w:left="0" w:leftChars="0" w:right="0" w:rightChars="0" w:firstLine="0" w:firstLineChars="0"/>
                    <w:rPr>
                      <w:rFonts w:hint="eastAsia" w:ascii="Times New Roman"/>
                      <w:color w:val="auto"/>
                      <w:sz w:val="21"/>
                      <w:szCs w:val="21"/>
                      <w:highlight w:val="none"/>
                      <w:lang w:eastAsia="zh-CN"/>
                    </w:rPr>
                  </w:pPr>
                  <w:r>
                    <w:rPr>
                      <w:rFonts w:hint="eastAsia" w:ascii="Times New Roman"/>
                      <w:color w:val="auto"/>
                      <w:sz w:val="21"/>
                      <w:szCs w:val="21"/>
                      <w:highlight w:val="none"/>
                      <w:lang w:eastAsia="zh-CN"/>
                    </w:rPr>
                    <w:t>废研磨片</w:t>
                  </w:r>
                </w:p>
              </w:tc>
              <w:tc>
                <w:tcPr>
                  <w:tcW w:w="5349" w:type="dxa"/>
                  <w:vMerge w:val="continue"/>
                  <w:tcBorders>
                    <w:right w:val="single" w:color="auto" w:sz="4" w:space="0"/>
                  </w:tcBorders>
                  <w:vAlign w:val="center"/>
                </w:tcPr>
                <w:p w14:paraId="084ACDE6">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r>
            <w:tr w14:paraId="6A3D32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continue"/>
                  <w:tcBorders>
                    <w:left w:val="single" w:color="auto" w:sz="4" w:space="0"/>
                  </w:tcBorders>
                  <w:vAlign w:val="center"/>
                </w:tcPr>
                <w:p w14:paraId="2ECCC819">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03" w:type="dxa"/>
                  <w:vMerge w:val="continue"/>
                  <w:vAlign w:val="center"/>
                </w:tcPr>
                <w:p w14:paraId="6E2F7C22">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25" w:type="dxa"/>
                  <w:vMerge w:val="continue"/>
                  <w:vAlign w:val="center"/>
                </w:tcPr>
                <w:p w14:paraId="6AFCA4D1">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lang w:val="en-US" w:eastAsia="zh-CN"/>
                    </w:rPr>
                  </w:pPr>
                </w:p>
              </w:tc>
              <w:tc>
                <w:tcPr>
                  <w:tcW w:w="1161" w:type="dxa"/>
                  <w:vAlign w:val="center"/>
                </w:tcPr>
                <w:p w14:paraId="16A2D057">
                  <w:pPr>
                    <w:pStyle w:val="61"/>
                    <w:keepNext w:val="0"/>
                    <w:keepLines w:val="0"/>
                    <w:suppressLineNumbers w:val="0"/>
                    <w:spacing w:before="24" w:beforeAutospacing="0" w:after="24"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废麻轮</w:t>
                  </w:r>
                </w:p>
              </w:tc>
              <w:tc>
                <w:tcPr>
                  <w:tcW w:w="5349" w:type="dxa"/>
                  <w:vMerge w:val="continue"/>
                  <w:tcBorders>
                    <w:right w:val="single" w:color="auto" w:sz="4" w:space="0"/>
                  </w:tcBorders>
                  <w:vAlign w:val="center"/>
                </w:tcPr>
                <w:p w14:paraId="2AD560AF">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r>
            <w:tr w14:paraId="1E85BF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continue"/>
                  <w:tcBorders>
                    <w:left w:val="single" w:color="auto" w:sz="4" w:space="0"/>
                  </w:tcBorders>
                  <w:vAlign w:val="center"/>
                </w:tcPr>
                <w:p w14:paraId="25B81DAF">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03" w:type="dxa"/>
                  <w:vMerge w:val="continue"/>
                  <w:vAlign w:val="center"/>
                </w:tcPr>
                <w:p w14:paraId="15612CD9">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25" w:type="dxa"/>
                  <w:vMerge w:val="continue"/>
                  <w:vAlign w:val="center"/>
                </w:tcPr>
                <w:p w14:paraId="57F40EDF">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lang w:val="en-US" w:eastAsia="zh-CN"/>
                    </w:rPr>
                  </w:pPr>
                </w:p>
              </w:tc>
              <w:tc>
                <w:tcPr>
                  <w:tcW w:w="1161" w:type="dxa"/>
                  <w:vAlign w:val="center"/>
                </w:tcPr>
                <w:p w14:paraId="6A329725">
                  <w:pPr>
                    <w:pStyle w:val="61"/>
                    <w:keepNext w:val="0"/>
                    <w:keepLines w:val="0"/>
                    <w:suppressLineNumbers w:val="0"/>
                    <w:spacing w:before="24" w:beforeAutospacing="0" w:after="24"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废布轮</w:t>
                  </w:r>
                </w:p>
              </w:tc>
              <w:tc>
                <w:tcPr>
                  <w:tcW w:w="5349" w:type="dxa"/>
                  <w:vMerge w:val="continue"/>
                  <w:tcBorders>
                    <w:right w:val="single" w:color="auto" w:sz="4" w:space="0"/>
                  </w:tcBorders>
                  <w:vAlign w:val="center"/>
                </w:tcPr>
                <w:p w14:paraId="6DE9C164">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r>
            <w:tr w14:paraId="59DCAC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continue"/>
                  <w:tcBorders>
                    <w:left w:val="single" w:color="auto" w:sz="4" w:space="0"/>
                  </w:tcBorders>
                  <w:vAlign w:val="center"/>
                </w:tcPr>
                <w:p w14:paraId="3EC3D9BD">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03" w:type="dxa"/>
                  <w:vMerge w:val="continue"/>
                  <w:vAlign w:val="center"/>
                </w:tcPr>
                <w:p w14:paraId="1165ADEF">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25" w:type="dxa"/>
                  <w:vMerge w:val="continue"/>
                  <w:vAlign w:val="center"/>
                </w:tcPr>
                <w:p w14:paraId="02A0FB66">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lang w:val="en-US" w:eastAsia="zh-CN"/>
                    </w:rPr>
                  </w:pPr>
                </w:p>
              </w:tc>
              <w:tc>
                <w:tcPr>
                  <w:tcW w:w="1161" w:type="dxa"/>
                  <w:vAlign w:val="center"/>
                </w:tcPr>
                <w:p w14:paraId="7C437EBD">
                  <w:pPr>
                    <w:pStyle w:val="61"/>
                    <w:keepNext w:val="0"/>
                    <w:keepLines w:val="0"/>
                    <w:suppressLineNumbers w:val="0"/>
                    <w:spacing w:before="24" w:beforeAutospacing="0" w:after="24"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废滤布</w:t>
                  </w:r>
                </w:p>
              </w:tc>
              <w:tc>
                <w:tcPr>
                  <w:tcW w:w="5349" w:type="dxa"/>
                  <w:vMerge w:val="continue"/>
                  <w:tcBorders>
                    <w:right w:val="single" w:color="auto" w:sz="4" w:space="0"/>
                  </w:tcBorders>
                  <w:vAlign w:val="center"/>
                </w:tcPr>
                <w:p w14:paraId="49A040FA">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r>
            <w:tr w14:paraId="24FA59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continue"/>
                  <w:tcBorders>
                    <w:left w:val="single" w:color="auto" w:sz="4" w:space="0"/>
                  </w:tcBorders>
                  <w:vAlign w:val="center"/>
                </w:tcPr>
                <w:p w14:paraId="0C318574">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03" w:type="dxa"/>
                  <w:vMerge w:val="continue"/>
                  <w:vAlign w:val="center"/>
                </w:tcPr>
                <w:p w14:paraId="69D17AF0">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25" w:type="dxa"/>
                  <w:vMerge w:val="continue"/>
                  <w:vAlign w:val="center"/>
                </w:tcPr>
                <w:p w14:paraId="167817AD">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lang w:val="en-US" w:eastAsia="zh-CN"/>
                    </w:rPr>
                  </w:pPr>
                </w:p>
              </w:tc>
              <w:tc>
                <w:tcPr>
                  <w:tcW w:w="1161" w:type="dxa"/>
                  <w:vAlign w:val="center"/>
                </w:tcPr>
                <w:p w14:paraId="653E769C">
                  <w:pPr>
                    <w:pStyle w:val="61"/>
                    <w:keepNext w:val="0"/>
                    <w:keepLines w:val="0"/>
                    <w:suppressLineNumbers w:val="0"/>
                    <w:spacing w:before="24" w:beforeAutospacing="0" w:after="24"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废包装物</w:t>
                  </w:r>
                </w:p>
              </w:tc>
              <w:tc>
                <w:tcPr>
                  <w:tcW w:w="5349" w:type="dxa"/>
                  <w:vMerge w:val="continue"/>
                  <w:tcBorders>
                    <w:right w:val="single" w:color="auto" w:sz="4" w:space="0"/>
                  </w:tcBorders>
                  <w:vAlign w:val="center"/>
                </w:tcPr>
                <w:p w14:paraId="5B8977EC">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r>
            <w:tr w14:paraId="7A537BB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continue"/>
                  <w:tcBorders>
                    <w:left w:val="single" w:color="auto" w:sz="4" w:space="0"/>
                  </w:tcBorders>
                  <w:vAlign w:val="center"/>
                </w:tcPr>
                <w:p w14:paraId="64D900E0">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03" w:type="dxa"/>
                  <w:vMerge w:val="continue"/>
                  <w:vAlign w:val="center"/>
                </w:tcPr>
                <w:p w14:paraId="2C67147C">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25" w:type="dxa"/>
                  <w:vMerge w:val="continue"/>
                  <w:vAlign w:val="center"/>
                </w:tcPr>
                <w:p w14:paraId="7AC93D32">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lang w:val="en-US" w:eastAsia="zh-CN"/>
                    </w:rPr>
                  </w:pPr>
                </w:p>
              </w:tc>
              <w:tc>
                <w:tcPr>
                  <w:tcW w:w="1161" w:type="dxa"/>
                  <w:vAlign w:val="center"/>
                </w:tcPr>
                <w:p w14:paraId="0D297429">
                  <w:pPr>
                    <w:pStyle w:val="61"/>
                    <w:keepNext w:val="0"/>
                    <w:keepLines w:val="0"/>
                    <w:suppressLineNumbers w:val="0"/>
                    <w:spacing w:before="24" w:beforeAutospacing="0" w:after="24"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除尘灰</w:t>
                  </w:r>
                </w:p>
              </w:tc>
              <w:tc>
                <w:tcPr>
                  <w:tcW w:w="5349" w:type="dxa"/>
                  <w:vMerge w:val="restart"/>
                  <w:tcBorders>
                    <w:right w:val="single" w:color="auto" w:sz="4" w:space="0"/>
                  </w:tcBorders>
                  <w:vAlign w:val="center"/>
                </w:tcPr>
                <w:p w14:paraId="3897F8AD">
                  <w:pPr>
                    <w:pStyle w:val="61"/>
                    <w:keepNext w:val="0"/>
                    <w:keepLines w:val="0"/>
                    <w:suppressLineNumbers w:val="0"/>
                    <w:spacing w:before="24" w:beforeAutospacing="0" w:after="24"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eastAsia="zh-CN"/>
                    </w:rPr>
                    <w:t>统一收集后</w:t>
                  </w:r>
                  <w:r>
                    <w:rPr>
                      <w:rFonts w:hint="eastAsia" w:ascii="Times New Roman"/>
                      <w:color w:val="auto"/>
                      <w:sz w:val="21"/>
                      <w:szCs w:val="21"/>
                      <w:highlight w:val="none"/>
                      <w:lang w:val="en-US" w:eastAsia="zh-CN"/>
                    </w:rPr>
                    <w:t>外售</w:t>
                  </w:r>
                </w:p>
              </w:tc>
            </w:tr>
            <w:tr w14:paraId="74CBD8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continue"/>
                  <w:tcBorders>
                    <w:left w:val="single" w:color="auto" w:sz="4" w:space="0"/>
                  </w:tcBorders>
                  <w:vAlign w:val="center"/>
                </w:tcPr>
                <w:p w14:paraId="13AEC578">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03" w:type="dxa"/>
                  <w:vMerge w:val="continue"/>
                  <w:vAlign w:val="center"/>
                </w:tcPr>
                <w:p w14:paraId="23DE52D5">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25" w:type="dxa"/>
                  <w:vMerge w:val="continue"/>
                  <w:vAlign w:val="center"/>
                </w:tcPr>
                <w:p w14:paraId="36CB67A0">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lang w:val="en-US" w:eastAsia="zh-CN"/>
                    </w:rPr>
                  </w:pPr>
                </w:p>
              </w:tc>
              <w:tc>
                <w:tcPr>
                  <w:tcW w:w="1161" w:type="dxa"/>
                  <w:vAlign w:val="center"/>
                </w:tcPr>
                <w:p w14:paraId="21BC50EB">
                  <w:pPr>
                    <w:pStyle w:val="61"/>
                    <w:keepNext w:val="0"/>
                    <w:keepLines w:val="0"/>
                    <w:suppressLineNumbers w:val="0"/>
                    <w:spacing w:before="24" w:beforeAutospacing="0" w:after="24"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沉泥</w:t>
                  </w:r>
                </w:p>
              </w:tc>
              <w:tc>
                <w:tcPr>
                  <w:tcW w:w="5349" w:type="dxa"/>
                  <w:vMerge w:val="continue"/>
                  <w:tcBorders>
                    <w:right w:val="single" w:color="auto" w:sz="4" w:space="0"/>
                  </w:tcBorders>
                  <w:vAlign w:val="center"/>
                </w:tcPr>
                <w:p w14:paraId="29FDE9A0">
                  <w:pPr>
                    <w:pStyle w:val="61"/>
                    <w:keepNext w:val="0"/>
                    <w:keepLines w:val="0"/>
                    <w:suppressLineNumbers w:val="0"/>
                    <w:spacing w:before="24" w:beforeAutospacing="0" w:after="24" w:afterAutospacing="0" w:line="240" w:lineRule="auto"/>
                    <w:ind w:left="0" w:right="0" w:firstLine="0" w:firstLineChars="0"/>
                    <w:rPr>
                      <w:rFonts w:hint="default" w:ascii="Times New Roman" w:eastAsia="宋体"/>
                      <w:color w:val="auto"/>
                      <w:sz w:val="21"/>
                      <w:szCs w:val="21"/>
                      <w:highlight w:val="none"/>
                      <w:lang w:val="en-US" w:eastAsia="zh-CN"/>
                    </w:rPr>
                  </w:pPr>
                </w:p>
              </w:tc>
            </w:tr>
            <w:tr w14:paraId="57D0FC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continue"/>
                  <w:tcBorders>
                    <w:left w:val="single" w:color="auto" w:sz="4" w:space="0"/>
                  </w:tcBorders>
                  <w:vAlign w:val="center"/>
                </w:tcPr>
                <w:p w14:paraId="4721600F">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03" w:type="dxa"/>
                  <w:vMerge w:val="continue"/>
                  <w:vAlign w:val="center"/>
                </w:tcPr>
                <w:p w14:paraId="544D7C88">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25" w:type="dxa"/>
                  <w:vMerge w:val="restart"/>
                  <w:shd w:val="clear" w:color="auto" w:fill="auto"/>
                  <w:vAlign w:val="center"/>
                </w:tcPr>
                <w:p w14:paraId="1FC3CB7A">
                  <w:pPr>
                    <w:pStyle w:val="61"/>
                    <w:keepNext w:val="0"/>
                    <w:keepLines w:val="0"/>
                    <w:suppressLineNumbers w:val="0"/>
                    <w:spacing w:before="24" w:beforeAutospacing="0" w:after="24"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危险废物</w:t>
                  </w:r>
                </w:p>
              </w:tc>
              <w:tc>
                <w:tcPr>
                  <w:tcW w:w="1161" w:type="dxa"/>
                  <w:shd w:val="clear" w:color="auto" w:fill="auto"/>
                  <w:vAlign w:val="center"/>
                </w:tcPr>
                <w:p w14:paraId="65ABC80A">
                  <w:pPr>
                    <w:pStyle w:val="61"/>
                    <w:keepNext w:val="0"/>
                    <w:keepLines w:val="0"/>
                    <w:suppressLineNumbers w:val="0"/>
                    <w:spacing w:before="24" w:beforeAutospacing="0" w:after="24"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废润滑油</w:t>
                  </w:r>
                </w:p>
              </w:tc>
              <w:tc>
                <w:tcPr>
                  <w:tcW w:w="5349" w:type="dxa"/>
                  <w:vMerge w:val="restart"/>
                  <w:tcBorders>
                    <w:right w:val="single" w:color="auto" w:sz="4" w:space="0"/>
                  </w:tcBorders>
                  <w:vAlign w:val="center"/>
                </w:tcPr>
                <w:p w14:paraId="78E31159">
                  <w:pPr>
                    <w:pStyle w:val="61"/>
                    <w:keepNext w:val="0"/>
                    <w:keepLines w:val="0"/>
                    <w:suppressLineNumbers w:val="0"/>
                    <w:spacing w:before="24" w:beforeAutospacing="0" w:after="24" w:afterAutospacing="0" w:line="240" w:lineRule="auto"/>
                    <w:ind w:left="0" w:right="0" w:firstLine="0" w:firstLineChars="0"/>
                    <w:rPr>
                      <w:rFonts w:hint="default" w:ascii="Times New Roman" w:eastAsia="宋体"/>
                      <w:color w:val="auto"/>
                      <w:sz w:val="21"/>
                      <w:szCs w:val="21"/>
                      <w:highlight w:val="none"/>
                      <w:lang w:val="en-US" w:eastAsia="zh-CN"/>
                    </w:rPr>
                  </w:pPr>
                  <w:r>
                    <w:rPr>
                      <w:rFonts w:hint="default" w:ascii="Times New Roman"/>
                      <w:color w:val="auto"/>
                      <w:sz w:val="21"/>
                      <w:szCs w:val="21"/>
                      <w:highlight w:val="none"/>
                    </w:rPr>
                    <w:t>新建</w:t>
                  </w:r>
                  <w:r>
                    <w:rPr>
                      <w:rFonts w:hint="eastAsia" w:ascii="Times New Roman"/>
                      <w:color w:val="auto"/>
                      <w:sz w:val="21"/>
                      <w:szCs w:val="21"/>
                      <w:highlight w:val="none"/>
                      <w:lang w:val="en-US" w:eastAsia="zh-CN"/>
                    </w:rPr>
                    <w:t>3</w:t>
                  </w:r>
                  <w:r>
                    <w:rPr>
                      <w:rFonts w:hint="default" w:ascii="Times New Roman"/>
                      <w:color w:val="auto"/>
                      <w:sz w:val="21"/>
                      <w:szCs w:val="21"/>
                      <w:highlight w:val="none"/>
                    </w:rPr>
                    <w:t>m</w:t>
                  </w:r>
                  <w:r>
                    <w:rPr>
                      <w:rFonts w:hint="default" w:ascii="Times New Roman"/>
                      <w:color w:val="auto"/>
                      <w:sz w:val="21"/>
                      <w:szCs w:val="21"/>
                      <w:highlight w:val="none"/>
                      <w:vertAlign w:val="superscript"/>
                    </w:rPr>
                    <w:t>2</w:t>
                  </w:r>
                  <w:r>
                    <w:rPr>
                      <w:rFonts w:hint="default" w:ascii="Times New Roman"/>
                      <w:color w:val="auto"/>
                      <w:sz w:val="21"/>
                      <w:szCs w:val="21"/>
                      <w:highlight w:val="none"/>
                    </w:rPr>
                    <w:t>的危废间</w:t>
                  </w:r>
                  <w:r>
                    <w:rPr>
                      <w:rFonts w:hint="eastAsia" w:ascii="Times New Roman"/>
                      <w:color w:val="auto"/>
                      <w:sz w:val="21"/>
                      <w:szCs w:val="21"/>
                      <w:highlight w:val="none"/>
                      <w:lang w:eastAsia="zh-CN"/>
                    </w:rPr>
                    <w:t>，</w:t>
                  </w:r>
                  <w:r>
                    <w:rPr>
                      <w:rFonts w:hint="eastAsia" w:ascii="Times New Roman"/>
                      <w:color w:val="auto"/>
                      <w:sz w:val="21"/>
                      <w:szCs w:val="21"/>
                      <w:highlight w:val="none"/>
                      <w:lang w:val="en-US" w:eastAsia="zh-CN"/>
                    </w:rPr>
                    <w:t>统一收集后暂存于危废间内定期交由有资质单位处置</w:t>
                  </w:r>
                </w:p>
              </w:tc>
            </w:tr>
            <w:tr w14:paraId="696A6B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continue"/>
                  <w:tcBorders>
                    <w:left w:val="single" w:color="auto" w:sz="4" w:space="0"/>
                  </w:tcBorders>
                  <w:vAlign w:val="center"/>
                </w:tcPr>
                <w:p w14:paraId="68FC1D1A">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03" w:type="dxa"/>
                  <w:vMerge w:val="continue"/>
                  <w:vAlign w:val="center"/>
                </w:tcPr>
                <w:p w14:paraId="7664D3B3">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25" w:type="dxa"/>
                  <w:vMerge w:val="continue"/>
                  <w:shd w:val="clear" w:color="auto" w:fill="auto"/>
                  <w:vAlign w:val="center"/>
                </w:tcPr>
                <w:p w14:paraId="4104018D">
                  <w:pPr>
                    <w:pStyle w:val="61"/>
                    <w:keepNext w:val="0"/>
                    <w:keepLines w:val="0"/>
                    <w:suppressLineNumbers w:val="0"/>
                    <w:spacing w:before="24" w:beforeAutospacing="0" w:after="24" w:afterAutospacing="0" w:line="240" w:lineRule="auto"/>
                    <w:ind w:left="0" w:leftChars="0" w:right="0" w:rightChars="0" w:firstLine="0" w:firstLineChars="0"/>
                    <w:rPr>
                      <w:rFonts w:hint="eastAsia" w:ascii="Times New Roman" w:cs="Times New Roman"/>
                      <w:color w:val="auto"/>
                      <w:kern w:val="0"/>
                      <w:sz w:val="21"/>
                      <w:szCs w:val="21"/>
                      <w:highlight w:val="none"/>
                      <w:lang w:val="en-US" w:eastAsia="zh-CN" w:bidi="ar-SA"/>
                    </w:rPr>
                  </w:pPr>
                </w:p>
              </w:tc>
              <w:tc>
                <w:tcPr>
                  <w:tcW w:w="1161" w:type="dxa"/>
                  <w:shd w:val="clear" w:color="auto" w:fill="auto"/>
                  <w:vAlign w:val="center"/>
                </w:tcPr>
                <w:p w14:paraId="7FFA31E1">
                  <w:pPr>
                    <w:pStyle w:val="61"/>
                    <w:keepNext w:val="0"/>
                    <w:keepLines w:val="0"/>
                    <w:suppressLineNumbers w:val="0"/>
                    <w:spacing w:before="24" w:beforeAutospacing="0" w:after="24"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废润滑油油桶</w:t>
                  </w:r>
                </w:p>
              </w:tc>
              <w:tc>
                <w:tcPr>
                  <w:tcW w:w="5349" w:type="dxa"/>
                  <w:vMerge w:val="continue"/>
                  <w:tcBorders>
                    <w:right w:val="single" w:color="auto" w:sz="4" w:space="0"/>
                  </w:tcBorders>
                  <w:vAlign w:val="center"/>
                </w:tcPr>
                <w:p w14:paraId="1A13FF90">
                  <w:pPr>
                    <w:pStyle w:val="61"/>
                    <w:keepNext w:val="0"/>
                    <w:keepLines w:val="0"/>
                    <w:suppressLineNumbers w:val="0"/>
                    <w:spacing w:before="24" w:beforeAutospacing="0" w:after="24" w:afterAutospacing="0" w:line="240" w:lineRule="auto"/>
                    <w:ind w:left="0" w:right="0" w:firstLine="0" w:firstLineChars="0"/>
                    <w:rPr>
                      <w:rFonts w:hint="eastAsia" w:ascii="Times New Roman"/>
                      <w:color w:val="auto"/>
                      <w:sz w:val="21"/>
                      <w:szCs w:val="21"/>
                      <w:highlight w:val="none"/>
                      <w:lang w:val="en-US" w:eastAsia="zh-CN"/>
                    </w:rPr>
                  </w:pPr>
                </w:p>
              </w:tc>
            </w:tr>
            <w:tr w14:paraId="644441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continue"/>
                  <w:tcBorders>
                    <w:left w:val="single" w:color="auto" w:sz="4" w:space="0"/>
                  </w:tcBorders>
                  <w:vAlign w:val="center"/>
                </w:tcPr>
                <w:p w14:paraId="632FD31E">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03" w:type="dxa"/>
                  <w:vMerge w:val="continue"/>
                  <w:vAlign w:val="center"/>
                </w:tcPr>
                <w:p w14:paraId="1ED890F1">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25" w:type="dxa"/>
                  <w:vMerge w:val="continue"/>
                  <w:vAlign w:val="center"/>
                </w:tcPr>
                <w:p w14:paraId="742F356F">
                  <w:pPr>
                    <w:pStyle w:val="61"/>
                    <w:keepNext w:val="0"/>
                    <w:keepLines w:val="0"/>
                    <w:suppressLineNumbers w:val="0"/>
                    <w:spacing w:before="24" w:beforeAutospacing="0" w:after="24" w:afterAutospacing="0" w:line="240" w:lineRule="auto"/>
                    <w:ind w:left="0" w:right="0" w:firstLine="0" w:firstLineChars="0"/>
                    <w:rPr>
                      <w:rFonts w:hint="default" w:ascii="Times New Roman" w:eastAsia="宋体"/>
                      <w:color w:val="auto"/>
                      <w:sz w:val="21"/>
                      <w:szCs w:val="21"/>
                      <w:highlight w:val="none"/>
                      <w:lang w:val="en-US" w:eastAsia="zh-CN"/>
                    </w:rPr>
                  </w:pPr>
                </w:p>
              </w:tc>
              <w:tc>
                <w:tcPr>
                  <w:tcW w:w="1161" w:type="dxa"/>
                  <w:shd w:val="clear" w:color="auto" w:fill="auto"/>
                  <w:vAlign w:val="center"/>
                </w:tcPr>
                <w:p w14:paraId="2F2D7F33">
                  <w:pPr>
                    <w:pStyle w:val="61"/>
                    <w:keepNext w:val="0"/>
                    <w:keepLines w:val="0"/>
                    <w:suppressLineNumbers w:val="0"/>
                    <w:spacing w:before="24" w:beforeAutospacing="0" w:after="24"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废机油</w:t>
                  </w:r>
                </w:p>
              </w:tc>
              <w:tc>
                <w:tcPr>
                  <w:tcW w:w="5349" w:type="dxa"/>
                  <w:vMerge w:val="continue"/>
                  <w:tcBorders>
                    <w:right w:val="single" w:color="auto" w:sz="4" w:space="0"/>
                  </w:tcBorders>
                  <w:vAlign w:val="center"/>
                </w:tcPr>
                <w:p w14:paraId="312757A8">
                  <w:pPr>
                    <w:pStyle w:val="61"/>
                    <w:keepNext w:val="0"/>
                    <w:keepLines w:val="0"/>
                    <w:suppressLineNumbers w:val="0"/>
                    <w:spacing w:before="24" w:beforeAutospacing="0" w:after="24" w:afterAutospacing="0" w:line="240" w:lineRule="auto"/>
                    <w:ind w:left="0" w:right="0" w:firstLine="0" w:firstLineChars="0"/>
                    <w:rPr>
                      <w:rFonts w:hint="default" w:ascii="Times New Roman" w:eastAsia="宋体"/>
                      <w:color w:val="auto"/>
                      <w:sz w:val="21"/>
                      <w:szCs w:val="21"/>
                      <w:highlight w:val="none"/>
                      <w:lang w:val="en-US" w:eastAsia="zh-CN"/>
                    </w:rPr>
                  </w:pPr>
                </w:p>
              </w:tc>
            </w:tr>
            <w:tr w14:paraId="01B7D7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continue"/>
                  <w:tcBorders>
                    <w:left w:val="single" w:color="auto" w:sz="4" w:space="0"/>
                  </w:tcBorders>
                  <w:vAlign w:val="center"/>
                </w:tcPr>
                <w:p w14:paraId="33D06360">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03" w:type="dxa"/>
                  <w:vMerge w:val="continue"/>
                  <w:vAlign w:val="center"/>
                </w:tcPr>
                <w:p w14:paraId="6E9BFA15">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25" w:type="dxa"/>
                  <w:vMerge w:val="continue"/>
                  <w:vAlign w:val="center"/>
                </w:tcPr>
                <w:p w14:paraId="64AA9AC0">
                  <w:pPr>
                    <w:pStyle w:val="61"/>
                    <w:keepNext w:val="0"/>
                    <w:keepLines w:val="0"/>
                    <w:suppressLineNumbers w:val="0"/>
                    <w:spacing w:before="24" w:beforeAutospacing="0" w:after="24" w:afterAutospacing="0" w:line="240" w:lineRule="auto"/>
                    <w:ind w:left="0" w:right="0" w:firstLine="0" w:firstLineChars="0"/>
                    <w:rPr>
                      <w:rFonts w:hint="default" w:ascii="Times New Roman" w:eastAsia="宋体"/>
                      <w:color w:val="auto"/>
                      <w:sz w:val="21"/>
                      <w:szCs w:val="21"/>
                      <w:highlight w:val="none"/>
                      <w:lang w:val="en-US" w:eastAsia="zh-CN"/>
                    </w:rPr>
                  </w:pPr>
                </w:p>
              </w:tc>
              <w:tc>
                <w:tcPr>
                  <w:tcW w:w="1161" w:type="dxa"/>
                  <w:shd w:val="clear" w:color="auto" w:fill="auto"/>
                  <w:vAlign w:val="center"/>
                </w:tcPr>
                <w:p w14:paraId="4AAEC350">
                  <w:pPr>
                    <w:pStyle w:val="61"/>
                    <w:keepNext w:val="0"/>
                    <w:keepLines w:val="0"/>
                    <w:suppressLineNumbers w:val="0"/>
                    <w:spacing w:before="24" w:beforeAutospacing="0" w:after="24"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废机油桶</w:t>
                  </w:r>
                </w:p>
              </w:tc>
              <w:tc>
                <w:tcPr>
                  <w:tcW w:w="5349" w:type="dxa"/>
                  <w:vMerge w:val="continue"/>
                  <w:tcBorders>
                    <w:right w:val="single" w:color="auto" w:sz="4" w:space="0"/>
                  </w:tcBorders>
                  <w:vAlign w:val="center"/>
                </w:tcPr>
                <w:p w14:paraId="506D5C37">
                  <w:pPr>
                    <w:pStyle w:val="61"/>
                    <w:keepNext w:val="0"/>
                    <w:keepLines w:val="0"/>
                    <w:suppressLineNumbers w:val="0"/>
                    <w:spacing w:before="24" w:beforeAutospacing="0" w:after="24" w:afterAutospacing="0" w:line="240" w:lineRule="auto"/>
                    <w:ind w:left="0" w:right="0" w:firstLine="0" w:firstLineChars="0"/>
                    <w:rPr>
                      <w:rFonts w:hint="default" w:ascii="Times New Roman" w:eastAsia="宋体"/>
                      <w:color w:val="auto"/>
                      <w:sz w:val="21"/>
                      <w:szCs w:val="21"/>
                      <w:highlight w:val="none"/>
                      <w:lang w:val="en-US" w:eastAsia="zh-CN"/>
                    </w:rPr>
                  </w:pPr>
                </w:p>
              </w:tc>
            </w:tr>
            <w:tr w14:paraId="464755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Merge w:val="continue"/>
                  <w:tcBorders>
                    <w:left w:val="single" w:color="auto" w:sz="4" w:space="0"/>
                  </w:tcBorders>
                  <w:vAlign w:val="center"/>
                </w:tcPr>
                <w:p w14:paraId="6F6B11BF">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03" w:type="dxa"/>
                  <w:vMerge w:val="continue"/>
                  <w:vAlign w:val="center"/>
                </w:tcPr>
                <w:p w14:paraId="59CA8C8D">
                  <w:pPr>
                    <w:pStyle w:val="61"/>
                    <w:keepNext w:val="0"/>
                    <w:keepLines w:val="0"/>
                    <w:suppressLineNumbers w:val="0"/>
                    <w:spacing w:before="24" w:beforeAutospacing="0" w:after="24" w:afterAutospacing="0" w:line="240" w:lineRule="auto"/>
                    <w:ind w:left="0" w:right="0" w:firstLine="0" w:firstLineChars="0"/>
                    <w:rPr>
                      <w:rFonts w:hint="default" w:ascii="Times New Roman"/>
                      <w:color w:val="auto"/>
                      <w:sz w:val="21"/>
                      <w:szCs w:val="21"/>
                      <w:highlight w:val="none"/>
                    </w:rPr>
                  </w:pPr>
                </w:p>
              </w:tc>
              <w:tc>
                <w:tcPr>
                  <w:tcW w:w="525" w:type="dxa"/>
                  <w:vMerge w:val="continue"/>
                  <w:vAlign w:val="center"/>
                </w:tcPr>
                <w:p w14:paraId="4A7EF329">
                  <w:pPr>
                    <w:pStyle w:val="61"/>
                    <w:keepNext w:val="0"/>
                    <w:keepLines w:val="0"/>
                    <w:suppressLineNumbers w:val="0"/>
                    <w:spacing w:before="24" w:beforeAutospacing="0" w:after="24" w:afterAutospacing="0" w:line="240" w:lineRule="auto"/>
                    <w:ind w:left="0" w:right="0" w:firstLine="0" w:firstLineChars="0"/>
                    <w:rPr>
                      <w:rFonts w:hint="default" w:ascii="Times New Roman" w:eastAsia="宋体"/>
                      <w:color w:val="auto"/>
                      <w:sz w:val="21"/>
                      <w:szCs w:val="21"/>
                      <w:highlight w:val="none"/>
                      <w:lang w:val="en-US" w:eastAsia="zh-CN"/>
                    </w:rPr>
                  </w:pPr>
                </w:p>
              </w:tc>
              <w:tc>
                <w:tcPr>
                  <w:tcW w:w="1161" w:type="dxa"/>
                  <w:shd w:val="clear" w:color="auto" w:fill="auto"/>
                  <w:vAlign w:val="center"/>
                </w:tcPr>
                <w:p w14:paraId="3441B60F">
                  <w:pPr>
                    <w:pStyle w:val="61"/>
                    <w:keepNext w:val="0"/>
                    <w:keepLines w:val="0"/>
                    <w:suppressLineNumbers w:val="0"/>
                    <w:spacing w:before="24" w:beforeAutospacing="0" w:after="24"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废铅酸电池</w:t>
                  </w:r>
                </w:p>
              </w:tc>
              <w:tc>
                <w:tcPr>
                  <w:tcW w:w="5349" w:type="dxa"/>
                  <w:vMerge w:val="continue"/>
                  <w:tcBorders>
                    <w:right w:val="single" w:color="auto" w:sz="4" w:space="0"/>
                  </w:tcBorders>
                  <w:vAlign w:val="center"/>
                </w:tcPr>
                <w:p w14:paraId="17C7AFBD">
                  <w:pPr>
                    <w:pStyle w:val="61"/>
                    <w:keepNext w:val="0"/>
                    <w:keepLines w:val="0"/>
                    <w:suppressLineNumbers w:val="0"/>
                    <w:spacing w:before="24" w:beforeAutospacing="0" w:after="24" w:afterAutospacing="0" w:line="240" w:lineRule="auto"/>
                    <w:ind w:left="0" w:right="0" w:firstLine="0" w:firstLineChars="0"/>
                    <w:rPr>
                      <w:rFonts w:hint="default" w:ascii="Times New Roman" w:eastAsia="宋体"/>
                      <w:color w:val="auto"/>
                      <w:sz w:val="21"/>
                      <w:szCs w:val="21"/>
                      <w:highlight w:val="none"/>
                      <w:lang w:val="en-US" w:eastAsia="zh-CN"/>
                    </w:rPr>
                  </w:pPr>
                </w:p>
              </w:tc>
            </w:tr>
          </w:tbl>
          <w:p w14:paraId="660DCB77">
            <w:pPr>
              <w:pStyle w:val="7"/>
              <w:suppressLineNumbers w:val="0"/>
              <w:spacing w:before="0" w:beforeAutospacing="0" w:after="0" w:afterAutospacing="0"/>
              <w:ind w:left="0" w:right="0"/>
              <w:rPr>
                <w:rFonts w:hint="default" w:ascii="Times New Roman" w:hAnsi="Times New Roman"/>
                <w:color w:val="auto"/>
                <w:sz w:val="24"/>
                <w:highlight w:val="none"/>
              </w:rPr>
            </w:pPr>
            <w:r>
              <w:rPr>
                <w:rFonts w:hint="default" w:ascii="Times New Roman" w:hAnsi="Times New Roman"/>
                <w:color w:val="auto"/>
                <w:sz w:val="24"/>
                <w:highlight w:val="none"/>
              </w:rPr>
              <w:t>2.3 主要生产设备</w:t>
            </w:r>
          </w:p>
          <w:p w14:paraId="3A437184">
            <w:pPr>
              <w:pStyle w:val="15"/>
              <w:keepNext w:val="0"/>
              <w:keepLines w:val="0"/>
              <w:suppressLineNumbers w:val="0"/>
              <w:spacing w:before="0" w:beforeAutospacing="0" w:after="0" w:afterAutospacing="0" w:line="240" w:lineRule="auto"/>
              <w:ind w:left="0" w:leftChars="0" w:right="0" w:rightChars="0"/>
              <w:jc w:val="center"/>
              <w:rPr>
                <w:rFonts w:hint="default"/>
                <w:b/>
                <w:snapToGrid w:val="0"/>
                <w:color w:val="auto"/>
                <w:sz w:val="24"/>
                <w:highlight w:val="none"/>
              </w:rPr>
            </w:pPr>
            <w:r>
              <w:rPr>
                <w:rFonts w:hint="default"/>
                <w:b/>
                <w:snapToGrid w:val="0"/>
                <w:color w:val="auto"/>
                <w:sz w:val="24"/>
                <w:highlight w:val="none"/>
              </w:rPr>
              <w:t>表</w:t>
            </w:r>
            <w:r>
              <w:rPr>
                <w:rFonts w:hint="eastAsia"/>
                <w:b/>
                <w:snapToGrid w:val="0"/>
                <w:color w:val="auto"/>
                <w:sz w:val="24"/>
                <w:highlight w:val="none"/>
              </w:rPr>
              <w:t>2-2</w:t>
            </w:r>
            <w:r>
              <w:rPr>
                <w:rFonts w:hint="default"/>
                <w:b/>
                <w:snapToGrid w:val="0"/>
                <w:color w:val="auto"/>
                <w:sz w:val="24"/>
                <w:highlight w:val="none"/>
              </w:rPr>
              <w:t xml:space="preserve">  生产设备</w:t>
            </w:r>
            <w:r>
              <w:rPr>
                <w:rFonts w:hint="eastAsia"/>
                <w:b/>
                <w:snapToGrid w:val="0"/>
                <w:color w:val="auto"/>
                <w:sz w:val="24"/>
                <w:highlight w:val="none"/>
              </w:rPr>
              <w:t>、设施</w:t>
            </w:r>
            <w:r>
              <w:rPr>
                <w:rFonts w:hint="default"/>
                <w:b/>
                <w:snapToGrid w:val="0"/>
                <w:color w:val="auto"/>
                <w:sz w:val="24"/>
                <w:highlight w:val="none"/>
              </w:rPr>
              <w:t>一览表</w:t>
            </w:r>
          </w:p>
          <w:tbl>
            <w:tblPr>
              <w:tblStyle w:val="35"/>
              <w:tblW w:w="4966" w:type="pct"/>
              <w:jc w:val="center"/>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
            <w:tblGrid>
              <w:gridCol w:w="839"/>
              <w:gridCol w:w="2559"/>
              <w:gridCol w:w="2042"/>
              <w:gridCol w:w="916"/>
              <w:gridCol w:w="1982"/>
            </w:tblGrid>
            <w:tr w14:paraId="443555C1">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PrEx>
              <w:trPr>
                <w:trHeight w:val="340" w:hRule="atLeast"/>
                <w:jc w:val="center"/>
              </w:trPr>
              <w:tc>
                <w:tcPr>
                  <w:tcW w:w="839" w:type="dxa"/>
                  <w:tcBorders>
                    <w:tl2br w:val="nil"/>
                    <w:tr2bl w:val="nil"/>
                  </w:tcBorders>
                  <w:vAlign w:val="center"/>
                </w:tcPr>
                <w:p w14:paraId="382F5034">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rPr>
                  </w:pPr>
                  <w:r>
                    <w:rPr>
                      <w:rFonts w:hint="eastAsia" w:ascii="Times New Roman"/>
                      <w:color w:val="auto"/>
                      <w:sz w:val="21"/>
                      <w:szCs w:val="21"/>
                      <w:highlight w:val="none"/>
                    </w:rPr>
                    <w:t>序号</w:t>
                  </w:r>
                </w:p>
              </w:tc>
              <w:tc>
                <w:tcPr>
                  <w:tcW w:w="2559" w:type="dxa"/>
                  <w:tcBorders>
                    <w:tl2br w:val="nil"/>
                    <w:tr2bl w:val="nil"/>
                  </w:tcBorders>
                  <w:vAlign w:val="center"/>
                </w:tcPr>
                <w:p w14:paraId="48B5864A">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rPr>
                  </w:pPr>
                  <w:r>
                    <w:rPr>
                      <w:rFonts w:hint="eastAsia" w:ascii="Times New Roman"/>
                      <w:color w:val="auto"/>
                      <w:sz w:val="21"/>
                      <w:szCs w:val="21"/>
                      <w:highlight w:val="none"/>
                    </w:rPr>
                    <w:t>设备名称</w:t>
                  </w:r>
                </w:p>
              </w:tc>
              <w:tc>
                <w:tcPr>
                  <w:tcW w:w="2042" w:type="dxa"/>
                  <w:tcBorders>
                    <w:tl2br w:val="nil"/>
                    <w:tr2bl w:val="nil"/>
                  </w:tcBorders>
                  <w:vAlign w:val="center"/>
                </w:tcPr>
                <w:p w14:paraId="2B2349F2">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rPr>
                  </w:pPr>
                  <w:r>
                    <w:rPr>
                      <w:rFonts w:hint="eastAsia" w:ascii="Times New Roman"/>
                      <w:color w:val="auto"/>
                      <w:sz w:val="21"/>
                      <w:szCs w:val="21"/>
                      <w:highlight w:val="none"/>
                    </w:rPr>
                    <w:t>型号</w:t>
                  </w:r>
                </w:p>
              </w:tc>
              <w:tc>
                <w:tcPr>
                  <w:tcW w:w="916" w:type="dxa"/>
                  <w:tcBorders>
                    <w:tl2br w:val="nil"/>
                    <w:tr2bl w:val="nil"/>
                  </w:tcBorders>
                  <w:vAlign w:val="center"/>
                </w:tcPr>
                <w:p w14:paraId="22F44FFE">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rPr>
                  </w:pPr>
                  <w:r>
                    <w:rPr>
                      <w:rFonts w:hint="eastAsia" w:ascii="Times New Roman"/>
                      <w:color w:val="auto"/>
                      <w:sz w:val="21"/>
                      <w:szCs w:val="21"/>
                      <w:highlight w:val="none"/>
                    </w:rPr>
                    <w:t>单位</w:t>
                  </w:r>
                </w:p>
              </w:tc>
              <w:tc>
                <w:tcPr>
                  <w:tcW w:w="1982" w:type="dxa"/>
                  <w:tcBorders>
                    <w:tl2br w:val="nil"/>
                    <w:tr2bl w:val="nil"/>
                  </w:tcBorders>
                  <w:vAlign w:val="center"/>
                </w:tcPr>
                <w:p w14:paraId="6764861B">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rPr>
                  </w:pPr>
                  <w:r>
                    <w:rPr>
                      <w:rFonts w:hint="eastAsia" w:ascii="Times New Roman"/>
                      <w:color w:val="auto"/>
                      <w:sz w:val="21"/>
                      <w:szCs w:val="21"/>
                      <w:highlight w:val="none"/>
                    </w:rPr>
                    <w:t>数量</w:t>
                  </w:r>
                </w:p>
              </w:tc>
            </w:tr>
            <w:tr w14:paraId="216A3393">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39" w:type="dxa"/>
                  <w:tcBorders>
                    <w:tl2br w:val="nil"/>
                    <w:tr2bl w:val="nil"/>
                  </w:tcBorders>
                  <w:vAlign w:val="center"/>
                </w:tcPr>
                <w:p w14:paraId="55F7E724">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rPr>
                  </w:pPr>
                  <w:r>
                    <w:rPr>
                      <w:rFonts w:hint="eastAsia" w:ascii="Times New Roman"/>
                      <w:color w:val="auto"/>
                      <w:sz w:val="21"/>
                      <w:szCs w:val="21"/>
                      <w:highlight w:val="none"/>
                    </w:rPr>
                    <w:t>1</w:t>
                  </w:r>
                </w:p>
              </w:tc>
              <w:tc>
                <w:tcPr>
                  <w:tcW w:w="2559" w:type="dxa"/>
                  <w:tcBorders>
                    <w:tl2br w:val="nil"/>
                    <w:tr2bl w:val="nil"/>
                  </w:tcBorders>
                  <w:shd w:val="clear" w:color="auto" w:fill="auto"/>
                  <w:vAlign w:val="center"/>
                </w:tcPr>
                <w:p w14:paraId="560082B4">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eastAsia="zh-CN"/>
                    </w:rPr>
                  </w:pPr>
                  <w:r>
                    <w:rPr>
                      <w:rFonts w:hint="eastAsia" w:ascii="Times New Roman"/>
                      <w:color w:val="auto"/>
                      <w:sz w:val="21"/>
                      <w:szCs w:val="21"/>
                      <w:highlight w:val="none"/>
                      <w:lang w:eastAsia="zh-CN"/>
                    </w:rPr>
                    <w:t>自动水磨机</w:t>
                  </w:r>
                </w:p>
              </w:tc>
              <w:tc>
                <w:tcPr>
                  <w:tcW w:w="2042" w:type="dxa"/>
                  <w:tcBorders>
                    <w:bottom w:val="single" w:color="auto" w:sz="4" w:space="0"/>
                    <w:tl2br w:val="nil"/>
                    <w:tr2bl w:val="nil"/>
                  </w:tcBorders>
                  <w:shd w:val="clear" w:color="auto" w:fill="auto"/>
                  <w:vAlign w:val="center"/>
                </w:tcPr>
                <w:p w14:paraId="479876F1">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val="en-US" w:eastAsia="zh-CN"/>
                    </w:rPr>
                  </w:pPr>
                </w:p>
              </w:tc>
              <w:tc>
                <w:tcPr>
                  <w:tcW w:w="916" w:type="dxa"/>
                  <w:tcBorders>
                    <w:tl2br w:val="nil"/>
                    <w:tr2bl w:val="nil"/>
                  </w:tcBorders>
                  <w:vAlign w:val="center"/>
                </w:tcPr>
                <w:p w14:paraId="29FA0990">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rPr>
                  </w:pPr>
                  <w:r>
                    <w:rPr>
                      <w:rFonts w:hint="eastAsia" w:ascii="Times New Roman"/>
                      <w:color w:val="auto"/>
                      <w:sz w:val="21"/>
                      <w:szCs w:val="21"/>
                      <w:highlight w:val="none"/>
                    </w:rPr>
                    <w:t>台</w:t>
                  </w:r>
                </w:p>
              </w:tc>
              <w:tc>
                <w:tcPr>
                  <w:tcW w:w="1982" w:type="dxa"/>
                  <w:tcBorders>
                    <w:bottom w:val="single" w:color="auto" w:sz="4" w:space="0"/>
                    <w:tl2br w:val="nil"/>
                    <w:tr2bl w:val="nil"/>
                  </w:tcBorders>
                  <w:shd w:val="clear" w:color="auto" w:fill="auto"/>
                  <w:vAlign w:val="center"/>
                </w:tcPr>
                <w:p w14:paraId="11CBCC4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20（不同时工作）</w:t>
                  </w:r>
                </w:p>
              </w:tc>
            </w:tr>
            <w:tr w14:paraId="32600527">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39" w:type="dxa"/>
                  <w:tcBorders>
                    <w:tl2br w:val="nil"/>
                    <w:tr2bl w:val="nil"/>
                  </w:tcBorders>
                  <w:shd w:val="clear" w:color="auto" w:fill="auto"/>
                  <w:vAlign w:val="center"/>
                </w:tcPr>
                <w:p w14:paraId="2E4C2A1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2</w:t>
                  </w:r>
                </w:p>
              </w:tc>
              <w:tc>
                <w:tcPr>
                  <w:tcW w:w="2559" w:type="dxa"/>
                  <w:tcBorders>
                    <w:tl2br w:val="nil"/>
                    <w:tr2bl w:val="nil"/>
                  </w:tcBorders>
                  <w:shd w:val="clear" w:color="auto" w:fill="auto"/>
                  <w:vAlign w:val="center"/>
                </w:tcPr>
                <w:p w14:paraId="4FF95B6A">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角磨机</w:t>
                  </w:r>
                </w:p>
              </w:tc>
              <w:tc>
                <w:tcPr>
                  <w:tcW w:w="2042" w:type="dxa"/>
                  <w:tcBorders>
                    <w:tl2br w:val="nil"/>
                    <w:tr2bl w:val="nil"/>
                  </w:tcBorders>
                  <w:vAlign w:val="center"/>
                </w:tcPr>
                <w:p w14:paraId="26411C1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JB/T7172</w:t>
                  </w:r>
                </w:p>
              </w:tc>
              <w:tc>
                <w:tcPr>
                  <w:tcW w:w="916" w:type="dxa"/>
                  <w:tcBorders>
                    <w:tl2br w:val="nil"/>
                    <w:tr2bl w:val="nil"/>
                  </w:tcBorders>
                  <w:vAlign w:val="center"/>
                </w:tcPr>
                <w:p w14:paraId="0A114FFF">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rPr>
                  </w:pPr>
                  <w:r>
                    <w:rPr>
                      <w:rFonts w:hint="eastAsia" w:ascii="Times New Roman"/>
                      <w:color w:val="auto"/>
                      <w:sz w:val="21"/>
                      <w:szCs w:val="21"/>
                      <w:highlight w:val="none"/>
                    </w:rPr>
                    <w:t>台</w:t>
                  </w:r>
                </w:p>
              </w:tc>
              <w:tc>
                <w:tcPr>
                  <w:tcW w:w="1982" w:type="dxa"/>
                  <w:tcBorders>
                    <w:tl2br w:val="nil"/>
                    <w:tr2bl w:val="nil"/>
                  </w:tcBorders>
                  <w:vAlign w:val="center"/>
                </w:tcPr>
                <w:p w14:paraId="497D630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10（不同时工作）</w:t>
                  </w:r>
                </w:p>
              </w:tc>
            </w:tr>
            <w:tr w14:paraId="1A52982F">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39" w:type="dxa"/>
                  <w:tcBorders>
                    <w:tl2br w:val="nil"/>
                    <w:tr2bl w:val="nil"/>
                  </w:tcBorders>
                  <w:shd w:val="clear" w:color="auto" w:fill="auto"/>
                  <w:vAlign w:val="center"/>
                </w:tcPr>
                <w:p w14:paraId="24AA8228">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3</w:t>
                  </w:r>
                </w:p>
              </w:tc>
              <w:tc>
                <w:tcPr>
                  <w:tcW w:w="2559" w:type="dxa"/>
                  <w:tcBorders>
                    <w:tl2br w:val="nil"/>
                    <w:tr2bl w:val="nil"/>
                  </w:tcBorders>
                  <w:shd w:val="clear" w:color="auto" w:fill="auto"/>
                  <w:vAlign w:val="center"/>
                </w:tcPr>
                <w:p w14:paraId="3B5708DF">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环保抛光打磨湿式一体机</w:t>
                  </w:r>
                </w:p>
              </w:tc>
              <w:tc>
                <w:tcPr>
                  <w:tcW w:w="2042" w:type="dxa"/>
                  <w:tcBorders>
                    <w:tl2br w:val="nil"/>
                    <w:tr2bl w:val="nil"/>
                  </w:tcBorders>
                  <w:shd w:val="clear" w:color="auto" w:fill="auto"/>
                  <w:vAlign w:val="center"/>
                </w:tcPr>
                <w:p w14:paraId="6FF611D6">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JB-SF-2T</w:t>
                  </w:r>
                </w:p>
              </w:tc>
              <w:tc>
                <w:tcPr>
                  <w:tcW w:w="916" w:type="dxa"/>
                  <w:tcBorders>
                    <w:tl2br w:val="nil"/>
                    <w:tr2bl w:val="nil"/>
                  </w:tcBorders>
                  <w:shd w:val="clear" w:color="auto" w:fill="auto"/>
                  <w:vAlign w:val="center"/>
                </w:tcPr>
                <w:p w14:paraId="5A761E3C">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rPr>
                    <w:t>台</w:t>
                  </w:r>
                </w:p>
              </w:tc>
              <w:tc>
                <w:tcPr>
                  <w:tcW w:w="1982" w:type="dxa"/>
                  <w:tcBorders>
                    <w:tl2br w:val="nil"/>
                    <w:tr2bl w:val="nil"/>
                  </w:tcBorders>
                  <w:shd w:val="clear" w:color="auto" w:fill="auto"/>
                  <w:vAlign w:val="center"/>
                </w:tcPr>
                <w:p w14:paraId="40E2C22C">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20</w:t>
                  </w:r>
                </w:p>
              </w:tc>
            </w:tr>
            <w:tr w14:paraId="0C60C970">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39" w:type="dxa"/>
                  <w:tcBorders>
                    <w:tl2br w:val="nil"/>
                    <w:tr2bl w:val="nil"/>
                  </w:tcBorders>
                  <w:shd w:val="clear" w:color="auto" w:fill="auto"/>
                  <w:vAlign w:val="center"/>
                </w:tcPr>
                <w:p w14:paraId="1FCE7C8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4</w:t>
                  </w:r>
                </w:p>
              </w:tc>
              <w:tc>
                <w:tcPr>
                  <w:tcW w:w="2559" w:type="dxa"/>
                  <w:tcBorders>
                    <w:tl2br w:val="nil"/>
                    <w:tr2bl w:val="nil"/>
                  </w:tcBorders>
                  <w:shd w:val="clear" w:color="auto" w:fill="auto"/>
                  <w:vAlign w:val="center"/>
                </w:tcPr>
                <w:p w14:paraId="49933942">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储气罐</w:t>
                  </w:r>
                </w:p>
              </w:tc>
              <w:tc>
                <w:tcPr>
                  <w:tcW w:w="2042" w:type="dxa"/>
                  <w:tcBorders>
                    <w:tl2br w:val="nil"/>
                    <w:tr2bl w:val="nil"/>
                  </w:tcBorders>
                  <w:shd w:val="clear" w:color="auto" w:fill="auto"/>
                  <w:vAlign w:val="center"/>
                </w:tcPr>
                <w:p w14:paraId="1E798B3A">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1m</w:t>
                  </w:r>
                  <w:r>
                    <w:rPr>
                      <w:rFonts w:hint="eastAsia" w:ascii="Times New Roman"/>
                      <w:color w:val="auto"/>
                      <w:sz w:val="21"/>
                      <w:szCs w:val="21"/>
                      <w:highlight w:val="none"/>
                      <w:vertAlign w:val="superscript"/>
                      <w:lang w:val="en-US" w:eastAsia="zh-CN"/>
                    </w:rPr>
                    <w:t>3</w:t>
                  </w:r>
                </w:p>
              </w:tc>
              <w:tc>
                <w:tcPr>
                  <w:tcW w:w="916" w:type="dxa"/>
                  <w:tcBorders>
                    <w:tl2br w:val="nil"/>
                    <w:tr2bl w:val="nil"/>
                  </w:tcBorders>
                  <w:shd w:val="clear" w:color="auto" w:fill="auto"/>
                  <w:vAlign w:val="center"/>
                </w:tcPr>
                <w:p w14:paraId="3E68124A">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eastAsia="zh-CN"/>
                    </w:rPr>
                    <w:t>个</w:t>
                  </w:r>
                </w:p>
              </w:tc>
              <w:tc>
                <w:tcPr>
                  <w:tcW w:w="1982" w:type="dxa"/>
                  <w:tcBorders>
                    <w:tl2br w:val="nil"/>
                    <w:tr2bl w:val="nil"/>
                  </w:tcBorders>
                  <w:shd w:val="clear" w:color="auto" w:fill="auto"/>
                  <w:vAlign w:val="center"/>
                </w:tcPr>
                <w:p w14:paraId="122D36CC">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2</w:t>
                  </w:r>
                </w:p>
              </w:tc>
            </w:tr>
            <w:tr w14:paraId="6983FFB7">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39" w:type="dxa"/>
                  <w:tcBorders>
                    <w:tl2br w:val="nil"/>
                    <w:tr2bl w:val="nil"/>
                  </w:tcBorders>
                  <w:shd w:val="clear" w:color="auto" w:fill="auto"/>
                  <w:vAlign w:val="center"/>
                </w:tcPr>
                <w:p w14:paraId="146D6DA5">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5</w:t>
                  </w:r>
                </w:p>
              </w:tc>
              <w:tc>
                <w:tcPr>
                  <w:tcW w:w="2559" w:type="dxa"/>
                  <w:tcBorders>
                    <w:tl2br w:val="nil"/>
                    <w:tr2bl w:val="nil"/>
                  </w:tcBorders>
                  <w:shd w:val="clear" w:color="auto" w:fill="auto"/>
                  <w:vAlign w:val="center"/>
                </w:tcPr>
                <w:p w14:paraId="70B4F240">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冷干机</w:t>
                  </w:r>
                </w:p>
              </w:tc>
              <w:tc>
                <w:tcPr>
                  <w:tcW w:w="2042" w:type="dxa"/>
                  <w:tcBorders>
                    <w:tl2br w:val="nil"/>
                    <w:tr2bl w:val="nil"/>
                  </w:tcBorders>
                  <w:shd w:val="clear" w:color="auto" w:fill="auto"/>
                  <w:vAlign w:val="center"/>
                </w:tcPr>
                <w:p w14:paraId="68D85AF6">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p>
              </w:tc>
              <w:tc>
                <w:tcPr>
                  <w:tcW w:w="916" w:type="dxa"/>
                  <w:tcBorders>
                    <w:tl2br w:val="nil"/>
                    <w:tr2bl w:val="nil"/>
                  </w:tcBorders>
                  <w:shd w:val="clear" w:color="auto" w:fill="auto"/>
                  <w:vAlign w:val="center"/>
                </w:tcPr>
                <w:p w14:paraId="6B097EDB">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color w:val="auto"/>
                      <w:sz w:val="21"/>
                      <w:szCs w:val="21"/>
                      <w:highlight w:val="none"/>
                      <w:lang w:eastAsia="zh-CN"/>
                    </w:rPr>
                  </w:pPr>
                  <w:r>
                    <w:rPr>
                      <w:rFonts w:hint="eastAsia" w:ascii="Times New Roman"/>
                      <w:color w:val="auto"/>
                      <w:sz w:val="21"/>
                      <w:szCs w:val="21"/>
                      <w:highlight w:val="none"/>
                      <w:lang w:eastAsia="zh-CN"/>
                    </w:rPr>
                    <w:t>台</w:t>
                  </w:r>
                </w:p>
              </w:tc>
              <w:tc>
                <w:tcPr>
                  <w:tcW w:w="1982" w:type="dxa"/>
                  <w:tcBorders>
                    <w:tl2br w:val="nil"/>
                    <w:tr2bl w:val="nil"/>
                  </w:tcBorders>
                  <w:shd w:val="clear" w:color="auto" w:fill="auto"/>
                  <w:vAlign w:val="center"/>
                </w:tcPr>
                <w:p w14:paraId="0C858EB1">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1</w:t>
                  </w:r>
                </w:p>
              </w:tc>
            </w:tr>
            <w:tr w14:paraId="48F558D3">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39" w:type="dxa"/>
                  <w:tcBorders>
                    <w:tl2br w:val="nil"/>
                    <w:tr2bl w:val="nil"/>
                  </w:tcBorders>
                  <w:shd w:val="clear" w:color="auto" w:fill="auto"/>
                  <w:vAlign w:val="center"/>
                </w:tcPr>
                <w:p w14:paraId="473F6813">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6</w:t>
                  </w:r>
                </w:p>
              </w:tc>
              <w:tc>
                <w:tcPr>
                  <w:tcW w:w="2559" w:type="dxa"/>
                  <w:tcBorders>
                    <w:tl2br w:val="nil"/>
                    <w:tr2bl w:val="nil"/>
                  </w:tcBorders>
                  <w:shd w:val="clear" w:color="auto" w:fill="auto"/>
                  <w:vAlign w:val="center"/>
                </w:tcPr>
                <w:p w14:paraId="06D9C2F4">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压滤机</w:t>
                  </w:r>
                </w:p>
              </w:tc>
              <w:tc>
                <w:tcPr>
                  <w:tcW w:w="2042" w:type="dxa"/>
                  <w:tcBorders>
                    <w:tl2br w:val="nil"/>
                    <w:tr2bl w:val="nil"/>
                  </w:tcBorders>
                  <w:shd w:val="clear" w:color="auto" w:fill="auto"/>
                  <w:vAlign w:val="center"/>
                </w:tcPr>
                <w:p w14:paraId="6699CFF2">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p>
              </w:tc>
              <w:tc>
                <w:tcPr>
                  <w:tcW w:w="916" w:type="dxa"/>
                  <w:tcBorders>
                    <w:tl2br w:val="nil"/>
                    <w:tr2bl w:val="nil"/>
                  </w:tcBorders>
                  <w:shd w:val="clear" w:color="auto" w:fill="auto"/>
                  <w:vAlign w:val="center"/>
                </w:tcPr>
                <w:p w14:paraId="52DC7F03">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eastAsia="zh-CN"/>
                    </w:rPr>
                    <w:t>台</w:t>
                  </w:r>
                </w:p>
              </w:tc>
              <w:tc>
                <w:tcPr>
                  <w:tcW w:w="1982" w:type="dxa"/>
                  <w:tcBorders>
                    <w:tl2br w:val="nil"/>
                    <w:tr2bl w:val="nil"/>
                  </w:tcBorders>
                  <w:shd w:val="clear" w:color="auto" w:fill="auto"/>
                  <w:vAlign w:val="center"/>
                </w:tcPr>
                <w:p w14:paraId="41A94619">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w:t>
                  </w:r>
                </w:p>
              </w:tc>
            </w:tr>
            <w:tr w14:paraId="72CB0344">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39" w:type="dxa"/>
                  <w:tcBorders>
                    <w:tl2br w:val="nil"/>
                    <w:tr2bl w:val="nil"/>
                  </w:tcBorders>
                  <w:shd w:val="clear" w:color="auto" w:fill="auto"/>
                  <w:vAlign w:val="center"/>
                </w:tcPr>
                <w:p w14:paraId="3775F2E7">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7</w:t>
                  </w:r>
                </w:p>
              </w:tc>
              <w:tc>
                <w:tcPr>
                  <w:tcW w:w="2559" w:type="dxa"/>
                  <w:tcBorders>
                    <w:tl2br w:val="nil"/>
                    <w:tr2bl w:val="nil"/>
                  </w:tcBorders>
                  <w:shd w:val="clear" w:color="auto" w:fill="auto"/>
                  <w:vAlign w:val="center"/>
                </w:tcPr>
                <w:p w14:paraId="1DBA3E1C">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rPr>
                    <w:t>叉车</w:t>
                  </w:r>
                  <w:r>
                    <w:rPr>
                      <w:rFonts w:hint="eastAsia" w:ascii="Times New Roman"/>
                      <w:color w:val="auto"/>
                      <w:sz w:val="21"/>
                      <w:szCs w:val="21"/>
                      <w:highlight w:val="none"/>
                      <w:lang w:eastAsia="zh-CN"/>
                    </w:rPr>
                    <w:t>（</w:t>
                  </w:r>
                  <w:r>
                    <w:rPr>
                      <w:rFonts w:hint="eastAsia" w:ascii="Times New Roman"/>
                      <w:color w:val="auto"/>
                      <w:sz w:val="21"/>
                      <w:szCs w:val="21"/>
                      <w:highlight w:val="none"/>
                      <w:lang w:val="en-US" w:eastAsia="zh-CN"/>
                    </w:rPr>
                    <w:t>使用铅酸电池</w:t>
                  </w:r>
                  <w:r>
                    <w:rPr>
                      <w:rFonts w:hint="eastAsia" w:ascii="Times New Roman"/>
                      <w:color w:val="auto"/>
                      <w:sz w:val="21"/>
                      <w:szCs w:val="21"/>
                      <w:highlight w:val="none"/>
                      <w:lang w:eastAsia="zh-CN"/>
                    </w:rPr>
                    <w:t>）</w:t>
                  </w:r>
                </w:p>
              </w:tc>
              <w:tc>
                <w:tcPr>
                  <w:tcW w:w="2042" w:type="dxa"/>
                  <w:tcBorders>
                    <w:tl2br w:val="nil"/>
                    <w:tr2bl w:val="nil"/>
                  </w:tcBorders>
                  <w:shd w:val="clear" w:color="auto" w:fill="auto"/>
                  <w:vAlign w:val="center"/>
                </w:tcPr>
                <w:p w14:paraId="29F51626">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3T</w:t>
                  </w:r>
                </w:p>
              </w:tc>
              <w:tc>
                <w:tcPr>
                  <w:tcW w:w="916" w:type="dxa"/>
                  <w:tcBorders>
                    <w:tl2br w:val="nil"/>
                    <w:tr2bl w:val="nil"/>
                  </w:tcBorders>
                  <w:shd w:val="clear" w:color="auto" w:fill="auto"/>
                  <w:vAlign w:val="center"/>
                </w:tcPr>
                <w:p w14:paraId="666C6578">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台</w:t>
                  </w:r>
                </w:p>
              </w:tc>
              <w:tc>
                <w:tcPr>
                  <w:tcW w:w="1982" w:type="dxa"/>
                  <w:tcBorders>
                    <w:tl2br w:val="nil"/>
                    <w:tr2bl w:val="nil"/>
                  </w:tcBorders>
                  <w:shd w:val="clear" w:color="auto" w:fill="auto"/>
                  <w:vAlign w:val="center"/>
                </w:tcPr>
                <w:p w14:paraId="3DC74C0A">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2</w:t>
                  </w:r>
                </w:p>
              </w:tc>
            </w:tr>
            <w:tr w14:paraId="1BDEED23">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39" w:type="dxa"/>
                  <w:tcBorders>
                    <w:tl2br w:val="nil"/>
                    <w:tr2bl w:val="nil"/>
                  </w:tcBorders>
                  <w:shd w:val="clear" w:color="auto" w:fill="auto"/>
                  <w:vAlign w:val="center"/>
                </w:tcPr>
                <w:p w14:paraId="386E7F06">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8</w:t>
                  </w:r>
                </w:p>
              </w:tc>
              <w:tc>
                <w:tcPr>
                  <w:tcW w:w="2559" w:type="dxa"/>
                  <w:tcBorders>
                    <w:tl2br w:val="nil"/>
                    <w:tr2bl w:val="nil"/>
                  </w:tcBorders>
                  <w:shd w:val="clear" w:color="auto" w:fill="auto"/>
                  <w:vAlign w:val="center"/>
                </w:tcPr>
                <w:p w14:paraId="77ED412E">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eastAsia="zh-CN"/>
                    </w:rPr>
                    <w:t>螺杆式空气压缩</w:t>
                  </w:r>
                  <w:r>
                    <w:rPr>
                      <w:rFonts w:hint="eastAsia" w:ascii="Times New Roman"/>
                      <w:color w:val="auto"/>
                      <w:sz w:val="21"/>
                      <w:szCs w:val="21"/>
                      <w:highlight w:val="none"/>
                    </w:rPr>
                    <w:t>机</w:t>
                  </w:r>
                </w:p>
              </w:tc>
              <w:tc>
                <w:tcPr>
                  <w:tcW w:w="2042" w:type="dxa"/>
                  <w:tcBorders>
                    <w:tl2br w:val="nil"/>
                    <w:tr2bl w:val="nil"/>
                  </w:tcBorders>
                  <w:shd w:val="clear" w:color="auto" w:fill="auto"/>
                  <w:vAlign w:val="center"/>
                </w:tcPr>
                <w:p w14:paraId="705B5B79">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p>
              </w:tc>
              <w:tc>
                <w:tcPr>
                  <w:tcW w:w="916" w:type="dxa"/>
                  <w:tcBorders>
                    <w:tl2br w:val="nil"/>
                    <w:tr2bl w:val="nil"/>
                  </w:tcBorders>
                  <w:shd w:val="clear" w:color="auto" w:fill="auto"/>
                  <w:vAlign w:val="center"/>
                </w:tcPr>
                <w:p w14:paraId="3BAB8579">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台</w:t>
                  </w:r>
                </w:p>
              </w:tc>
              <w:tc>
                <w:tcPr>
                  <w:tcW w:w="1982" w:type="dxa"/>
                  <w:tcBorders>
                    <w:tl2br w:val="nil"/>
                    <w:tr2bl w:val="nil"/>
                  </w:tcBorders>
                  <w:shd w:val="clear" w:color="auto" w:fill="auto"/>
                  <w:vAlign w:val="center"/>
                </w:tcPr>
                <w:p w14:paraId="2BAA004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w:t>
                  </w:r>
                </w:p>
              </w:tc>
            </w:tr>
            <w:tr w14:paraId="7D81766A">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39" w:type="dxa"/>
                  <w:tcBorders>
                    <w:tl2br w:val="nil"/>
                    <w:tr2bl w:val="nil"/>
                  </w:tcBorders>
                  <w:shd w:val="clear" w:color="auto" w:fill="auto"/>
                  <w:vAlign w:val="center"/>
                </w:tcPr>
                <w:p w14:paraId="1E036B7F">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9</w:t>
                  </w:r>
                </w:p>
              </w:tc>
              <w:tc>
                <w:tcPr>
                  <w:tcW w:w="2559" w:type="dxa"/>
                  <w:tcBorders>
                    <w:tl2br w:val="nil"/>
                    <w:tr2bl w:val="nil"/>
                  </w:tcBorders>
                  <w:shd w:val="clear" w:color="auto" w:fill="auto"/>
                  <w:vAlign w:val="center"/>
                </w:tcPr>
                <w:p w14:paraId="34AF3769">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循环水泵</w:t>
                  </w:r>
                </w:p>
              </w:tc>
              <w:tc>
                <w:tcPr>
                  <w:tcW w:w="2042" w:type="dxa"/>
                  <w:tcBorders>
                    <w:tl2br w:val="nil"/>
                    <w:tr2bl w:val="nil"/>
                  </w:tcBorders>
                  <w:shd w:val="clear" w:color="auto" w:fill="auto"/>
                  <w:vAlign w:val="center"/>
                </w:tcPr>
                <w:p w14:paraId="4CCE1BAF">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p>
              </w:tc>
              <w:tc>
                <w:tcPr>
                  <w:tcW w:w="916" w:type="dxa"/>
                  <w:tcBorders>
                    <w:tl2br w:val="nil"/>
                    <w:tr2bl w:val="nil"/>
                  </w:tcBorders>
                  <w:shd w:val="clear" w:color="auto" w:fill="auto"/>
                  <w:vAlign w:val="center"/>
                </w:tcPr>
                <w:p w14:paraId="160F507A">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台</w:t>
                  </w:r>
                </w:p>
              </w:tc>
              <w:tc>
                <w:tcPr>
                  <w:tcW w:w="1982" w:type="dxa"/>
                  <w:tcBorders>
                    <w:tl2br w:val="nil"/>
                    <w:tr2bl w:val="nil"/>
                  </w:tcBorders>
                  <w:shd w:val="clear" w:color="auto" w:fill="auto"/>
                  <w:vAlign w:val="center"/>
                </w:tcPr>
                <w:p w14:paraId="61E3AF0C">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1</w:t>
                  </w:r>
                </w:p>
              </w:tc>
            </w:tr>
            <w:tr w14:paraId="3384B8DD">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39" w:type="dxa"/>
                  <w:tcBorders>
                    <w:tl2br w:val="nil"/>
                    <w:tr2bl w:val="nil"/>
                  </w:tcBorders>
                  <w:shd w:val="clear" w:color="auto" w:fill="auto"/>
                  <w:vAlign w:val="center"/>
                </w:tcPr>
                <w:p w14:paraId="24E57F22">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10</w:t>
                  </w:r>
                </w:p>
              </w:tc>
              <w:tc>
                <w:tcPr>
                  <w:tcW w:w="2559" w:type="dxa"/>
                  <w:tcBorders>
                    <w:tl2br w:val="nil"/>
                    <w:tr2bl w:val="nil"/>
                  </w:tcBorders>
                  <w:shd w:val="clear" w:color="auto" w:fill="auto"/>
                  <w:vAlign w:val="center"/>
                </w:tcPr>
                <w:p w14:paraId="63F5F67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打磨机</w:t>
                  </w:r>
                </w:p>
              </w:tc>
              <w:tc>
                <w:tcPr>
                  <w:tcW w:w="2042" w:type="dxa"/>
                  <w:tcBorders>
                    <w:tl2br w:val="nil"/>
                    <w:tr2bl w:val="nil"/>
                  </w:tcBorders>
                  <w:shd w:val="clear" w:color="auto" w:fill="auto"/>
                  <w:vAlign w:val="center"/>
                </w:tcPr>
                <w:p w14:paraId="09A6BA75">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color w:val="auto"/>
                      <w:sz w:val="21"/>
                      <w:szCs w:val="21"/>
                      <w:highlight w:val="none"/>
                      <w:lang w:val="en-US" w:eastAsia="zh-CN"/>
                    </w:rPr>
                  </w:pPr>
                </w:p>
              </w:tc>
              <w:tc>
                <w:tcPr>
                  <w:tcW w:w="916" w:type="dxa"/>
                  <w:tcBorders>
                    <w:tl2br w:val="nil"/>
                    <w:tr2bl w:val="nil"/>
                  </w:tcBorders>
                  <w:shd w:val="clear" w:color="auto" w:fill="auto"/>
                  <w:vAlign w:val="center"/>
                </w:tcPr>
                <w:p w14:paraId="74A55F01">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台</w:t>
                  </w:r>
                </w:p>
              </w:tc>
              <w:tc>
                <w:tcPr>
                  <w:tcW w:w="1982" w:type="dxa"/>
                  <w:tcBorders>
                    <w:tl2br w:val="nil"/>
                    <w:tr2bl w:val="nil"/>
                  </w:tcBorders>
                  <w:shd w:val="clear" w:color="auto" w:fill="auto"/>
                  <w:vAlign w:val="center"/>
                </w:tcPr>
                <w:p w14:paraId="16BEF678">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25（不同时工作）</w:t>
                  </w:r>
                </w:p>
              </w:tc>
            </w:tr>
            <w:tr w14:paraId="1095E91C">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39" w:type="dxa"/>
                  <w:tcBorders>
                    <w:tl2br w:val="nil"/>
                    <w:tr2bl w:val="nil"/>
                  </w:tcBorders>
                  <w:shd w:val="clear" w:color="auto" w:fill="auto"/>
                  <w:vAlign w:val="center"/>
                </w:tcPr>
                <w:p w14:paraId="329D61F8">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11</w:t>
                  </w:r>
                </w:p>
              </w:tc>
              <w:tc>
                <w:tcPr>
                  <w:tcW w:w="2559" w:type="dxa"/>
                  <w:tcBorders>
                    <w:tl2br w:val="nil"/>
                    <w:tr2bl w:val="nil"/>
                  </w:tcBorders>
                  <w:shd w:val="clear" w:color="auto" w:fill="auto"/>
                  <w:vAlign w:val="center"/>
                </w:tcPr>
                <w:p w14:paraId="1D01ADA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研磨机</w:t>
                  </w:r>
                </w:p>
              </w:tc>
              <w:tc>
                <w:tcPr>
                  <w:tcW w:w="2042" w:type="dxa"/>
                  <w:tcBorders>
                    <w:tl2br w:val="nil"/>
                    <w:tr2bl w:val="nil"/>
                  </w:tcBorders>
                  <w:shd w:val="clear" w:color="auto" w:fill="auto"/>
                  <w:vAlign w:val="center"/>
                </w:tcPr>
                <w:p w14:paraId="703AC480">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C2150</w:t>
                  </w:r>
                </w:p>
              </w:tc>
              <w:tc>
                <w:tcPr>
                  <w:tcW w:w="916" w:type="dxa"/>
                  <w:tcBorders>
                    <w:tl2br w:val="nil"/>
                    <w:tr2bl w:val="nil"/>
                  </w:tcBorders>
                  <w:shd w:val="clear" w:color="auto" w:fill="auto"/>
                  <w:vAlign w:val="center"/>
                </w:tcPr>
                <w:p w14:paraId="49C2D93B">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台</w:t>
                  </w:r>
                </w:p>
              </w:tc>
              <w:tc>
                <w:tcPr>
                  <w:tcW w:w="1982" w:type="dxa"/>
                  <w:tcBorders>
                    <w:tl2br w:val="nil"/>
                    <w:tr2bl w:val="nil"/>
                  </w:tcBorders>
                  <w:shd w:val="clear" w:color="auto" w:fill="auto"/>
                  <w:vAlign w:val="center"/>
                </w:tcPr>
                <w:p w14:paraId="2B3375E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16（不同时工作）</w:t>
                  </w:r>
                </w:p>
              </w:tc>
            </w:tr>
            <w:tr w14:paraId="33EBA83D">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39" w:type="dxa"/>
                  <w:tcBorders>
                    <w:tl2br w:val="nil"/>
                    <w:tr2bl w:val="nil"/>
                  </w:tcBorders>
                  <w:shd w:val="clear" w:color="auto" w:fill="auto"/>
                  <w:vAlign w:val="center"/>
                </w:tcPr>
                <w:p w14:paraId="59996438">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12</w:t>
                  </w:r>
                </w:p>
              </w:tc>
              <w:tc>
                <w:tcPr>
                  <w:tcW w:w="2559" w:type="dxa"/>
                  <w:tcBorders>
                    <w:tl2br w:val="nil"/>
                    <w:tr2bl w:val="nil"/>
                  </w:tcBorders>
                  <w:shd w:val="clear" w:color="auto" w:fill="auto"/>
                  <w:vAlign w:val="center"/>
                </w:tcPr>
                <w:p w14:paraId="6577564B">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麻轮机</w:t>
                  </w:r>
                </w:p>
              </w:tc>
              <w:tc>
                <w:tcPr>
                  <w:tcW w:w="2042" w:type="dxa"/>
                  <w:tcBorders>
                    <w:tl2br w:val="nil"/>
                    <w:tr2bl w:val="nil"/>
                  </w:tcBorders>
                  <w:shd w:val="clear" w:color="auto" w:fill="auto"/>
                  <w:vAlign w:val="center"/>
                </w:tcPr>
                <w:p w14:paraId="25F5CE79">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220</w:t>
                  </w:r>
                </w:p>
              </w:tc>
              <w:tc>
                <w:tcPr>
                  <w:tcW w:w="916" w:type="dxa"/>
                  <w:tcBorders>
                    <w:tl2br w:val="nil"/>
                    <w:tr2bl w:val="nil"/>
                  </w:tcBorders>
                  <w:shd w:val="clear" w:color="auto" w:fill="auto"/>
                  <w:vAlign w:val="center"/>
                </w:tcPr>
                <w:p w14:paraId="2406D1E2">
                  <w:pPr>
                    <w:keepNext w:val="0"/>
                    <w:keepLines w:val="0"/>
                    <w:suppressLineNumbers w:val="0"/>
                    <w:spacing w:before="0" w:beforeLines="0" w:beforeAutospacing="0" w:after="0" w:afterLines="0" w:afterAutospacing="0" w:line="240" w:lineRule="auto"/>
                    <w:ind w:left="0" w:leftChars="0" w:right="0" w:rightChars="0" w:firstLine="0" w:firstLineChars="0"/>
                    <w:jc w:val="center"/>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台</w:t>
                  </w:r>
                </w:p>
              </w:tc>
              <w:tc>
                <w:tcPr>
                  <w:tcW w:w="1982" w:type="dxa"/>
                  <w:tcBorders>
                    <w:tl2br w:val="nil"/>
                    <w:tr2bl w:val="nil"/>
                  </w:tcBorders>
                  <w:shd w:val="clear" w:color="auto" w:fill="auto"/>
                  <w:vAlign w:val="center"/>
                </w:tcPr>
                <w:p w14:paraId="01E1D4C4">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4</w:t>
                  </w:r>
                </w:p>
              </w:tc>
            </w:tr>
            <w:tr w14:paraId="31EC14CD">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39" w:type="dxa"/>
                  <w:tcBorders>
                    <w:tl2br w:val="nil"/>
                    <w:tr2bl w:val="nil"/>
                  </w:tcBorders>
                  <w:shd w:val="clear" w:color="auto" w:fill="auto"/>
                  <w:vAlign w:val="center"/>
                </w:tcPr>
                <w:p w14:paraId="4CDD90A8">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13</w:t>
                  </w:r>
                </w:p>
              </w:tc>
              <w:tc>
                <w:tcPr>
                  <w:tcW w:w="2559" w:type="dxa"/>
                  <w:tcBorders>
                    <w:tl2br w:val="nil"/>
                    <w:tr2bl w:val="nil"/>
                  </w:tcBorders>
                  <w:shd w:val="clear" w:color="auto" w:fill="auto"/>
                  <w:vAlign w:val="center"/>
                </w:tcPr>
                <w:p w14:paraId="4ED84269">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硬布机</w:t>
                  </w:r>
                </w:p>
              </w:tc>
              <w:tc>
                <w:tcPr>
                  <w:tcW w:w="2042" w:type="dxa"/>
                  <w:tcBorders>
                    <w:tl2br w:val="nil"/>
                    <w:tr2bl w:val="nil"/>
                  </w:tcBorders>
                  <w:shd w:val="clear" w:color="auto" w:fill="auto"/>
                  <w:vAlign w:val="center"/>
                </w:tcPr>
                <w:p w14:paraId="73498BE1">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cs="Times New Roman"/>
                      <w:color w:val="auto"/>
                      <w:kern w:val="0"/>
                      <w:sz w:val="21"/>
                      <w:szCs w:val="21"/>
                      <w:highlight w:val="none"/>
                      <w:lang w:val="en-US" w:eastAsia="zh-CN" w:bidi="ar-SA"/>
                    </w:rPr>
                  </w:pPr>
                </w:p>
              </w:tc>
              <w:tc>
                <w:tcPr>
                  <w:tcW w:w="916" w:type="dxa"/>
                  <w:tcBorders>
                    <w:tl2br w:val="nil"/>
                    <w:tr2bl w:val="nil"/>
                  </w:tcBorders>
                  <w:shd w:val="clear" w:color="auto" w:fill="auto"/>
                  <w:vAlign w:val="center"/>
                </w:tcPr>
                <w:p w14:paraId="095489D2">
                  <w:pPr>
                    <w:keepNext w:val="0"/>
                    <w:keepLines w:val="0"/>
                    <w:suppressLineNumbers w:val="0"/>
                    <w:spacing w:before="0" w:beforeLines="0" w:beforeAutospacing="0" w:after="0" w:afterLines="0" w:afterAutospacing="0" w:line="240" w:lineRule="auto"/>
                    <w:ind w:left="0" w:leftChars="0" w:right="0" w:rightChars="0" w:firstLine="0" w:firstLineChars="0"/>
                    <w:jc w:val="center"/>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台</w:t>
                  </w:r>
                </w:p>
              </w:tc>
              <w:tc>
                <w:tcPr>
                  <w:tcW w:w="1982" w:type="dxa"/>
                  <w:tcBorders>
                    <w:tl2br w:val="nil"/>
                    <w:tr2bl w:val="nil"/>
                  </w:tcBorders>
                  <w:shd w:val="clear" w:color="auto" w:fill="auto"/>
                  <w:vAlign w:val="center"/>
                </w:tcPr>
                <w:p w14:paraId="362E97F9">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2</w:t>
                  </w:r>
                </w:p>
              </w:tc>
            </w:tr>
            <w:tr w14:paraId="706138FE">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39" w:type="dxa"/>
                  <w:tcBorders>
                    <w:tl2br w:val="nil"/>
                    <w:tr2bl w:val="nil"/>
                  </w:tcBorders>
                  <w:shd w:val="clear" w:color="auto" w:fill="auto"/>
                  <w:vAlign w:val="center"/>
                </w:tcPr>
                <w:p w14:paraId="11479C23">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14</w:t>
                  </w:r>
                </w:p>
              </w:tc>
              <w:tc>
                <w:tcPr>
                  <w:tcW w:w="2559" w:type="dxa"/>
                  <w:tcBorders>
                    <w:tl2br w:val="nil"/>
                    <w:tr2bl w:val="nil"/>
                  </w:tcBorders>
                  <w:shd w:val="clear" w:color="auto" w:fill="auto"/>
                  <w:vAlign w:val="center"/>
                </w:tcPr>
                <w:p w14:paraId="166EBB40">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软抛机</w:t>
                  </w:r>
                </w:p>
              </w:tc>
              <w:tc>
                <w:tcPr>
                  <w:tcW w:w="2042" w:type="dxa"/>
                  <w:tcBorders>
                    <w:tl2br w:val="nil"/>
                    <w:tr2bl w:val="nil"/>
                  </w:tcBorders>
                  <w:shd w:val="clear" w:color="auto" w:fill="auto"/>
                  <w:vAlign w:val="center"/>
                </w:tcPr>
                <w:p w14:paraId="4730A57F">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cs="Times New Roman"/>
                      <w:color w:val="auto"/>
                      <w:kern w:val="0"/>
                      <w:sz w:val="21"/>
                      <w:szCs w:val="21"/>
                      <w:highlight w:val="none"/>
                      <w:lang w:val="en-US" w:eastAsia="zh-CN" w:bidi="ar-SA"/>
                    </w:rPr>
                  </w:pPr>
                </w:p>
              </w:tc>
              <w:tc>
                <w:tcPr>
                  <w:tcW w:w="916" w:type="dxa"/>
                  <w:tcBorders>
                    <w:tl2br w:val="nil"/>
                    <w:tr2bl w:val="nil"/>
                  </w:tcBorders>
                  <w:shd w:val="clear" w:color="auto" w:fill="auto"/>
                  <w:vAlign w:val="center"/>
                </w:tcPr>
                <w:p w14:paraId="3F38631A">
                  <w:pPr>
                    <w:keepNext w:val="0"/>
                    <w:keepLines w:val="0"/>
                    <w:suppressLineNumbers w:val="0"/>
                    <w:spacing w:before="0" w:beforeLines="0" w:beforeAutospacing="0" w:after="0" w:afterLines="0" w:afterAutospacing="0" w:line="240" w:lineRule="auto"/>
                    <w:ind w:left="0" w:leftChars="0" w:right="0" w:rightChars="0" w:firstLine="0" w:firstLineChars="0"/>
                    <w:jc w:val="center"/>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台</w:t>
                  </w:r>
                </w:p>
              </w:tc>
              <w:tc>
                <w:tcPr>
                  <w:tcW w:w="1982" w:type="dxa"/>
                  <w:tcBorders>
                    <w:tl2br w:val="nil"/>
                    <w:tr2bl w:val="nil"/>
                  </w:tcBorders>
                  <w:shd w:val="clear" w:color="auto" w:fill="auto"/>
                  <w:vAlign w:val="center"/>
                </w:tcPr>
                <w:p w14:paraId="058A408C">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2</w:t>
                  </w:r>
                </w:p>
              </w:tc>
            </w:tr>
            <w:tr w14:paraId="3D579399">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39" w:type="dxa"/>
                  <w:tcBorders>
                    <w:tl2br w:val="nil"/>
                    <w:tr2bl w:val="nil"/>
                  </w:tcBorders>
                  <w:shd w:val="clear" w:color="auto" w:fill="auto"/>
                  <w:vAlign w:val="center"/>
                </w:tcPr>
                <w:p w14:paraId="49821073">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15</w:t>
                  </w:r>
                </w:p>
              </w:tc>
              <w:tc>
                <w:tcPr>
                  <w:tcW w:w="2559" w:type="dxa"/>
                  <w:tcBorders>
                    <w:tl2br w:val="nil"/>
                    <w:tr2bl w:val="nil"/>
                  </w:tcBorders>
                  <w:shd w:val="clear" w:color="auto" w:fill="auto"/>
                  <w:vAlign w:val="center"/>
                </w:tcPr>
                <w:p w14:paraId="36280846">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一级沉淀池</w:t>
                  </w:r>
                </w:p>
              </w:tc>
              <w:tc>
                <w:tcPr>
                  <w:tcW w:w="2042" w:type="dxa"/>
                  <w:tcBorders>
                    <w:tl2br w:val="nil"/>
                    <w:tr2bl w:val="nil"/>
                  </w:tcBorders>
                  <w:shd w:val="clear" w:color="auto" w:fill="auto"/>
                  <w:vAlign w:val="center"/>
                </w:tcPr>
                <w:p w14:paraId="2159A203">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highlight w:val="none"/>
                      <w:lang w:val="en-US" w:eastAsia="zh-CN"/>
                    </w:rPr>
                  </w:pPr>
                  <w:r>
                    <w:rPr>
                      <w:rFonts w:hint="eastAsia" w:ascii="Times New Roman" w:cs="Times New Roman"/>
                      <w:color w:val="auto"/>
                      <w:kern w:val="0"/>
                      <w:sz w:val="21"/>
                      <w:szCs w:val="21"/>
                      <w:highlight w:val="none"/>
                      <w:lang w:val="en-US" w:eastAsia="zh-CN" w:bidi="ar-SA"/>
                    </w:rPr>
                    <w:t>5x2x2m</w:t>
                  </w:r>
                </w:p>
              </w:tc>
              <w:tc>
                <w:tcPr>
                  <w:tcW w:w="916" w:type="dxa"/>
                  <w:tcBorders>
                    <w:tl2br w:val="nil"/>
                    <w:tr2bl w:val="nil"/>
                  </w:tcBorders>
                  <w:shd w:val="clear" w:color="auto" w:fill="auto"/>
                  <w:vAlign w:val="center"/>
                </w:tcPr>
                <w:p w14:paraId="00BD5ECC">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座</w:t>
                  </w:r>
                </w:p>
              </w:tc>
              <w:tc>
                <w:tcPr>
                  <w:tcW w:w="1982" w:type="dxa"/>
                  <w:tcBorders>
                    <w:tl2br w:val="nil"/>
                    <w:tr2bl w:val="nil"/>
                  </w:tcBorders>
                  <w:shd w:val="clear" w:color="auto" w:fill="auto"/>
                  <w:vAlign w:val="center"/>
                </w:tcPr>
                <w:p w14:paraId="0580470F">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w:t>
                  </w:r>
                </w:p>
              </w:tc>
            </w:tr>
            <w:tr w14:paraId="2D5B1421">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39" w:type="dxa"/>
                  <w:tcBorders>
                    <w:tl2br w:val="nil"/>
                    <w:tr2bl w:val="nil"/>
                  </w:tcBorders>
                  <w:shd w:val="clear" w:color="auto" w:fill="auto"/>
                  <w:vAlign w:val="center"/>
                </w:tcPr>
                <w:p w14:paraId="57EDC5E4">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16</w:t>
                  </w:r>
                </w:p>
              </w:tc>
              <w:tc>
                <w:tcPr>
                  <w:tcW w:w="2559" w:type="dxa"/>
                  <w:tcBorders>
                    <w:tl2br w:val="nil"/>
                    <w:tr2bl w:val="nil"/>
                  </w:tcBorders>
                  <w:shd w:val="clear" w:color="auto" w:fill="auto"/>
                  <w:vAlign w:val="center"/>
                </w:tcPr>
                <w:p w14:paraId="0F22783B">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eastAsia="zh-CN"/>
                    </w:rPr>
                    <w:t>二级沉淀池</w:t>
                  </w:r>
                </w:p>
              </w:tc>
              <w:tc>
                <w:tcPr>
                  <w:tcW w:w="2042" w:type="dxa"/>
                  <w:tcBorders>
                    <w:tl2br w:val="nil"/>
                    <w:tr2bl w:val="nil"/>
                  </w:tcBorders>
                  <w:shd w:val="clear" w:color="auto" w:fill="auto"/>
                  <w:vAlign w:val="center"/>
                </w:tcPr>
                <w:p w14:paraId="26BDE525">
                  <w:pPr>
                    <w:keepNext w:val="0"/>
                    <w:keepLines w:val="0"/>
                    <w:suppressLineNumbers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w:t>
                  </w:r>
                  <w:r>
                    <w:rPr>
                      <w:rFonts w:hint="eastAsia" w:ascii="Times New Roman" w:cs="Times New Roman"/>
                      <w:color w:val="auto"/>
                      <w:kern w:val="0"/>
                      <w:sz w:val="21"/>
                      <w:szCs w:val="21"/>
                      <w:highlight w:val="none"/>
                      <w:lang w:val="en-US" w:eastAsia="zh-CN" w:bidi="ar-SA"/>
                    </w:rPr>
                    <w:t>x2x</w:t>
                  </w:r>
                  <w:r>
                    <w:rPr>
                      <w:rFonts w:hint="eastAsia" w:cs="Times New Roman"/>
                      <w:color w:val="auto"/>
                      <w:kern w:val="0"/>
                      <w:sz w:val="21"/>
                      <w:szCs w:val="21"/>
                      <w:highlight w:val="none"/>
                      <w:lang w:val="en-US" w:eastAsia="zh-CN" w:bidi="ar-SA"/>
                    </w:rPr>
                    <w:t>2</w:t>
                  </w:r>
                  <w:r>
                    <w:rPr>
                      <w:rFonts w:hint="eastAsia" w:ascii="Times New Roman" w:cs="Times New Roman"/>
                      <w:color w:val="auto"/>
                      <w:kern w:val="0"/>
                      <w:sz w:val="21"/>
                      <w:szCs w:val="21"/>
                      <w:highlight w:val="none"/>
                      <w:lang w:val="en-US" w:eastAsia="zh-CN" w:bidi="ar-SA"/>
                    </w:rPr>
                    <w:t>m</w:t>
                  </w:r>
                </w:p>
              </w:tc>
              <w:tc>
                <w:tcPr>
                  <w:tcW w:w="916" w:type="dxa"/>
                  <w:tcBorders>
                    <w:tl2br w:val="nil"/>
                    <w:tr2bl w:val="nil"/>
                  </w:tcBorders>
                  <w:shd w:val="clear" w:color="auto" w:fill="auto"/>
                  <w:vAlign w:val="center"/>
                </w:tcPr>
                <w:p w14:paraId="7DFC2AC4">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座</w:t>
                  </w:r>
                </w:p>
              </w:tc>
              <w:tc>
                <w:tcPr>
                  <w:tcW w:w="1982" w:type="dxa"/>
                  <w:tcBorders>
                    <w:tl2br w:val="nil"/>
                    <w:tr2bl w:val="nil"/>
                  </w:tcBorders>
                  <w:shd w:val="clear" w:color="auto" w:fill="auto"/>
                  <w:vAlign w:val="center"/>
                </w:tcPr>
                <w:p w14:paraId="2A109366">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1</w:t>
                  </w:r>
                </w:p>
              </w:tc>
            </w:tr>
            <w:tr w14:paraId="72450874">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39" w:type="dxa"/>
                  <w:tcBorders>
                    <w:tl2br w:val="nil"/>
                    <w:tr2bl w:val="nil"/>
                  </w:tcBorders>
                  <w:shd w:val="clear" w:color="auto" w:fill="auto"/>
                  <w:vAlign w:val="center"/>
                </w:tcPr>
                <w:p w14:paraId="113C4DA9">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17</w:t>
                  </w:r>
                </w:p>
              </w:tc>
              <w:tc>
                <w:tcPr>
                  <w:tcW w:w="2559" w:type="dxa"/>
                  <w:tcBorders>
                    <w:tl2br w:val="nil"/>
                    <w:tr2bl w:val="nil"/>
                  </w:tcBorders>
                  <w:shd w:val="clear" w:color="auto" w:fill="auto"/>
                  <w:vAlign w:val="center"/>
                </w:tcPr>
                <w:p w14:paraId="5EA73DFC">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eastAsia="zh-CN"/>
                    </w:rPr>
                    <w:t>三级沉淀池</w:t>
                  </w:r>
                </w:p>
              </w:tc>
              <w:tc>
                <w:tcPr>
                  <w:tcW w:w="2042" w:type="dxa"/>
                  <w:tcBorders>
                    <w:tl2br w:val="nil"/>
                    <w:tr2bl w:val="nil"/>
                  </w:tcBorders>
                  <w:shd w:val="clear" w:color="auto" w:fill="auto"/>
                  <w:vAlign w:val="center"/>
                </w:tcPr>
                <w:p w14:paraId="1D4D0019">
                  <w:pPr>
                    <w:keepNext w:val="0"/>
                    <w:keepLines w:val="0"/>
                    <w:suppressLineNumbers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4</w:t>
                  </w:r>
                  <w:r>
                    <w:rPr>
                      <w:rFonts w:hint="eastAsia" w:ascii="Times New Roman" w:cs="Times New Roman"/>
                      <w:color w:val="auto"/>
                      <w:kern w:val="0"/>
                      <w:sz w:val="21"/>
                      <w:szCs w:val="21"/>
                      <w:highlight w:val="none"/>
                      <w:lang w:val="en-US" w:eastAsia="zh-CN" w:bidi="ar-SA"/>
                    </w:rPr>
                    <w:t>x2x</w:t>
                  </w:r>
                  <w:r>
                    <w:rPr>
                      <w:rFonts w:hint="eastAsia" w:cs="Times New Roman"/>
                      <w:color w:val="auto"/>
                      <w:kern w:val="0"/>
                      <w:sz w:val="21"/>
                      <w:szCs w:val="21"/>
                      <w:highlight w:val="none"/>
                      <w:lang w:val="en-US" w:eastAsia="zh-CN" w:bidi="ar-SA"/>
                    </w:rPr>
                    <w:t>2</w:t>
                  </w:r>
                  <w:r>
                    <w:rPr>
                      <w:rFonts w:hint="eastAsia" w:ascii="Times New Roman" w:cs="Times New Roman"/>
                      <w:color w:val="auto"/>
                      <w:kern w:val="0"/>
                      <w:sz w:val="21"/>
                      <w:szCs w:val="21"/>
                      <w:highlight w:val="none"/>
                      <w:lang w:val="en-US" w:eastAsia="zh-CN" w:bidi="ar-SA"/>
                    </w:rPr>
                    <w:t>m</w:t>
                  </w:r>
                </w:p>
              </w:tc>
              <w:tc>
                <w:tcPr>
                  <w:tcW w:w="916" w:type="dxa"/>
                  <w:tcBorders>
                    <w:tl2br w:val="nil"/>
                    <w:tr2bl w:val="nil"/>
                  </w:tcBorders>
                  <w:shd w:val="clear" w:color="auto" w:fill="auto"/>
                  <w:vAlign w:val="center"/>
                </w:tcPr>
                <w:p w14:paraId="5F07AD92">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座</w:t>
                  </w:r>
                </w:p>
              </w:tc>
              <w:tc>
                <w:tcPr>
                  <w:tcW w:w="1982" w:type="dxa"/>
                  <w:tcBorders>
                    <w:tl2br w:val="nil"/>
                    <w:tr2bl w:val="nil"/>
                  </w:tcBorders>
                  <w:shd w:val="clear" w:color="auto" w:fill="auto"/>
                  <w:vAlign w:val="center"/>
                </w:tcPr>
                <w:p w14:paraId="601A5E27">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1</w:t>
                  </w:r>
                </w:p>
              </w:tc>
            </w:tr>
            <w:tr w14:paraId="12657BCE">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39" w:type="dxa"/>
                  <w:tcBorders>
                    <w:tl2br w:val="nil"/>
                    <w:tr2bl w:val="nil"/>
                  </w:tcBorders>
                  <w:shd w:val="clear" w:color="auto" w:fill="auto"/>
                  <w:vAlign w:val="center"/>
                </w:tcPr>
                <w:p w14:paraId="76C29C59">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18</w:t>
                  </w:r>
                </w:p>
              </w:tc>
              <w:tc>
                <w:tcPr>
                  <w:tcW w:w="2559" w:type="dxa"/>
                  <w:tcBorders>
                    <w:tl2br w:val="nil"/>
                    <w:tr2bl w:val="nil"/>
                  </w:tcBorders>
                  <w:shd w:val="clear" w:color="auto" w:fill="auto"/>
                  <w:vAlign w:val="center"/>
                </w:tcPr>
                <w:p w14:paraId="3C5155BB">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eastAsia="zh-CN"/>
                    </w:rPr>
                    <w:t>清洗水池</w:t>
                  </w:r>
                  <w:r>
                    <w:rPr>
                      <w:rFonts w:hint="eastAsia" w:ascii="Times New Roman"/>
                      <w:color w:val="auto"/>
                      <w:sz w:val="21"/>
                      <w:szCs w:val="21"/>
                      <w:highlight w:val="none"/>
                      <w:lang w:val="en-US" w:eastAsia="zh-CN"/>
                    </w:rPr>
                    <w:t>1</w:t>
                  </w:r>
                </w:p>
              </w:tc>
              <w:tc>
                <w:tcPr>
                  <w:tcW w:w="2042" w:type="dxa"/>
                  <w:tcBorders>
                    <w:tl2br w:val="nil"/>
                    <w:tr2bl w:val="nil"/>
                  </w:tcBorders>
                  <w:shd w:val="clear" w:color="auto" w:fill="auto"/>
                  <w:vAlign w:val="center"/>
                </w:tcPr>
                <w:p w14:paraId="72EF5E69">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2x1.4x0.2m</w:t>
                  </w:r>
                </w:p>
              </w:tc>
              <w:tc>
                <w:tcPr>
                  <w:tcW w:w="916" w:type="dxa"/>
                  <w:tcBorders>
                    <w:tl2br w:val="nil"/>
                    <w:tr2bl w:val="nil"/>
                  </w:tcBorders>
                  <w:shd w:val="clear" w:color="auto" w:fill="auto"/>
                  <w:vAlign w:val="center"/>
                </w:tcPr>
                <w:p w14:paraId="7C8B74CC">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座</w:t>
                  </w:r>
                </w:p>
              </w:tc>
              <w:tc>
                <w:tcPr>
                  <w:tcW w:w="1982" w:type="dxa"/>
                  <w:tcBorders>
                    <w:tl2br w:val="nil"/>
                    <w:tr2bl w:val="nil"/>
                  </w:tcBorders>
                  <w:shd w:val="clear" w:color="auto" w:fill="auto"/>
                  <w:vAlign w:val="center"/>
                </w:tcPr>
                <w:p w14:paraId="1F0EC1F9">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w:t>
                  </w:r>
                </w:p>
              </w:tc>
            </w:tr>
            <w:tr w14:paraId="488ED40A">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39" w:type="dxa"/>
                  <w:tcBorders>
                    <w:tl2br w:val="nil"/>
                    <w:tr2bl w:val="nil"/>
                  </w:tcBorders>
                  <w:shd w:val="clear" w:color="auto" w:fill="auto"/>
                  <w:vAlign w:val="center"/>
                </w:tcPr>
                <w:p w14:paraId="6332BC79">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19</w:t>
                  </w:r>
                </w:p>
              </w:tc>
              <w:tc>
                <w:tcPr>
                  <w:tcW w:w="2559" w:type="dxa"/>
                  <w:tcBorders>
                    <w:tl2br w:val="nil"/>
                    <w:tr2bl w:val="nil"/>
                  </w:tcBorders>
                  <w:shd w:val="clear" w:color="auto" w:fill="auto"/>
                  <w:vAlign w:val="center"/>
                </w:tcPr>
                <w:p w14:paraId="66A7A43F">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eastAsia="zh-CN"/>
                    </w:rPr>
                    <w:t>清洗水池</w:t>
                  </w:r>
                  <w:r>
                    <w:rPr>
                      <w:rFonts w:hint="eastAsia" w:ascii="Times New Roman"/>
                      <w:color w:val="auto"/>
                      <w:sz w:val="21"/>
                      <w:szCs w:val="21"/>
                      <w:highlight w:val="none"/>
                      <w:lang w:val="en-US" w:eastAsia="zh-CN"/>
                    </w:rPr>
                    <w:t>2</w:t>
                  </w:r>
                </w:p>
              </w:tc>
              <w:tc>
                <w:tcPr>
                  <w:tcW w:w="2042" w:type="dxa"/>
                  <w:tcBorders>
                    <w:tl2br w:val="nil"/>
                    <w:tr2bl w:val="nil"/>
                  </w:tcBorders>
                  <w:shd w:val="clear" w:color="auto" w:fill="auto"/>
                  <w:vAlign w:val="center"/>
                </w:tcPr>
                <w:p w14:paraId="7D824CAE">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highlight w:val="none"/>
                      <w:lang w:val="en-US" w:eastAsia="zh-CN"/>
                    </w:rPr>
                  </w:pPr>
                  <w:r>
                    <w:rPr>
                      <w:rFonts w:hint="eastAsia" w:ascii="Times New Roman" w:cs="Times New Roman"/>
                      <w:color w:val="auto"/>
                      <w:kern w:val="0"/>
                      <w:sz w:val="21"/>
                      <w:szCs w:val="21"/>
                      <w:highlight w:val="none"/>
                      <w:lang w:val="en-US" w:eastAsia="zh-CN" w:bidi="ar-SA"/>
                    </w:rPr>
                    <w:t>1.4x1.4x0.2m</w:t>
                  </w:r>
                </w:p>
              </w:tc>
              <w:tc>
                <w:tcPr>
                  <w:tcW w:w="916" w:type="dxa"/>
                  <w:tcBorders>
                    <w:tl2br w:val="nil"/>
                    <w:tr2bl w:val="nil"/>
                  </w:tcBorders>
                  <w:shd w:val="clear" w:color="auto" w:fill="auto"/>
                  <w:vAlign w:val="center"/>
                </w:tcPr>
                <w:p w14:paraId="61B4323E">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座</w:t>
                  </w:r>
                </w:p>
              </w:tc>
              <w:tc>
                <w:tcPr>
                  <w:tcW w:w="1982" w:type="dxa"/>
                  <w:tcBorders>
                    <w:tl2br w:val="nil"/>
                    <w:tr2bl w:val="nil"/>
                  </w:tcBorders>
                  <w:shd w:val="clear" w:color="auto" w:fill="auto"/>
                  <w:vAlign w:val="center"/>
                </w:tcPr>
                <w:p w14:paraId="3CDEC213">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w:t>
                  </w:r>
                </w:p>
              </w:tc>
            </w:tr>
            <w:tr w14:paraId="62F73BE2">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39" w:type="dxa"/>
                  <w:tcBorders>
                    <w:tl2br w:val="nil"/>
                    <w:tr2bl w:val="nil"/>
                  </w:tcBorders>
                  <w:shd w:val="clear" w:color="auto" w:fill="auto"/>
                  <w:vAlign w:val="center"/>
                </w:tcPr>
                <w:p w14:paraId="62D28991">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20</w:t>
                  </w:r>
                </w:p>
              </w:tc>
              <w:tc>
                <w:tcPr>
                  <w:tcW w:w="2559" w:type="dxa"/>
                  <w:tcBorders>
                    <w:tl2br w:val="nil"/>
                    <w:tr2bl w:val="nil"/>
                  </w:tcBorders>
                  <w:shd w:val="clear" w:color="auto" w:fill="auto"/>
                  <w:vAlign w:val="center"/>
                </w:tcPr>
                <w:p w14:paraId="01805A21">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eastAsia="zh-CN"/>
                    </w:rPr>
                    <w:t>清洗水池</w:t>
                  </w:r>
                  <w:r>
                    <w:rPr>
                      <w:rFonts w:hint="eastAsia" w:ascii="Times New Roman"/>
                      <w:color w:val="auto"/>
                      <w:sz w:val="21"/>
                      <w:szCs w:val="21"/>
                      <w:highlight w:val="none"/>
                      <w:lang w:val="en-US" w:eastAsia="zh-CN"/>
                    </w:rPr>
                    <w:t>3</w:t>
                  </w:r>
                </w:p>
              </w:tc>
              <w:tc>
                <w:tcPr>
                  <w:tcW w:w="2042" w:type="dxa"/>
                  <w:tcBorders>
                    <w:tl2br w:val="nil"/>
                    <w:tr2bl w:val="nil"/>
                  </w:tcBorders>
                  <w:shd w:val="clear" w:color="auto" w:fill="auto"/>
                  <w:vAlign w:val="center"/>
                </w:tcPr>
                <w:p w14:paraId="5E09A650">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1.4x1.4x0.2m</w:t>
                  </w:r>
                </w:p>
              </w:tc>
              <w:tc>
                <w:tcPr>
                  <w:tcW w:w="916" w:type="dxa"/>
                  <w:tcBorders>
                    <w:tl2br w:val="nil"/>
                    <w:tr2bl w:val="nil"/>
                  </w:tcBorders>
                  <w:shd w:val="clear" w:color="auto" w:fill="auto"/>
                  <w:vAlign w:val="center"/>
                </w:tcPr>
                <w:p w14:paraId="4796B2C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座</w:t>
                  </w:r>
                </w:p>
              </w:tc>
              <w:tc>
                <w:tcPr>
                  <w:tcW w:w="1982" w:type="dxa"/>
                  <w:tcBorders>
                    <w:tl2br w:val="nil"/>
                    <w:tr2bl w:val="nil"/>
                  </w:tcBorders>
                  <w:shd w:val="clear" w:color="auto" w:fill="auto"/>
                  <w:vAlign w:val="center"/>
                </w:tcPr>
                <w:p w14:paraId="1B6BFB5B">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w:t>
                  </w:r>
                </w:p>
              </w:tc>
            </w:tr>
            <w:tr w14:paraId="36C0899E">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839" w:type="dxa"/>
                  <w:tcBorders>
                    <w:tl2br w:val="nil"/>
                    <w:tr2bl w:val="nil"/>
                  </w:tcBorders>
                  <w:vAlign w:val="center"/>
                </w:tcPr>
                <w:p w14:paraId="78DC522B">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21</w:t>
                  </w:r>
                </w:p>
              </w:tc>
              <w:tc>
                <w:tcPr>
                  <w:tcW w:w="2559" w:type="dxa"/>
                  <w:tcBorders>
                    <w:tl2br w:val="nil"/>
                    <w:tr2bl w:val="nil"/>
                  </w:tcBorders>
                  <w:shd w:val="clear" w:color="auto" w:fill="auto"/>
                  <w:vAlign w:val="center"/>
                </w:tcPr>
                <w:p w14:paraId="4C362809">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絮凝沉淀池</w:t>
                  </w:r>
                </w:p>
              </w:tc>
              <w:tc>
                <w:tcPr>
                  <w:tcW w:w="2042" w:type="dxa"/>
                  <w:tcBorders>
                    <w:tl2br w:val="nil"/>
                    <w:tr2bl w:val="nil"/>
                  </w:tcBorders>
                  <w:shd w:val="clear" w:color="auto" w:fill="auto"/>
                  <w:vAlign w:val="center"/>
                </w:tcPr>
                <w:p w14:paraId="3CC7D64A">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0.5x0.5x1.5m</w:t>
                  </w:r>
                </w:p>
              </w:tc>
              <w:tc>
                <w:tcPr>
                  <w:tcW w:w="916" w:type="dxa"/>
                  <w:tcBorders>
                    <w:tl2br w:val="nil"/>
                    <w:tr2bl w:val="nil"/>
                  </w:tcBorders>
                  <w:shd w:val="clear" w:color="auto" w:fill="auto"/>
                  <w:vAlign w:val="center"/>
                </w:tcPr>
                <w:p w14:paraId="28BD6AA4">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座</w:t>
                  </w:r>
                </w:p>
              </w:tc>
              <w:tc>
                <w:tcPr>
                  <w:tcW w:w="1982" w:type="dxa"/>
                  <w:tcBorders>
                    <w:tl2br w:val="nil"/>
                    <w:tr2bl w:val="nil"/>
                  </w:tcBorders>
                  <w:shd w:val="clear" w:color="auto" w:fill="auto"/>
                  <w:vAlign w:val="center"/>
                </w:tcPr>
                <w:p w14:paraId="477CE176">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w:t>
                  </w:r>
                </w:p>
              </w:tc>
            </w:tr>
          </w:tbl>
          <w:p w14:paraId="45AD2630">
            <w:pPr>
              <w:pStyle w:val="7"/>
              <w:suppressLineNumbers w:val="0"/>
              <w:spacing w:before="0" w:beforeAutospacing="0" w:after="0" w:afterAutospacing="0"/>
              <w:ind w:left="0" w:right="0"/>
              <w:rPr>
                <w:rFonts w:hint="default" w:ascii="Times New Roman" w:hAnsi="Times New Roman"/>
                <w:color w:val="auto"/>
                <w:sz w:val="24"/>
                <w:highlight w:val="none"/>
              </w:rPr>
            </w:pPr>
            <w:r>
              <w:rPr>
                <w:rFonts w:hint="default" w:ascii="Times New Roman" w:hAnsi="Times New Roman"/>
                <w:color w:val="auto"/>
                <w:sz w:val="24"/>
                <w:highlight w:val="none"/>
              </w:rPr>
              <w:t>2.4 主要原辅材料消耗</w:t>
            </w:r>
          </w:p>
          <w:p w14:paraId="4E6CD130">
            <w:pPr>
              <w:keepNext w:val="0"/>
              <w:keepLines w:val="0"/>
              <w:suppressLineNumbers w:val="0"/>
              <w:spacing w:before="0" w:beforeAutospacing="0" w:after="0" w:afterAutospacing="0"/>
              <w:ind w:left="0" w:right="0"/>
              <w:jc w:val="center"/>
              <w:rPr>
                <w:rFonts w:hint="default"/>
                <w:b/>
                <w:snapToGrid w:val="0"/>
                <w:color w:val="auto"/>
                <w:sz w:val="24"/>
                <w:highlight w:val="none"/>
              </w:rPr>
            </w:pPr>
            <w:r>
              <w:rPr>
                <w:rFonts w:hint="default"/>
                <w:b/>
                <w:snapToGrid w:val="0"/>
                <w:color w:val="auto"/>
                <w:sz w:val="24"/>
                <w:highlight w:val="none"/>
              </w:rPr>
              <w:t>表</w:t>
            </w:r>
            <w:r>
              <w:rPr>
                <w:rFonts w:hint="eastAsia"/>
                <w:b/>
                <w:snapToGrid w:val="0"/>
                <w:color w:val="auto"/>
                <w:sz w:val="24"/>
                <w:highlight w:val="none"/>
              </w:rPr>
              <w:t>2-3</w:t>
            </w:r>
            <w:r>
              <w:rPr>
                <w:rFonts w:hint="default"/>
                <w:b/>
                <w:snapToGrid w:val="0"/>
                <w:color w:val="auto"/>
                <w:sz w:val="24"/>
                <w:highlight w:val="none"/>
              </w:rPr>
              <w:t xml:space="preserve">  主要原辅材料消耗一览表</w:t>
            </w:r>
          </w:p>
          <w:tbl>
            <w:tblPr>
              <w:tblStyle w:val="35"/>
              <w:tblW w:w="83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0"/>
              <w:gridCol w:w="1998"/>
              <w:gridCol w:w="1489"/>
              <w:gridCol w:w="1554"/>
              <w:gridCol w:w="2625"/>
            </w:tblGrid>
            <w:tr w14:paraId="2555C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70" w:type="dxa"/>
                  <w:vAlign w:val="center"/>
                </w:tcPr>
                <w:p w14:paraId="3FA20E4E">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序号</w:t>
                  </w:r>
                </w:p>
              </w:tc>
              <w:tc>
                <w:tcPr>
                  <w:tcW w:w="1998" w:type="dxa"/>
                  <w:vAlign w:val="center"/>
                </w:tcPr>
                <w:p w14:paraId="470BA77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名称</w:t>
                  </w:r>
                </w:p>
              </w:tc>
              <w:tc>
                <w:tcPr>
                  <w:tcW w:w="1489" w:type="dxa"/>
                  <w:vAlign w:val="center"/>
                </w:tcPr>
                <w:p w14:paraId="2523837A">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单位</w:t>
                  </w:r>
                </w:p>
              </w:tc>
              <w:tc>
                <w:tcPr>
                  <w:tcW w:w="1554" w:type="dxa"/>
                  <w:vAlign w:val="center"/>
                </w:tcPr>
                <w:p w14:paraId="5E77A89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lang w:eastAsia="zh-CN"/>
                    </w:rPr>
                    <w:t>年</w:t>
                  </w:r>
                  <w:r>
                    <w:rPr>
                      <w:rFonts w:hint="default" w:ascii="Times New Roman"/>
                      <w:color w:val="auto"/>
                      <w:sz w:val="21"/>
                      <w:szCs w:val="21"/>
                      <w:highlight w:val="none"/>
                    </w:rPr>
                    <w:t>用量</w:t>
                  </w:r>
                </w:p>
              </w:tc>
              <w:tc>
                <w:tcPr>
                  <w:tcW w:w="2625" w:type="dxa"/>
                  <w:vAlign w:val="center"/>
                </w:tcPr>
                <w:p w14:paraId="2F8BE826">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rPr>
                    <w:t>备注</w:t>
                  </w:r>
                </w:p>
              </w:tc>
            </w:tr>
            <w:tr w14:paraId="65FF5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vAlign w:val="center"/>
                </w:tcPr>
                <w:p w14:paraId="6715A496">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1</w:t>
                  </w:r>
                </w:p>
              </w:tc>
              <w:tc>
                <w:tcPr>
                  <w:tcW w:w="1998" w:type="dxa"/>
                  <w:vAlign w:val="center"/>
                </w:tcPr>
                <w:p w14:paraId="00C2B9A4">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eastAsia="zh-CN"/>
                    </w:rPr>
                  </w:pPr>
                  <w:r>
                    <w:rPr>
                      <w:rFonts w:hint="eastAsia" w:ascii="Times New Roman"/>
                      <w:color w:val="auto"/>
                      <w:sz w:val="21"/>
                      <w:szCs w:val="21"/>
                      <w:highlight w:val="none"/>
                      <w:lang w:eastAsia="zh-CN"/>
                    </w:rPr>
                    <w:t>砂布</w:t>
                  </w:r>
                </w:p>
              </w:tc>
              <w:tc>
                <w:tcPr>
                  <w:tcW w:w="1489" w:type="dxa"/>
                  <w:vAlign w:val="center"/>
                </w:tcPr>
                <w:p w14:paraId="49588B1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t</w:t>
                  </w:r>
                </w:p>
              </w:tc>
              <w:tc>
                <w:tcPr>
                  <w:tcW w:w="1554" w:type="dxa"/>
                  <w:vAlign w:val="center"/>
                </w:tcPr>
                <w:p w14:paraId="64DDBCC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0.5</w:t>
                  </w:r>
                </w:p>
              </w:tc>
              <w:tc>
                <w:tcPr>
                  <w:tcW w:w="2625" w:type="dxa"/>
                  <w:vAlign w:val="center"/>
                </w:tcPr>
                <w:p w14:paraId="299F795B">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r w14:paraId="7CF1D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shd w:val="clear" w:color="auto" w:fill="auto"/>
                  <w:vAlign w:val="center"/>
                </w:tcPr>
                <w:p w14:paraId="68242562">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2</w:t>
                  </w:r>
                </w:p>
              </w:tc>
              <w:tc>
                <w:tcPr>
                  <w:tcW w:w="1998" w:type="dxa"/>
                  <w:shd w:val="clear" w:color="auto" w:fill="auto"/>
                  <w:vAlign w:val="center"/>
                </w:tcPr>
                <w:p w14:paraId="1E1759D2">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eastAsia="zh-CN"/>
                    </w:rPr>
                  </w:pPr>
                  <w:r>
                    <w:rPr>
                      <w:rFonts w:hint="eastAsia" w:ascii="Times New Roman"/>
                      <w:color w:val="auto"/>
                      <w:sz w:val="21"/>
                      <w:szCs w:val="21"/>
                      <w:highlight w:val="none"/>
                      <w:lang w:eastAsia="zh-CN"/>
                    </w:rPr>
                    <w:t>研磨片</w:t>
                  </w:r>
                </w:p>
              </w:tc>
              <w:tc>
                <w:tcPr>
                  <w:tcW w:w="1489" w:type="dxa"/>
                  <w:vAlign w:val="center"/>
                </w:tcPr>
                <w:p w14:paraId="00DD9C7E">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ascii="Times New Roman"/>
                      <w:color w:val="auto"/>
                      <w:sz w:val="21"/>
                      <w:szCs w:val="21"/>
                      <w:highlight w:val="none"/>
                    </w:rPr>
                    <w:t>t</w:t>
                  </w:r>
                </w:p>
              </w:tc>
              <w:tc>
                <w:tcPr>
                  <w:tcW w:w="1554" w:type="dxa"/>
                  <w:vAlign w:val="center"/>
                </w:tcPr>
                <w:p w14:paraId="50C94106">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0.3</w:t>
                  </w:r>
                </w:p>
              </w:tc>
              <w:tc>
                <w:tcPr>
                  <w:tcW w:w="2625" w:type="dxa"/>
                  <w:vAlign w:val="center"/>
                </w:tcPr>
                <w:p w14:paraId="53D0664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r w14:paraId="2494D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shd w:val="clear" w:color="auto" w:fill="auto"/>
                  <w:vAlign w:val="center"/>
                </w:tcPr>
                <w:p w14:paraId="3838400E">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3</w:t>
                  </w:r>
                </w:p>
              </w:tc>
              <w:tc>
                <w:tcPr>
                  <w:tcW w:w="1998" w:type="dxa"/>
                  <w:shd w:val="clear" w:color="auto" w:fill="auto"/>
                  <w:vAlign w:val="center"/>
                </w:tcPr>
                <w:p w14:paraId="2F9BFFBE">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麻轮</w:t>
                  </w:r>
                </w:p>
              </w:tc>
              <w:tc>
                <w:tcPr>
                  <w:tcW w:w="1489" w:type="dxa"/>
                  <w:vAlign w:val="center"/>
                </w:tcPr>
                <w:p w14:paraId="36875FF4">
                  <w:pPr>
                    <w:keepNext w:val="0"/>
                    <w:keepLines w:val="0"/>
                    <w:suppressLineNumbers w:val="0"/>
                    <w:adjustRightInd w:val="0"/>
                    <w:snapToGrid w:val="0"/>
                    <w:spacing w:before="0" w:beforeAutospacing="0" w:after="0" w:afterAutospacing="0"/>
                    <w:ind w:left="0" w:right="0"/>
                    <w:jc w:val="center"/>
                    <w:rPr>
                      <w:rFonts w:hint="default" w:ascii="Times New Roman"/>
                      <w:color w:val="auto"/>
                      <w:sz w:val="21"/>
                      <w:szCs w:val="21"/>
                      <w:highlight w:val="none"/>
                    </w:rPr>
                  </w:pPr>
                  <w:r>
                    <w:rPr>
                      <w:rFonts w:hint="default" w:ascii="Times New Roman"/>
                      <w:color w:val="auto"/>
                      <w:sz w:val="21"/>
                      <w:szCs w:val="21"/>
                      <w:highlight w:val="none"/>
                    </w:rPr>
                    <w:t>t</w:t>
                  </w:r>
                </w:p>
              </w:tc>
              <w:tc>
                <w:tcPr>
                  <w:tcW w:w="1554" w:type="dxa"/>
                  <w:vAlign w:val="center"/>
                </w:tcPr>
                <w:p w14:paraId="4ADD05B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3.5</w:t>
                  </w:r>
                </w:p>
              </w:tc>
              <w:tc>
                <w:tcPr>
                  <w:tcW w:w="2625" w:type="dxa"/>
                  <w:vAlign w:val="center"/>
                </w:tcPr>
                <w:p w14:paraId="6DFFBFD0">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r w14:paraId="5B7BB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shd w:val="clear" w:color="auto" w:fill="auto"/>
                  <w:vAlign w:val="center"/>
                </w:tcPr>
                <w:p w14:paraId="06DB882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4</w:t>
                  </w:r>
                </w:p>
              </w:tc>
              <w:tc>
                <w:tcPr>
                  <w:tcW w:w="1998" w:type="dxa"/>
                  <w:shd w:val="clear" w:color="auto" w:fill="auto"/>
                  <w:vAlign w:val="center"/>
                </w:tcPr>
                <w:p w14:paraId="54A7476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硬布轮</w:t>
                  </w:r>
                </w:p>
              </w:tc>
              <w:tc>
                <w:tcPr>
                  <w:tcW w:w="1489" w:type="dxa"/>
                  <w:vAlign w:val="center"/>
                </w:tcPr>
                <w:p w14:paraId="54EFC291">
                  <w:pPr>
                    <w:keepNext w:val="0"/>
                    <w:keepLines w:val="0"/>
                    <w:suppressLineNumbers w:val="0"/>
                    <w:adjustRightInd w:val="0"/>
                    <w:snapToGrid w:val="0"/>
                    <w:spacing w:before="0" w:beforeAutospacing="0" w:after="0" w:afterAutospacing="0"/>
                    <w:ind w:left="0" w:right="0"/>
                    <w:jc w:val="center"/>
                    <w:rPr>
                      <w:rFonts w:hint="default" w:ascii="Times New Roman"/>
                      <w:color w:val="auto"/>
                      <w:sz w:val="21"/>
                      <w:szCs w:val="21"/>
                      <w:highlight w:val="none"/>
                    </w:rPr>
                  </w:pPr>
                  <w:r>
                    <w:rPr>
                      <w:rFonts w:hint="default" w:ascii="Times New Roman"/>
                      <w:color w:val="auto"/>
                      <w:sz w:val="21"/>
                      <w:szCs w:val="21"/>
                      <w:highlight w:val="none"/>
                    </w:rPr>
                    <w:t>t</w:t>
                  </w:r>
                </w:p>
              </w:tc>
              <w:tc>
                <w:tcPr>
                  <w:tcW w:w="1554" w:type="dxa"/>
                  <w:vAlign w:val="center"/>
                </w:tcPr>
                <w:p w14:paraId="4C6CB45B">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2.0</w:t>
                  </w:r>
                </w:p>
              </w:tc>
              <w:tc>
                <w:tcPr>
                  <w:tcW w:w="2625" w:type="dxa"/>
                  <w:vAlign w:val="center"/>
                </w:tcPr>
                <w:p w14:paraId="078C0F7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r w14:paraId="6D9B9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shd w:val="clear" w:color="auto" w:fill="auto"/>
                  <w:vAlign w:val="center"/>
                </w:tcPr>
                <w:p w14:paraId="2B861362">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5</w:t>
                  </w:r>
                </w:p>
              </w:tc>
              <w:tc>
                <w:tcPr>
                  <w:tcW w:w="1998" w:type="dxa"/>
                  <w:shd w:val="clear" w:color="auto" w:fill="auto"/>
                  <w:vAlign w:val="center"/>
                </w:tcPr>
                <w:p w14:paraId="6061121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软布轮</w:t>
                  </w:r>
                </w:p>
              </w:tc>
              <w:tc>
                <w:tcPr>
                  <w:tcW w:w="1489" w:type="dxa"/>
                  <w:vAlign w:val="center"/>
                </w:tcPr>
                <w:p w14:paraId="0977373C">
                  <w:pPr>
                    <w:keepNext w:val="0"/>
                    <w:keepLines w:val="0"/>
                    <w:suppressLineNumbers w:val="0"/>
                    <w:adjustRightInd w:val="0"/>
                    <w:snapToGrid w:val="0"/>
                    <w:spacing w:before="0" w:beforeAutospacing="0" w:after="0" w:afterAutospacing="0"/>
                    <w:ind w:left="0" w:right="0"/>
                    <w:jc w:val="center"/>
                    <w:rPr>
                      <w:rFonts w:hint="default" w:ascii="Times New Roman"/>
                      <w:color w:val="auto"/>
                      <w:sz w:val="21"/>
                      <w:szCs w:val="21"/>
                      <w:highlight w:val="none"/>
                    </w:rPr>
                  </w:pPr>
                  <w:r>
                    <w:rPr>
                      <w:rFonts w:hint="default" w:ascii="Times New Roman"/>
                      <w:color w:val="auto"/>
                      <w:sz w:val="21"/>
                      <w:szCs w:val="21"/>
                      <w:highlight w:val="none"/>
                    </w:rPr>
                    <w:t>t</w:t>
                  </w:r>
                </w:p>
              </w:tc>
              <w:tc>
                <w:tcPr>
                  <w:tcW w:w="1554" w:type="dxa"/>
                  <w:vAlign w:val="center"/>
                </w:tcPr>
                <w:p w14:paraId="70ACB750">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0.6</w:t>
                  </w:r>
                </w:p>
              </w:tc>
              <w:tc>
                <w:tcPr>
                  <w:tcW w:w="2625" w:type="dxa"/>
                  <w:vAlign w:val="center"/>
                </w:tcPr>
                <w:p w14:paraId="18A73D6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r w14:paraId="68BA1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shd w:val="clear" w:color="auto" w:fill="auto"/>
                  <w:vAlign w:val="center"/>
                </w:tcPr>
                <w:p w14:paraId="253B0390">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6</w:t>
                  </w:r>
                </w:p>
              </w:tc>
              <w:tc>
                <w:tcPr>
                  <w:tcW w:w="1998" w:type="dxa"/>
                  <w:shd w:val="clear" w:color="auto" w:fill="auto"/>
                  <w:vAlign w:val="center"/>
                </w:tcPr>
                <w:p w14:paraId="29B72F47">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eastAsia="zh-CN"/>
                    </w:rPr>
                  </w:pPr>
                  <w:r>
                    <w:rPr>
                      <w:rFonts w:hint="eastAsia" w:ascii="Times New Roman"/>
                      <w:color w:val="auto"/>
                      <w:sz w:val="21"/>
                      <w:szCs w:val="21"/>
                      <w:highlight w:val="none"/>
                      <w:lang w:eastAsia="zh-CN"/>
                    </w:rPr>
                    <w:t>洗洁精</w:t>
                  </w:r>
                </w:p>
              </w:tc>
              <w:tc>
                <w:tcPr>
                  <w:tcW w:w="1489" w:type="dxa"/>
                  <w:vAlign w:val="center"/>
                </w:tcPr>
                <w:p w14:paraId="3FF57B08">
                  <w:pPr>
                    <w:keepNext w:val="0"/>
                    <w:keepLines w:val="0"/>
                    <w:suppressLineNumbers w:val="0"/>
                    <w:adjustRightInd w:val="0"/>
                    <w:snapToGrid w:val="0"/>
                    <w:spacing w:before="0" w:beforeAutospacing="0" w:after="0" w:afterAutospacing="0"/>
                    <w:ind w:left="0" w:right="0"/>
                    <w:jc w:val="center"/>
                    <w:rPr>
                      <w:rFonts w:hint="eastAsia" w:eastAsia="宋体"/>
                      <w:color w:val="auto"/>
                      <w:szCs w:val="21"/>
                      <w:highlight w:val="none"/>
                      <w:lang w:eastAsia="zh-CN"/>
                    </w:rPr>
                  </w:pPr>
                  <w:r>
                    <w:rPr>
                      <w:rFonts w:hint="default" w:ascii="Times New Roman"/>
                      <w:color w:val="auto"/>
                      <w:sz w:val="21"/>
                      <w:szCs w:val="21"/>
                      <w:highlight w:val="none"/>
                    </w:rPr>
                    <w:t>t</w:t>
                  </w:r>
                </w:p>
              </w:tc>
              <w:tc>
                <w:tcPr>
                  <w:tcW w:w="1554" w:type="dxa"/>
                  <w:vAlign w:val="center"/>
                </w:tcPr>
                <w:p w14:paraId="1B4AB920">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6.2</w:t>
                  </w:r>
                </w:p>
              </w:tc>
              <w:tc>
                <w:tcPr>
                  <w:tcW w:w="2625" w:type="dxa"/>
                  <w:vAlign w:val="center"/>
                </w:tcPr>
                <w:p w14:paraId="6D736763">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外购，4kg/瓶</w:t>
                  </w:r>
                </w:p>
              </w:tc>
            </w:tr>
            <w:tr w14:paraId="4076F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shd w:val="clear" w:color="auto" w:fill="auto"/>
                  <w:vAlign w:val="center"/>
                </w:tcPr>
                <w:p w14:paraId="14D97397">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7</w:t>
                  </w:r>
                </w:p>
              </w:tc>
              <w:tc>
                <w:tcPr>
                  <w:tcW w:w="1998" w:type="dxa"/>
                  <w:shd w:val="clear" w:color="auto" w:fill="auto"/>
                  <w:vAlign w:val="center"/>
                </w:tcPr>
                <w:p w14:paraId="44B51A66">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lang w:eastAsia="zh-CN"/>
                    </w:rPr>
                  </w:pPr>
                  <w:r>
                    <w:rPr>
                      <w:rFonts w:hint="eastAsia" w:ascii="Times New Roman"/>
                      <w:color w:val="auto"/>
                      <w:sz w:val="21"/>
                      <w:szCs w:val="21"/>
                      <w:highlight w:val="none"/>
                      <w:lang w:val="en-US" w:eastAsia="zh-CN"/>
                    </w:rPr>
                    <w:t>透明</w:t>
                  </w:r>
                  <w:r>
                    <w:rPr>
                      <w:rFonts w:hint="eastAsia" w:ascii="Times New Roman"/>
                      <w:color w:val="auto"/>
                      <w:sz w:val="21"/>
                      <w:szCs w:val="21"/>
                      <w:highlight w:val="none"/>
                      <w:lang w:eastAsia="zh-CN"/>
                    </w:rPr>
                    <w:t>皂</w:t>
                  </w:r>
                </w:p>
              </w:tc>
              <w:tc>
                <w:tcPr>
                  <w:tcW w:w="1489" w:type="dxa"/>
                  <w:vAlign w:val="center"/>
                </w:tcPr>
                <w:p w14:paraId="47F72D9B">
                  <w:pPr>
                    <w:keepNext w:val="0"/>
                    <w:keepLines w:val="0"/>
                    <w:suppressLineNumbers w:val="0"/>
                    <w:adjustRightInd w:val="0"/>
                    <w:snapToGrid w:val="0"/>
                    <w:spacing w:before="0" w:beforeAutospacing="0" w:after="0" w:afterAutospacing="0"/>
                    <w:ind w:left="0" w:right="0"/>
                    <w:jc w:val="center"/>
                    <w:rPr>
                      <w:rFonts w:hint="eastAsia"/>
                      <w:color w:val="auto"/>
                      <w:szCs w:val="21"/>
                      <w:highlight w:val="none"/>
                      <w:lang w:eastAsia="zh-CN"/>
                    </w:rPr>
                  </w:pPr>
                  <w:r>
                    <w:rPr>
                      <w:rFonts w:hint="default" w:ascii="Times New Roman"/>
                      <w:color w:val="auto"/>
                      <w:sz w:val="21"/>
                      <w:szCs w:val="21"/>
                      <w:highlight w:val="none"/>
                    </w:rPr>
                    <w:t>t</w:t>
                  </w:r>
                </w:p>
              </w:tc>
              <w:tc>
                <w:tcPr>
                  <w:tcW w:w="1554" w:type="dxa"/>
                  <w:vAlign w:val="center"/>
                </w:tcPr>
                <w:p w14:paraId="1FACE6D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0.55</w:t>
                  </w:r>
                </w:p>
              </w:tc>
              <w:tc>
                <w:tcPr>
                  <w:tcW w:w="2625" w:type="dxa"/>
                  <w:vAlign w:val="center"/>
                </w:tcPr>
                <w:p w14:paraId="37C6C70D">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lang w:val="en-US" w:eastAsia="zh-CN"/>
                    </w:rPr>
                  </w:pPr>
                </w:p>
              </w:tc>
            </w:tr>
            <w:tr w14:paraId="4CE9A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shd w:val="clear" w:color="auto" w:fill="auto"/>
                  <w:vAlign w:val="center"/>
                </w:tcPr>
                <w:p w14:paraId="09FD1328">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8</w:t>
                  </w:r>
                </w:p>
              </w:tc>
              <w:tc>
                <w:tcPr>
                  <w:tcW w:w="1998" w:type="dxa"/>
                  <w:shd w:val="clear" w:color="auto" w:fill="auto"/>
                  <w:vAlign w:val="center"/>
                </w:tcPr>
                <w:p w14:paraId="4285A71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抛光膏</w:t>
                  </w:r>
                </w:p>
              </w:tc>
              <w:tc>
                <w:tcPr>
                  <w:tcW w:w="1489" w:type="dxa"/>
                  <w:vAlign w:val="center"/>
                </w:tcPr>
                <w:p w14:paraId="3B88597E">
                  <w:pPr>
                    <w:keepNext w:val="0"/>
                    <w:keepLines w:val="0"/>
                    <w:suppressLineNumbers w:val="0"/>
                    <w:adjustRightInd w:val="0"/>
                    <w:snapToGrid w:val="0"/>
                    <w:spacing w:before="0" w:beforeAutospacing="0" w:after="0" w:afterAutospacing="0"/>
                    <w:ind w:left="0" w:right="0"/>
                    <w:jc w:val="center"/>
                    <w:rPr>
                      <w:rFonts w:hint="eastAsia"/>
                      <w:color w:val="auto"/>
                      <w:szCs w:val="21"/>
                      <w:highlight w:val="none"/>
                      <w:lang w:val="en-US" w:eastAsia="zh-CN"/>
                    </w:rPr>
                  </w:pPr>
                  <w:r>
                    <w:rPr>
                      <w:rFonts w:hint="default" w:ascii="Times New Roman"/>
                      <w:color w:val="auto"/>
                      <w:sz w:val="21"/>
                      <w:szCs w:val="21"/>
                      <w:highlight w:val="none"/>
                    </w:rPr>
                    <w:t>t</w:t>
                  </w:r>
                </w:p>
              </w:tc>
              <w:tc>
                <w:tcPr>
                  <w:tcW w:w="1554" w:type="dxa"/>
                  <w:vAlign w:val="center"/>
                </w:tcPr>
                <w:p w14:paraId="4411695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11.5</w:t>
                  </w:r>
                </w:p>
              </w:tc>
              <w:tc>
                <w:tcPr>
                  <w:tcW w:w="2625" w:type="dxa"/>
                  <w:vAlign w:val="center"/>
                </w:tcPr>
                <w:p w14:paraId="5DAA3A5F">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lang w:val="en-US" w:eastAsia="zh-CN"/>
                    </w:rPr>
                  </w:pPr>
                </w:p>
              </w:tc>
            </w:tr>
            <w:tr w14:paraId="043F4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shd w:val="clear" w:color="auto" w:fill="auto"/>
                  <w:vAlign w:val="center"/>
                </w:tcPr>
                <w:p w14:paraId="7B3B6A33">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9</w:t>
                  </w:r>
                </w:p>
              </w:tc>
              <w:tc>
                <w:tcPr>
                  <w:tcW w:w="1998" w:type="dxa"/>
                  <w:shd w:val="clear" w:color="auto" w:fill="auto"/>
                  <w:vAlign w:val="center"/>
                </w:tcPr>
                <w:p w14:paraId="7F9A77E4">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lang w:eastAsia="zh-CN"/>
                    </w:rPr>
                  </w:pPr>
                  <w:r>
                    <w:rPr>
                      <w:rFonts w:hint="eastAsia" w:ascii="Times New Roman"/>
                      <w:color w:val="auto"/>
                      <w:sz w:val="21"/>
                      <w:szCs w:val="21"/>
                      <w:highlight w:val="none"/>
                      <w:lang w:eastAsia="zh-CN"/>
                    </w:rPr>
                    <w:t>轮毂</w:t>
                  </w:r>
                </w:p>
              </w:tc>
              <w:tc>
                <w:tcPr>
                  <w:tcW w:w="1489" w:type="dxa"/>
                  <w:vAlign w:val="center"/>
                </w:tcPr>
                <w:p w14:paraId="2B915038">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lang w:val="en-US" w:eastAsia="zh-CN"/>
                    </w:rPr>
                  </w:pPr>
                  <w:r>
                    <w:rPr>
                      <w:rFonts w:hint="default" w:ascii="Times New Roman"/>
                      <w:color w:val="auto"/>
                      <w:sz w:val="21"/>
                      <w:szCs w:val="21"/>
                      <w:highlight w:val="none"/>
                    </w:rPr>
                    <w:t>t</w:t>
                  </w:r>
                </w:p>
              </w:tc>
              <w:tc>
                <w:tcPr>
                  <w:tcW w:w="1554" w:type="dxa"/>
                  <w:shd w:val="clear" w:color="auto" w:fill="auto"/>
                  <w:vAlign w:val="center"/>
                </w:tcPr>
                <w:p w14:paraId="21E0B592">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5250</w:t>
                  </w:r>
                </w:p>
              </w:tc>
              <w:tc>
                <w:tcPr>
                  <w:tcW w:w="2625" w:type="dxa"/>
                  <w:vAlign w:val="center"/>
                </w:tcPr>
                <w:p w14:paraId="73D68FDD">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来自戴卡</w:t>
                  </w:r>
                </w:p>
              </w:tc>
            </w:tr>
            <w:tr w14:paraId="0706C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shd w:val="clear" w:color="auto" w:fill="auto"/>
                  <w:vAlign w:val="center"/>
                </w:tcPr>
                <w:p w14:paraId="4F94BB26">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10</w:t>
                  </w:r>
                </w:p>
              </w:tc>
              <w:tc>
                <w:tcPr>
                  <w:tcW w:w="1998" w:type="dxa"/>
                  <w:shd w:val="clear" w:color="auto" w:fill="auto"/>
                  <w:vAlign w:val="center"/>
                </w:tcPr>
                <w:p w14:paraId="64A41A2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润滑油</w:t>
                  </w:r>
                </w:p>
              </w:tc>
              <w:tc>
                <w:tcPr>
                  <w:tcW w:w="1489" w:type="dxa"/>
                  <w:vAlign w:val="center"/>
                </w:tcPr>
                <w:p w14:paraId="7912E5A4">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lang w:val="en-US" w:eastAsia="zh-CN"/>
                    </w:rPr>
                  </w:pPr>
                  <w:r>
                    <w:rPr>
                      <w:rFonts w:hint="default" w:ascii="Times New Roman"/>
                      <w:color w:val="auto"/>
                      <w:sz w:val="21"/>
                      <w:szCs w:val="21"/>
                      <w:highlight w:val="none"/>
                    </w:rPr>
                    <w:t>t</w:t>
                  </w:r>
                </w:p>
              </w:tc>
              <w:tc>
                <w:tcPr>
                  <w:tcW w:w="1554" w:type="dxa"/>
                  <w:shd w:val="clear" w:color="auto" w:fill="auto"/>
                  <w:vAlign w:val="center"/>
                </w:tcPr>
                <w:p w14:paraId="68059314">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0.3</w:t>
                  </w:r>
                </w:p>
              </w:tc>
              <w:tc>
                <w:tcPr>
                  <w:tcW w:w="2625" w:type="dxa"/>
                  <w:vAlign w:val="center"/>
                </w:tcPr>
                <w:p w14:paraId="3C7136A2">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rPr>
                  </w:pPr>
                </w:p>
              </w:tc>
            </w:tr>
            <w:tr w14:paraId="7A257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shd w:val="clear" w:color="auto" w:fill="auto"/>
                  <w:vAlign w:val="center"/>
                </w:tcPr>
                <w:p w14:paraId="5C8D2B5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11</w:t>
                  </w:r>
                </w:p>
              </w:tc>
              <w:tc>
                <w:tcPr>
                  <w:tcW w:w="1998" w:type="dxa"/>
                  <w:shd w:val="clear" w:color="auto" w:fill="auto"/>
                  <w:vAlign w:val="center"/>
                </w:tcPr>
                <w:p w14:paraId="10020F77">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机油</w:t>
                  </w:r>
                </w:p>
              </w:tc>
              <w:tc>
                <w:tcPr>
                  <w:tcW w:w="1489" w:type="dxa"/>
                  <w:vAlign w:val="center"/>
                </w:tcPr>
                <w:p w14:paraId="7BD5E55D">
                  <w:pPr>
                    <w:keepNext w:val="0"/>
                    <w:keepLines w:val="0"/>
                    <w:suppressLineNumbers w:val="0"/>
                    <w:adjustRightInd w:val="0"/>
                    <w:snapToGrid w:val="0"/>
                    <w:spacing w:before="0" w:beforeAutospacing="0" w:after="0" w:afterAutospacing="0"/>
                    <w:ind w:left="0" w:right="0"/>
                    <w:jc w:val="center"/>
                    <w:rPr>
                      <w:rFonts w:hint="default" w:ascii="Times New Roman"/>
                      <w:color w:val="auto"/>
                      <w:sz w:val="21"/>
                      <w:szCs w:val="21"/>
                      <w:highlight w:val="none"/>
                    </w:rPr>
                  </w:pPr>
                  <w:r>
                    <w:rPr>
                      <w:rFonts w:hint="default" w:ascii="Times New Roman"/>
                      <w:color w:val="auto"/>
                      <w:sz w:val="21"/>
                      <w:szCs w:val="21"/>
                      <w:highlight w:val="none"/>
                    </w:rPr>
                    <w:t>t</w:t>
                  </w:r>
                </w:p>
              </w:tc>
              <w:tc>
                <w:tcPr>
                  <w:tcW w:w="1554" w:type="dxa"/>
                  <w:shd w:val="clear" w:color="auto" w:fill="auto"/>
                  <w:vAlign w:val="center"/>
                </w:tcPr>
                <w:p w14:paraId="66F79BC4">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highlight w:val="none"/>
                      <w:lang w:val="en-US" w:eastAsia="zh-CN"/>
                    </w:rPr>
                  </w:pPr>
                  <w:r>
                    <w:rPr>
                      <w:rFonts w:hint="eastAsia"/>
                      <w:color w:val="auto"/>
                      <w:szCs w:val="21"/>
                      <w:highlight w:val="none"/>
                      <w:lang w:val="en-US" w:eastAsia="zh-CN"/>
                    </w:rPr>
                    <w:t>0.005</w:t>
                  </w:r>
                </w:p>
              </w:tc>
              <w:tc>
                <w:tcPr>
                  <w:tcW w:w="2625" w:type="dxa"/>
                  <w:vAlign w:val="center"/>
                </w:tcPr>
                <w:p w14:paraId="6FFD0742">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rPr>
                  </w:pPr>
                </w:p>
              </w:tc>
            </w:tr>
            <w:tr w14:paraId="5B12C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shd w:val="clear" w:color="auto" w:fill="auto"/>
                  <w:vAlign w:val="center"/>
                </w:tcPr>
                <w:p w14:paraId="268F7C5A">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12</w:t>
                  </w:r>
                </w:p>
              </w:tc>
              <w:tc>
                <w:tcPr>
                  <w:tcW w:w="1998" w:type="dxa"/>
                  <w:shd w:val="clear" w:color="auto" w:fill="auto"/>
                  <w:vAlign w:val="center"/>
                </w:tcPr>
                <w:p w14:paraId="6E0524FE">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滤布</w:t>
                  </w:r>
                </w:p>
              </w:tc>
              <w:tc>
                <w:tcPr>
                  <w:tcW w:w="1489" w:type="dxa"/>
                  <w:vAlign w:val="center"/>
                </w:tcPr>
                <w:p w14:paraId="60898A6E">
                  <w:pPr>
                    <w:keepNext w:val="0"/>
                    <w:keepLines w:val="0"/>
                    <w:suppressLineNumbers w:val="0"/>
                    <w:adjustRightInd w:val="0"/>
                    <w:snapToGrid w:val="0"/>
                    <w:spacing w:before="0" w:beforeAutospacing="0" w:after="0" w:afterAutospacing="0"/>
                    <w:ind w:left="0" w:right="0"/>
                    <w:jc w:val="center"/>
                    <w:rPr>
                      <w:rFonts w:hint="default" w:ascii="Times New Roman"/>
                      <w:color w:val="auto"/>
                      <w:sz w:val="21"/>
                      <w:szCs w:val="21"/>
                      <w:highlight w:val="none"/>
                    </w:rPr>
                  </w:pPr>
                  <w:r>
                    <w:rPr>
                      <w:rFonts w:hint="default" w:ascii="Times New Roman"/>
                      <w:color w:val="auto"/>
                      <w:sz w:val="21"/>
                      <w:szCs w:val="21"/>
                      <w:highlight w:val="none"/>
                    </w:rPr>
                    <w:t>t</w:t>
                  </w:r>
                </w:p>
              </w:tc>
              <w:tc>
                <w:tcPr>
                  <w:tcW w:w="1554" w:type="dxa"/>
                  <w:shd w:val="clear" w:color="auto" w:fill="auto"/>
                  <w:vAlign w:val="center"/>
                </w:tcPr>
                <w:p w14:paraId="20F50A81">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highlight w:val="none"/>
                      <w:lang w:val="en-US" w:eastAsia="zh-CN"/>
                    </w:rPr>
                  </w:pPr>
                  <w:r>
                    <w:rPr>
                      <w:rFonts w:hint="eastAsia"/>
                      <w:color w:val="auto"/>
                      <w:szCs w:val="21"/>
                      <w:highlight w:val="none"/>
                      <w:lang w:val="en-US" w:eastAsia="zh-CN"/>
                    </w:rPr>
                    <w:t>0.2</w:t>
                  </w:r>
                </w:p>
              </w:tc>
              <w:tc>
                <w:tcPr>
                  <w:tcW w:w="2625" w:type="dxa"/>
                  <w:vAlign w:val="center"/>
                </w:tcPr>
                <w:p w14:paraId="257C0EB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压滤机用</w:t>
                  </w:r>
                </w:p>
              </w:tc>
            </w:tr>
            <w:tr w14:paraId="23481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shd w:val="clear" w:color="auto" w:fill="auto"/>
                  <w:vAlign w:val="center"/>
                </w:tcPr>
                <w:p w14:paraId="0A7526A9">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13</w:t>
                  </w:r>
                </w:p>
              </w:tc>
              <w:tc>
                <w:tcPr>
                  <w:tcW w:w="1998" w:type="dxa"/>
                  <w:shd w:val="clear" w:color="auto" w:fill="auto"/>
                  <w:vAlign w:val="center"/>
                </w:tcPr>
                <w:p w14:paraId="3204B07E">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锆球</w:t>
                  </w:r>
                </w:p>
              </w:tc>
              <w:tc>
                <w:tcPr>
                  <w:tcW w:w="1489" w:type="dxa"/>
                  <w:vAlign w:val="center"/>
                </w:tcPr>
                <w:p w14:paraId="6C220A64">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lang w:val="en-US" w:eastAsia="zh-CN"/>
                    </w:rPr>
                  </w:pPr>
                  <w:r>
                    <w:rPr>
                      <w:rFonts w:hint="default" w:ascii="Times New Roman"/>
                      <w:color w:val="auto"/>
                      <w:sz w:val="21"/>
                      <w:szCs w:val="21"/>
                      <w:highlight w:val="none"/>
                    </w:rPr>
                    <w:t>t</w:t>
                  </w:r>
                </w:p>
              </w:tc>
              <w:tc>
                <w:tcPr>
                  <w:tcW w:w="1554" w:type="dxa"/>
                  <w:shd w:val="clear" w:color="auto" w:fill="auto"/>
                  <w:vAlign w:val="center"/>
                </w:tcPr>
                <w:p w14:paraId="1F9DDB80">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50</w:t>
                  </w:r>
                </w:p>
              </w:tc>
              <w:tc>
                <w:tcPr>
                  <w:tcW w:w="2625" w:type="dxa"/>
                  <w:vAlign w:val="center"/>
                </w:tcPr>
                <w:p w14:paraId="4848A8D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水磨机用</w:t>
                  </w:r>
                </w:p>
              </w:tc>
            </w:tr>
            <w:tr w14:paraId="10D0B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shd w:val="clear" w:color="auto" w:fill="auto"/>
                  <w:vAlign w:val="center"/>
                </w:tcPr>
                <w:p w14:paraId="43632AE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14</w:t>
                  </w:r>
                </w:p>
              </w:tc>
              <w:tc>
                <w:tcPr>
                  <w:tcW w:w="1998" w:type="dxa"/>
                  <w:shd w:val="clear" w:color="auto" w:fill="auto"/>
                  <w:vAlign w:val="center"/>
                </w:tcPr>
                <w:p w14:paraId="78E19F2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破乳剂</w:t>
                  </w:r>
                </w:p>
              </w:tc>
              <w:tc>
                <w:tcPr>
                  <w:tcW w:w="1489" w:type="dxa"/>
                  <w:vAlign w:val="center"/>
                </w:tcPr>
                <w:p w14:paraId="64C1D353">
                  <w:pPr>
                    <w:keepNext w:val="0"/>
                    <w:keepLines w:val="0"/>
                    <w:suppressLineNumbers w:val="0"/>
                    <w:adjustRightInd w:val="0"/>
                    <w:snapToGrid w:val="0"/>
                    <w:spacing w:before="0" w:beforeAutospacing="0" w:after="0" w:afterAutospacing="0"/>
                    <w:ind w:left="0" w:right="0"/>
                    <w:jc w:val="center"/>
                    <w:rPr>
                      <w:rFonts w:hint="eastAsia"/>
                      <w:color w:val="auto"/>
                      <w:szCs w:val="21"/>
                      <w:highlight w:val="none"/>
                      <w:lang w:val="en-US" w:eastAsia="zh-CN"/>
                    </w:rPr>
                  </w:pPr>
                  <w:r>
                    <w:rPr>
                      <w:rFonts w:hint="default" w:ascii="Times New Roman"/>
                      <w:color w:val="auto"/>
                      <w:sz w:val="21"/>
                      <w:szCs w:val="21"/>
                      <w:highlight w:val="none"/>
                    </w:rPr>
                    <w:t>t</w:t>
                  </w:r>
                </w:p>
              </w:tc>
              <w:tc>
                <w:tcPr>
                  <w:tcW w:w="1554" w:type="dxa"/>
                  <w:vAlign w:val="center"/>
                </w:tcPr>
                <w:p w14:paraId="67FA567A">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0.18</w:t>
                  </w:r>
                </w:p>
              </w:tc>
              <w:tc>
                <w:tcPr>
                  <w:tcW w:w="2625" w:type="dxa"/>
                  <w:vAlign w:val="center"/>
                </w:tcPr>
                <w:p w14:paraId="70EBDA4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废水处理</w:t>
                  </w:r>
                </w:p>
              </w:tc>
            </w:tr>
            <w:tr w14:paraId="6D227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shd w:val="clear" w:color="auto" w:fill="auto"/>
                  <w:vAlign w:val="center"/>
                </w:tcPr>
                <w:p w14:paraId="080B5B91">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15</w:t>
                  </w:r>
                </w:p>
              </w:tc>
              <w:tc>
                <w:tcPr>
                  <w:tcW w:w="1998" w:type="dxa"/>
                  <w:shd w:val="clear" w:color="auto" w:fill="auto"/>
                  <w:vAlign w:val="center"/>
                </w:tcPr>
                <w:p w14:paraId="4DDEE90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絮凝剂PAM</w:t>
                  </w:r>
                </w:p>
              </w:tc>
              <w:tc>
                <w:tcPr>
                  <w:tcW w:w="1489" w:type="dxa"/>
                  <w:vAlign w:val="center"/>
                </w:tcPr>
                <w:p w14:paraId="4AF15902">
                  <w:pPr>
                    <w:keepNext w:val="0"/>
                    <w:keepLines w:val="0"/>
                    <w:suppressLineNumbers w:val="0"/>
                    <w:adjustRightInd w:val="0"/>
                    <w:snapToGrid w:val="0"/>
                    <w:spacing w:before="0" w:beforeAutospacing="0" w:after="0" w:afterAutospacing="0"/>
                    <w:ind w:left="0" w:right="0"/>
                    <w:jc w:val="center"/>
                    <w:rPr>
                      <w:rFonts w:hint="eastAsia"/>
                      <w:color w:val="auto"/>
                      <w:szCs w:val="21"/>
                      <w:highlight w:val="none"/>
                      <w:lang w:val="en-US" w:eastAsia="zh-CN"/>
                    </w:rPr>
                  </w:pPr>
                  <w:r>
                    <w:rPr>
                      <w:rFonts w:hint="default" w:ascii="Times New Roman"/>
                      <w:color w:val="auto"/>
                      <w:sz w:val="21"/>
                      <w:szCs w:val="21"/>
                      <w:highlight w:val="none"/>
                    </w:rPr>
                    <w:t>t</w:t>
                  </w:r>
                </w:p>
              </w:tc>
              <w:tc>
                <w:tcPr>
                  <w:tcW w:w="1554" w:type="dxa"/>
                  <w:vAlign w:val="center"/>
                </w:tcPr>
                <w:p w14:paraId="347F3DFA">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0.36</w:t>
                  </w:r>
                </w:p>
              </w:tc>
              <w:tc>
                <w:tcPr>
                  <w:tcW w:w="2625" w:type="dxa"/>
                  <w:vAlign w:val="center"/>
                </w:tcPr>
                <w:p w14:paraId="560ED23C">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rPr>
                  </w:pPr>
                  <w:r>
                    <w:rPr>
                      <w:rFonts w:hint="eastAsia" w:ascii="Times New Roman"/>
                      <w:color w:val="auto"/>
                      <w:sz w:val="21"/>
                      <w:szCs w:val="21"/>
                      <w:highlight w:val="none"/>
                      <w:lang w:val="en-US" w:eastAsia="zh-CN"/>
                    </w:rPr>
                    <w:t>废水处理</w:t>
                  </w:r>
                </w:p>
              </w:tc>
            </w:tr>
            <w:tr w14:paraId="0CFCA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shd w:val="clear" w:color="auto" w:fill="auto"/>
                  <w:vAlign w:val="center"/>
                </w:tcPr>
                <w:p w14:paraId="739CDDA4">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16</w:t>
                  </w:r>
                </w:p>
              </w:tc>
              <w:tc>
                <w:tcPr>
                  <w:tcW w:w="1998" w:type="dxa"/>
                  <w:shd w:val="clear" w:color="auto" w:fill="auto"/>
                  <w:vAlign w:val="center"/>
                </w:tcPr>
                <w:p w14:paraId="324FEEEE">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eastAsia="zh-CN"/>
                    </w:rPr>
                  </w:pPr>
                  <w:r>
                    <w:rPr>
                      <w:rFonts w:hint="eastAsia" w:ascii="Times New Roman"/>
                      <w:color w:val="auto"/>
                      <w:sz w:val="21"/>
                      <w:szCs w:val="21"/>
                      <w:highlight w:val="none"/>
                      <w:lang w:eastAsia="zh-CN"/>
                    </w:rPr>
                    <w:t>水</w:t>
                  </w:r>
                </w:p>
              </w:tc>
              <w:tc>
                <w:tcPr>
                  <w:tcW w:w="1489" w:type="dxa"/>
                  <w:vAlign w:val="center"/>
                </w:tcPr>
                <w:p w14:paraId="124FB283">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m</w:t>
                  </w:r>
                  <w:r>
                    <w:rPr>
                      <w:rFonts w:hint="eastAsia"/>
                      <w:color w:val="auto"/>
                      <w:szCs w:val="21"/>
                      <w:highlight w:val="none"/>
                      <w:vertAlign w:val="superscript"/>
                      <w:lang w:val="en-US" w:eastAsia="zh-CN"/>
                    </w:rPr>
                    <w:t>3</w:t>
                  </w:r>
                </w:p>
              </w:tc>
              <w:tc>
                <w:tcPr>
                  <w:tcW w:w="1554" w:type="dxa"/>
                  <w:vAlign w:val="center"/>
                </w:tcPr>
                <w:p w14:paraId="0CBAAD5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1164.00045</w:t>
                  </w:r>
                </w:p>
              </w:tc>
              <w:tc>
                <w:tcPr>
                  <w:tcW w:w="2625" w:type="dxa"/>
                  <w:vAlign w:val="center"/>
                </w:tcPr>
                <w:p w14:paraId="23328DE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rPr>
                    <w:t>秦皇岛市政自来水管网</w:t>
                  </w:r>
                </w:p>
              </w:tc>
            </w:tr>
            <w:tr w14:paraId="00F54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shd w:val="clear" w:color="auto" w:fill="auto"/>
                  <w:vAlign w:val="center"/>
                </w:tcPr>
                <w:p w14:paraId="46C8F9EF">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16</w:t>
                  </w:r>
                </w:p>
              </w:tc>
              <w:tc>
                <w:tcPr>
                  <w:tcW w:w="1998" w:type="dxa"/>
                  <w:shd w:val="clear" w:color="auto" w:fill="auto"/>
                  <w:vAlign w:val="center"/>
                </w:tcPr>
                <w:p w14:paraId="67030C5F">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eastAsia="zh-CN"/>
                    </w:rPr>
                  </w:pPr>
                  <w:r>
                    <w:rPr>
                      <w:rFonts w:hint="eastAsia" w:ascii="Times New Roman"/>
                      <w:color w:val="auto"/>
                      <w:sz w:val="21"/>
                      <w:szCs w:val="21"/>
                      <w:highlight w:val="none"/>
                      <w:lang w:eastAsia="zh-CN"/>
                    </w:rPr>
                    <w:t>电</w:t>
                  </w:r>
                </w:p>
              </w:tc>
              <w:tc>
                <w:tcPr>
                  <w:tcW w:w="1489" w:type="dxa"/>
                  <w:vAlign w:val="center"/>
                </w:tcPr>
                <w:p w14:paraId="5432161E">
                  <w:pPr>
                    <w:keepNext w:val="0"/>
                    <w:keepLines w:val="0"/>
                    <w:suppressLineNumbers w:val="0"/>
                    <w:adjustRightInd w:val="0"/>
                    <w:snapToGrid w:val="0"/>
                    <w:spacing w:before="0" w:beforeAutospacing="0" w:after="0" w:afterAutospacing="0"/>
                    <w:ind w:left="0" w:right="0"/>
                    <w:jc w:val="center"/>
                    <w:rPr>
                      <w:rFonts w:hint="eastAsia"/>
                      <w:color w:val="auto"/>
                      <w:szCs w:val="21"/>
                      <w:highlight w:val="none"/>
                    </w:rPr>
                  </w:pPr>
                  <w:r>
                    <w:rPr>
                      <w:rFonts w:hint="default" w:ascii="Times New Roman"/>
                      <w:color w:val="auto"/>
                      <w:sz w:val="21"/>
                      <w:szCs w:val="21"/>
                      <w:highlight w:val="none"/>
                    </w:rPr>
                    <w:t>万kW·h</w:t>
                  </w:r>
                </w:p>
              </w:tc>
              <w:tc>
                <w:tcPr>
                  <w:tcW w:w="1554" w:type="dxa"/>
                  <w:vAlign w:val="center"/>
                </w:tcPr>
                <w:p w14:paraId="4DEF588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40</w:t>
                  </w:r>
                </w:p>
              </w:tc>
              <w:tc>
                <w:tcPr>
                  <w:tcW w:w="2625" w:type="dxa"/>
                  <w:vAlign w:val="center"/>
                </w:tcPr>
                <w:p w14:paraId="67BD43B0">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由开发区电力公司提供</w:t>
                  </w:r>
                </w:p>
              </w:tc>
            </w:tr>
          </w:tbl>
          <w:p w14:paraId="4BC91805">
            <w:pPr>
              <w:keepNext w:val="0"/>
              <w:keepLines w:val="0"/>
              <w:suppressLineNumbers w:val="0"/>
              <w:spacing w:before="0" w:beforeAutospacing="0" w:after="0" w:afterAutospacing="0" w:line="360" w:lineRule="auto"/>
              <w:ind w:left="0" w:right="0"/>
              <w:jc w:val="left"/>
              <w:rPr>
                <w:rFonts w:hint="eastAsia"/>
                <w:b/>
                <w:color w:val="auto"/>
                <w:sz w:val="24"/>
                <w:highlight w:val="none"/>
                <w:lang w:val="en-US" w:eastAsia="zh-CN"/>
              </w:rPr>
            </w:pPr>
            <w:r>
              <w:rPr>
                <w:rFonts w:hint="eastAsia"/>
                <w:b/>
                <w:color w:val="auto"/>
                <w:sz w:val="24"/>
                <w:highlight w:val="none"/>
                <w:lang w:val="en-US" w:eastAsia="zh-CN"/>
              </w:rPr>
              <w:t>理化性质：</w:t>
            </w:r>
          </w:p>
          <w:p w14:paraId="23C1FC53">
            <w:pPr>
              <w:keepNext w:val="0"/>
              <w:keepLines w:val="0"/>
              <w:suppressLineNumbers w:val="0"/>
              <w:snapToGrid w:val="0"/>
              <w:spacing w:before="0" w:beforeAutospacing="0" w:after="0" w:afterAutospacing="0" w:line="360" w:lineRule="auto"/>
              <w:ind w:left="0" w:right="0"/>
              <w:jc w:val="left"/>
              <w:rPr>
                <w:rFonts w:hint="eastAsia" w:ascii="Times New Roman" w:hAnsi="Times New Roman" w:eastAsia="宋体" w:cs="Times New Roman"/>
                <w:color w:val="auto"/>
                <w:sz w:val="24"/>
                <w:highlight w:val="none"/>
                <w:lang w:eastAsia="zh-CN"/>
              </w:rPr>
            </w:pPr>
            <w:r>
              <w:rPr>
                <w:rFonts w:hint="eastAsia" w:cs="Times New Roman"/>
                <w:b/>
                <w:bCs/>
                <w:color w:val="auto"/>
                <w:sz w:val="24"/>
                <w:highlight w:val="none"/>
                <w:lang w:val="en-US" w:eastAsia="zh-CN"/>
              </w:rPr>
              <w:t>轮毂：</w:t>
            </w:r>
            <w:r>
              <w:rPr>
                <w:rFonts w:hint="eastAsia" w:cs="Times New Roman"/>
                <w:b w:val="0"/>
                <w:bCs w:val="0"/>
                <w:color w:val="auto"/>
                <w:sz w:val="24"/>
                <w:highlight w:val="none"/>
                <w:lang w:val="en-US" w:eastAsia="zh-CN"/>
              </w:rPr>
              <w:t>来自戴卡，铝镁合金材质，不含油，具有轻量化、高强度、耐腐蚀等特性。</w:t>
            </w:r>
            <w:r>
              <w:rPr>
                <w:rFonts w:hint="eastAsia" w:ascii="Times New Roman" w:hAnsi="Times New Roman" w:eastAsia="宋体" w:cs="Times New Roman"/>
                <w:b/>
                <w:bCs/>
                <w:color w:val="auto"/>
                <w:sz w:val="24"/>
                <w:highlight w:val="none"/>
                <w:lang w:val="en-US" w:eastAsia="zh-CN"/>
              </w:rPr>
              <w:t>洗洁精</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主要成分包括表面活性剂 （如烷基磺酸钠 、脂肪醇醚硫酸钠 ）、泡沫剂 、增溶剂 、香精、色素和 防腐剂等。这些成分共同作用，使洗洁精具有清洁和去污的能力。pH值通常为中性或弱碱性，这有助于去除油脂类污垢。酸性洗洁精含有盐酸 、磷酸、硫酸等有机酸，具有杀菌和除臭功能，适用于除锈和去盐垢；而碱性洗洁精则擅长将不溶于水的油脂转化为半溶于水的物质，更适合清除油脂类污垢。洗洁精在储存和使用过程中需要保持稳定性。其稳定性主要通过稳定剂和增稠剂来维持，这些成分能够防止洗洁精因温度、湿度等变化而引起的质量变化。此外，洗洁精中的成分多为低毒性，本身不会致癌，但在长期、高剂量暴露下可能存在健康风险</w:t>
            </w:r>
            <w:r>
              <w:rPr>
                <w:rFonts w:hint="eastAsia" w:ascii="Times New Roman" w:hAnsi="Times New Roman" w:eastAsia="宋体" w:cs="Times New Roman"/>
                <w:color w:val="auto"/>
                <w:sz w:val="24"/>
                <w:highlight w:val="none"/>
                <w:lang w:eastAsia="zh-CN"/>
              </w:rPr>
              <w:t>。</w:t>
            </w:r>
          </w:p>
          <w:p w14:paraId="33C6B2AC">
            <w:pPr>
              <w:keepNext w:val="0"/>
              <w:keepLines w:val="0"/>
              <w:suppressLineNumbers w:val="0"/>
              <w:snapToGrid w:val="0"/>
              <w:spacing w:before="0" w:beforeAutospacing="0" w:after="0" w:afterAutospacing="0" w:line="360" w:lineRule="auto"/>
              <w:ind w:left="0" w:right="0"/>
              <w:jc w:val="left"/>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透明皂</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主要成分是植物油或脂肪，如橄榄油、棕榈油、椰子油等，这些植物油经过皂化反应生成皂基。此外，透明皂还包含碱液（如氢氧化钠或氢氧化钾）、水、甘油以及香精或精油（如薰衣草精油、柠檬精油）等。透明皂外观似蜡，晶相大部分为β相，透明度介于半透明皂和全透明皂之间。其泡沫丰富、溶解迅速，浸泡在水中易糊烂。常加有鲜艳的色彩和水果香型‌。透明皂的水溶液呈碱性，具有较好的去污能力。这是因为其主要成分脂肪酸钠盐在水溶液中呈碱性。</w:t>
            </w:r>
          </w:p>
          <w:p w14:paraId="57414D74">
            <w:pPr>
              <w:keepNext w:val="0"/>
              <w:keepLines w:val="0"/>
              <w:suppressLineNumbers w:val="0"/>
              <w:snapToGrid w:val="0"/>
              <w:spacing w:before="0" w:beforeAutospacing="0" w:after="0" w:afterAutospacing="0" w:line="360" w:lineRule="auto"/>
              <w:ind w:left="0" w:right="0"/>
              <w:jc w:val="left"/>
              <w:rPr>
                <w:rFonts w:hint="default" w:ascii="Arial" w:hAnsi="Arial" w:eastAsia="Arial" w:cs="Arial"/>
                <w:b w:val="0"/>
                <w:bCs w:val="0"/>
                <w:highlight w:val="none"/>
              </w:rPr>
            </w:pPr>
            <w:r>
              <w:rPr>
                <w:rFonts w:hint="eastAsia" w:ascii="Times New Roman" w:hAnsi="Times New Roman" w:eastAsia="宋体" w:cs="Times New Roman"/>
                <w:b/>
                <w:bCs/>
                <w:color w:val="auto"/>
                <w:sz w:val="24"/>
                <w:highlight w:val="none"/>
                <w:lang w:val="en-US" w:eastAsia="zh-CN"/>
              </w:rPr>
              <w:t>抛光膏：</w:t>
            </w:r>
            <w:r>
              <w:rPr>
                <w:rFonts w:hint="default" w:ascii="Times New Roman" w:hAnsi="Times New Roman" w:eastAsia="宋体" w:cs="Times New Roman"/>
                <w:b w:val="0"/>
                <w:bCs w:val="0"/>
                <w:color w:val="auto"/>
                <w:sz w:val="24"/>
                <w:highlight w:val="none"/>
                <w:lang w:val="en-US" w:eastAsia="zh-CN"/>
              </w:rPr>
              <w:t>（绿蜡或青蜡）主要成分包括硬脂酸、单甘脂、蜂蜡、石蜡、羊毛脂等‌‌。这些成分使得抛光膏适用于任何工件的镜面抛光，特别适合用于后序上光抛光，适用于各类不锈钢、铜、铝及贵重金属、精密仪器等的抛光‌。</w:t>
            </w:r>
            <w:r>
              <w:rPr>
                <w:rFonts w:hint="eastAsia" w:cs="Times New Roman"/>
                <w:b w:val="0"/>
                <w:bCs w:val="0"/>
                <w:color w:val="auto"/>
                <w:sz w:val="24"/>
                <w:highlight w:val="none"/>
                <w:lang w:val="en-US" w:eastAsia="zh-CN"/>
              </w:rPr>
              <w:t>温度在50℃的时候，不会产生有机废气。</w:t>
            </w:r>
            <w:r>
              <w:rPr>
                <w:rFonts w:hint="default" w:ascii="Arial" w:hAnsi="Arial" w:eastAsia="Arial" w:cs="Arial"/>
                <w:b w:val="0"/>
                <w:bCs w:val="0"/>
                <w:i w:val="0"/>
                <w:iCs w:val="0"/>
                <w:caps w:val="0"/>
                <w:color w:val="333333"/>
                <w:spacing w:val="0"/>
                <w:sz w:val="24"/>
                <w:szCs w:val="24"/>
                <w:highlight w:val="none"/>
                <w:shd w:val="clear" w:fill="FFFFFF"/>
              </w:rPr>
              <w:t>‌</w:t>
            </w:r>
          </w:p>
          <w:p w14:paraId="63095C40">
            <w:pPr>
              <w:keepNext w:val="0"/>
              <w:keepLines w:val="0"/>
              <w:suppressLineNumbers w:val="0"/>
              <w:snapToGrid w:val="0"/>
              <w:spacing w:before="0" w:beforeAutospacing="0" w:after="0" w:afterAutospacing="0" w:line="360" w:lineRule="auto"/>
              <w:ind w:left="0" w:right="0"/>
              <w:jc w:val="left"/>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锆球</w:t>
            </w:r>
            <w:r>
              <w:rPr>
                <w:rFonts w:hint="eastAsia"/>
                <w:b/>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韧性高、抗弯强度大、耐磨性能好、隔热性能良好、硬度高、强度大、密度大、热膨胀率低、耐高温、耐光、耐化学腐蚀、良好的电性能参数。锆球属于功能性陶瓷，在许多领域当中氧化锆球都得到了非常普遍的应用，如热障涂层、催化剂载体、健康、保持健康、耐火材料、纺织等。锆球的特点是韧性高、抗弯强度也比较大，同时还具备良好的耐磨性能和隔热性能。</w:t>
            </w:r>
          </w:p>
          <w:p w14:paraId="0E62772C">
            <w:pPr>
              <w:keepNext w:val="0"/>
              <w:keepLines w:val="0"/>
              <w:suppressLineNumbers w:val="0"/>
              <w:snapToGrid w:val="0"/>
              <w:spacing w:before="0" w:beforeAutospacing="0" w:after="0" w:afterAutospacing="0" w:line="360" w:lineRule="auto"/>
              <w:ind w:left="0" w:right="0"/>
              <w:jc w:val="left"/>
              <w:rPr>
                <w:rFonts w:hint="default"/>
                <w:b/>
                <w:color w:val="auto"/>
                <w:sz w:val="24"/>
                <w:highlight w:val="none"/>
                <w:lang w:val="en-US" w:eastAsia="zh-CN"/>
              </w:rPr>
            </w:pPr>
            <w:r>
              <w:rPr>
                <w:rFonts w:hint="eastAsia" w:ascii="Times New Roman" w:hAnsi="Times New Roman" w:cs="Times New Roman"/>
                <w:b/>
                <w:color w:val="auto"/>
                <w:sz w:val="24"/>
                <w:highlight w:val="none"/>
                <w:lang w:val="en-US" w:eastAsia="zh-CN"/>
              </w:rPr>
              <w:t>破乳剂：</w:t>
            </w:r>
            <w:r>
              <w:rPr>
                <w:rFonts w:hint="eastAsia" w:ascii="Times New Roman" w:hAnsi="Times New Roman" w:cs="Times New Roman"/>
                <w:b w:val="0"/>
                <w:bCs/>
                <w:color w:val="auto"/>
                <w:sz w:val="24"/>
                <w:highlight w:val="none"/>
                <w:lang w:val="en-US" w:eastAsia="zh-CN"/>
              </w:rPr>
              <w:t>主要成分是聚丙酰阳离子化合物等高分子聚合物，是一种表面活性物质，表面基团具有亲油基。它能使乳化状的液体结构破坏，以达到乳化液中有机相和水相分离开来的目的。</w:t>
            </w:r>
          </w:p>
          <w:p w14:paraId="19B263EE">
            <w:pPr>
              <w:keepNext w:val="0"/>
              <w:keepLines w:val="0"/>
              <w:suppressLineNumbers w:val="0"/>
              <w:snapToGrid w:val="0"/>
              <w:spacing w:before="0" w:beforeAutospacing="0" w:after="0" w:afterAutospacing="0" w:line="360" w:lineRule="auto"/>
              <w:ind w:left="0" w:right="0"/>
              <w:jc w:val="left"/>
              <w:rPr>
                <w:rFonts w:hint="eastAsia"/>
                <w:b/>
                <w:color w:val="auto"/>
                <w:sz w:val="24"/>
                <w:highlight w:val="none"/>
                <w:lang w:val="en-US" w:eastAsia="zh-CN"/>
              </w:rPr>
            </w:pPr>
            <w:r>
              <w:rPr>
                <w:rFonts w:hint="eastAsia"/>
                <w:b/>
                <w:color w:val="auto"/>
                <w:sz w:val="24"/>
                <w:highlight w:val="none"/>
                <w:lang w:val="en-US" w:eastAsia="zh-CN"/>
              </w:rPr>
              <w:t>絮凝剂</w:t>
            </w:r>
            <w:r>
              <w:rPr>
                <w:rFonts w:hint="eastAsia"/>
                <w:b w:val="0"/>
                <w:bCs/>
                <w:color w:val="auto"/>
                <w:sz w:val="24"/>
                <w:highlight w:val="none"/>
                <w:lang w:val="en-US" w:eastAsia="zh-CN"/>
              </w:rPr>
              <w:t>PAM</w:t>
            </w:r>
            <w:r>
              <w:rPr>
                <w:rFonts w:hint="eastAsia"/>
                <w:b/>
                <w:color w:val="auto"/>
                <w:sz w:val="24"/>
                <w:highlight w:val="none"/>
                <w:lang w:val="en-US" w:eastAsia="zh-CN"/>
              </w:rPr>
              <w:t>：</w:t>
            </w:r>
            <w:r>
              <w:rPr>
                <w:rFonts w:hint="eastAsia"/>
                <w:b w:val="0"/>
                <w:bCs/>
                <w:color w:val="auto"/>
                <w:sz w:val="24"/>
                <w:highlight w:val="none"/>
                <w:lang w:val="en-US" w:eastAsia="zh-CN"/>
              </w:rPr>
              <w:t>全名为聚丙烯酰胺，该产品的分子能与分散于溶液中的悬浮粒子架桥吸附，有着极强的絮凝作用。该产品俗称絮凝剂或凝聚剂，是线状高分子聚合物，分子量在300-2500万之间，固体产品外观为白色粉颗，液态为无色粘稠胶体状，易溶于水，几乎不溶于有机溶剂。应用时宜在常温下溶解，温度超过150℃时易分解。属非危险品、无毒、无腐蚀性。固体PAM有吸湿性、絮凝性、粘合性、降阻性、增稠性、同时稳定性好。</w:t>
            </w:r>
          </w:p>
          <w:p w14:paraId="5D46C776">
            <w:pPr>
              <w:keepNext w:val="0"/>
              <w:keepLines w:val="0"/>
              <w:suppressLineNumbers w:val="0"/>
              <w:spacing w:before="0" w:beforeAutospacing="0" w:after="0" w:afterAutospacing="0"/>
              <w:ind w:left="0" w:right="0"/>
              <w:jc w:val="center"/>
              <w:rPr>
                <w:rFonts w:hint="default"/>
                <w:spacing w:val="0"/>
                <w:sz w:val="21"/>
                <w:szCs w:val="21"/>
                <w:highlight w:val="none"/>
              </w:rPr>
            </w:pPr>
            <w:r>
              <w:rPr>
                <w:rFonts w:hint="default"/>
                <w:b/>
                <w:snapToGrid w:val="0"/>
                <w:color w:val="auto"/>
                <w:sz w:val="24"/>
                <w:highlight w:val="none"/>
              </w:rPr>
              <w:t>表</w:t>
            </w:r>
            <w:r>
              <w:rPr>
                <w:rFonts w:hint="eastAsia"/>
                <w:b/>
                <w:snapToGrid w:val="0"/>
                <w:color w:val="auto"/>
                <w:sz w:val="24"/>
                <w:highlight w:val="none"/>
              </w:rPr>
              <w:t>2-</w:t>
            </w:r>
            <w:r>
              <w:rPr>
                <w:rFonts w:hint="eastAsia"/>
                <w:b/>
                <w:snapToGrid w:val="0"/>
                <w:color w:val="auto"/>
                <w:sz w:val="24"/>
                <w:highlight w:val="none"/>
                <w:lang w:val="en-US" w:eastAsia="zh-CN"/>
              </w:rPr>
              <w:t>4</w:t>
            </w:r>
            <w:r>
              <w:rPr>
                <w:rFonts w:hint="default"/>
                <w:b/>
                <w:snapToGrid w:val="0"/>
                <w:color w:val="auto"/>
                <w:sz w:val="24"/>
                <w:highlight w:val="none"/>
              </w:rPr>
              <w:t xml:space="preserve">  </w:t>
            </w:r>
            <w:r>
              <w:rPr>
                <w:rFonts w:hint="eastAsia"/>
                <w:b/>
                <w:snapToGrid w:val="0"/>
                <w:color w:val="auto"/>
                <w:sz w:val="24"/>
                <w:highlight w:val="none"/>
                <w:lang w:val="en-US" w:eastAsia="zh-CN"/>
              </w:rPr>
              <w:t>项目物料平衡一览表</w:t>
            </w:r>
            <w:r>
              <w:rPr>
                <w:rFonts w:hint="default"/>
                <w:b/>
                <w:snapToGrid w:val="0"/>
                <w:color w:val="auto"/>
                <w:sz w:val="24"/>
                <w:highlight w:val="none"/>
              </w:rPr>
              <w:t>一览表</w:t>
            </w:r>
          </w:p>
          <w:tbl>
            <w:tblPr>
              <w:tblStyle w:val="35"/>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803"/>
              <w:gridCol w:w="1262"/>
              <w:gridCol w:w="1554"/>
              <w:gridCol w:w="2668"/>
              <w:gridCol w:w="2011"/>
            </w:tblGrid>
            <w:tr w14:paraId="1B3B0F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20" w:hRule="atLeast"/>
                <w:jc w:val="center"/>
              </w:trPr>
              <w:tc>
                <w:tcPr>
                  <w:tcW w:w="803" w:type="dxa"/>
                  <w:vMerge w:val="restart"/>
                  <w:noWrap w:val="0"/>
                  <w:vAlign w:val="center"/>
                </w:tcPr>
                <w:p w14:paraId="01681839">
                  <w:pPr>
                    <w:keepNext w:val="0"/>
                    <w:keepLines w:val="0"/>
                    <w:suppressLineNumbers w:val="0"/>
                    <w:spacing w:before="0" w:beforeAutospacing="0" w:after="0" w:afterAutospacing="0"/>
                    <w:ind w:left="0" w:right="0"/>
                    <w:jc w:val="center"/>
                    <w:rPr>
                      <w:rFonts w:hint="default"/>
                      <w:b/>
                      <w:bCs/>
                      <w:szCs w:val="21"/>
                      <w:highlight w:val="none"/>
                    </w:rPr>
                  </w:pPr>
                  <w:r>
                    <w:rPr>
                      <w:rFonts w:hint="default"/>
                      <w:b/>
                      <w:bCs/>
                      <w:szCs w:val="21"/>
                      <w:highlight w:val="none"/>
                    </w:rPr>
                    <w:t>序号</w:t>
                  </w:r>
                </w:p>
              </w:tc>
              <w:tc>
                <w:tcPr>
                  <w:tcW w:w="2816" w:type="dxa"/>
                  <w:gridSpan w:val="2"/>
                  <w:noWrap w:val="0"/>
                  <w:vAlign w:val="center"/>
                </w:tcPr>
                <w:p w14:paraId="57BE9BD6">
                  <w:pPr>
                    <w:keepNext w:val="0"/>
                    <w:keepLines w:val="0"/>
                    <w:suppressLineNumbers w:val="0"/>
                    <w:spacing w:before="0" w:beforeAutospacing="0" w:after="0" w:afterAutospacing="0"/>
                    <w:ind w:left="0" w:right="0"/>
                    <w:jc w:val="center"/>
                    <w:rPr>
                      <w:rFonts w:hint="default"/>
                      <w:b/>
                      <w:bCs/>
                      <w:szCs w:val="21"/>
                      <w:highlight w:val="none"/>
                    </w:rPr>
                  </w:pPr>
                  <w:r>
                    <w:rPr>
                      <w:rFonts w:hint="default"/>
                      <w:b/>
                      <w:bCs/>
                      <w:szCs w:val="21"/>
                      <w:highlight w:val="none"/>
                    </w:rPr>
                    <w:t>原料</w:t>
                  </w:r>
                </w:p>
              </w:tc>
              <w:tc>
                <w:tcPr>
                  <w:tcW w:w="4679" w:type="dxa"/>
                  <w:gridSpan w:val="2"/>
                  <w:noWrap w:val="0"/>
                  <w:vAlign w:val="center"/>
                </w:tcPr>
                <w:p w14:paraId="1274668C">
                  <w:pPr>
                    <w:keepNext w:val="0"/>
                    <w:keepLines w:val="0"/>
                    <w:suppressLineNumbers w:val="0"/>
                    <w:spacing w:before="0" w:beforeAutospacing="0" w:after="0" w:afterAutospacing="0"/>
                    <w:ind w:left="0" w:right="0"/>
                    <w:jc w:val="center"/>
                    <w:rPr>
                      <w:rFonts w:hint="default"/>
                      <w:b/>
                      <w:bCs/>
                      <w:szCs w:val="21"/>
                      <w:highlight w:val="none"/>
                    </w:rPr>
                  </w:pPr>
                  <w:r>
                    <w:rPr>
                      <w:rFonts w:hint="default"/>
                      <w:b/>
                      <w:bCs/>
                      <w:szCs w:val="21"/>
                      <w:highlight w:val="none"/>
                    </w:rPr>
                    <w:t>产品及固体废物</w:t>
                  </w:r>
                </w:p>
              </w:tc>
            </w:tr>
            <w:tr w14:paraId="76918B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20" w:hRule="atLeast"/>
                <w:jc w:val="center"/>
              </w:trPr>
              <w:tc>
                <w:tcPr>
                  <w:tcW w:w="803" w:type="dxa"/>
                  <w:vMerge w:val="continue"/>
                  <w:noWrap w:val="0"/>
                  <w:vAlign w:val="center"/>
                </w:tcPr>
                <w:p w14:paraId="5188BE7B">
                  <w:pPr>
                    <w:keepNext w:val="0"/>
                    <w:keepLines w:val="0"/>
                    <w:suppressLineNumbers w:val="0"/>
                    <w:spacing w:before="0" w:beforeAutospacing="0" w:after="0" w:afterAutospacing="0"/>
                    <w:ind w:left="0" w:right="0"/>
                    <w:jc w:val="center"/>
                    <w:rPr>
                      <w:rFonts w:hint="default"/>
                      <w:b/>
                      <w:bCs/>
                      <w:szCs w:val="21"/>
                      <w:highlight w:val="none"/>
                    </w:rPr>
                  </w:pPr>
                </w:p>
              </w:tc>
              <w:tc>
                <w:tcPr>
                  <w:tcW w:w="1262" w:type="dxa"/>
                  <w:noWrap w:val="0"/>
                  <w:vAlign w:val="center"/>
                </w:tcPr>
                <w:p w14:paraId="453480D6">
                  <w:pPr>
                    <w:keepNext w:val="0"/>
                    <w:keepLines w:val="0"/>
                    <w:suppressLineNumbers w:val="0"/>
                    <w:spacing w:before="0" w:beforeAutospacing="0" w:after="0" w:afterAutospacing="0"/>
                    <w:ind w:left="0" w:right="0"/>
                    <w:jc w:val="center"/>
                    <w:rPr>
                      <w:rFonts w:hint="default"/>
                      <w:b/>
                      <w:bCs/>
                      <w:szCs w:val="21"/>
                      <w:highlight w:val="none"/>
                    </w:rPr>
                  </w:pPr>
                  <w:r>
                    <w:rPr>
                      <w:rFonts w:hint="default"/>
                      <w:b/>
                      <w:bCs/>
                      <w:szCs w:val="21"/>
                      <w:highlight w:val="none"/>
                    </w:rPr>
                    <w:t>名称</w:t>
                  </w:r>
                </w:p>
              </w:tc>
              <w:tc>
                <w:tcPr>
                  <w:tcW w:w="1554" w:type="dxa"/>
                  <w:noWrap w:val="0"/>
                  <w:vAlign w:val="center"/>
                </w:tcPr>
                <w:p w14:paraId="17A5B664">
                  <w:pPr>
                    <w:keepNext w:val="0"/>
                    <w:keepLines w:val="0"/>
                    <w:suppressLineNumbers w:val="0"/>
                    <w:spacing w:before="0" w:beforeAutospacing="0" w:after="0" w:afterAutospacing="0"/>
                    <w:ind w:left="0" w:right="0"/>
                    <w:jc w:val="center"/>
                    <w:rPr>
                      <w:rFonts w:hint="default"/>
                      <w:b/>
                      <w:bCs/>
                      <w:szCs w:val="21"/>
                      <w:highlight w:val="none"/>
                    </w:rPr>
                  </w:pPr>
                  <w:r>
                    <w:rPr>
                      <w:rFonts w:hint="default"/>
                      <w:b/>
                      <w:bCs/>
                      <w:szCs w:val="21"/>
                      <w:highlight w:val="none"/>
                    </w:rPr>
                    <w:t>年用量（t）</w:t>
                  </w:r>
                </w:p>
              </w:tc>
              <w:tc>
                <w:tcPr>
                  <w:tcW w:w="2668" w:type="dxa"/>
                  <w:noWrap w:val="0"/>
                  <w:vAlign w:val="center"/>
                </w:tcPr>
                <w:p w14:paraId="6461A778">
                  <w:pPr>
                    <w:keepNext w:val="0"/>
                    <w:keepLines w:val="0"/>
                    <w:suppressLineNumbers w:val="0"/>
                    <w:spacing w:before="0" w:beforeAutospacing="0" w:after="0" w:afterAutospacing="0"/>
                    <w:ind w:left="0" w:right="0"/>
                    <w:jc w:val="center"/>
                    <w:rPr>
                      <w:rFonts w:hint="default"/>
                      <w:b/>
                      <w:bCs/>
                      <w:szCs w:val="21"/>
                      <w:highlight w:val="none"/>
                    </w:rPr>
                  </w:pPr>
                  <w:r>
                    <w:rPr>
                      <w:rFonts w:hint="default"/>
                      <w:b/>
                      <w:bCs/>
                      <w:szCs w:val="21"/>
                      <w:highlight w:val="none"/>
                    </w:rPr>
                    <w:t>名称</w:t>
                  </w:r>
                </w:p>
              </w:tc>
              <w:tc>
                <w:tcPr>
                  <w:tcW w:w="2011" w:type="dxa"/>
                  <w:noWrap w:val="0"/>
                  <w:vAlign w:val="center"/>
                </w:tcPr>
                <w:p w14:paraId="7FFE95E6">
                  <w:pPr>
                    <w:keepNext w:val="0"/>
                    <w:keepLines w:val="0"/>
                    <w:suppressLineNumbers w:val="0"/>
                    <w:spacing w:before="0" w:beforeAutospacing="0" w:after="0" w:afterAutospacing="0"/>
                    <w:ind w:left="0" w:right="0"/>
                    <w:jc w:val="center"/>
                    <w:rPr>
                      <w:rFonts w:hint="default"/>
                      <w:b/>
                      <w:bCs/>
                      <w:szCs w:val="21"/>
                      <w:highlight w:val="none"/>
                    </w:rPr>
                  </w:pPr>
                  <w:r>
                    <w:rPr>
                      <w:rFonts w:hint="default"/>
                      <w:b/>
                      <w:bCs/>
                      <w:szCs w:val="21"/>
                      <w:highlight w:val="none"/>
                    </w:rPr>
                    <w:t>年产量（t）</w:t>
                  </w:r>
                </w:p>
              </w:tc>
            </w:tr>
            <w:tr w14:paraId="67A2E9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20" w:hRule="atLeast"/>
                <w:jc w:val="center"/>
              </w:trPr>
              <w:tc>
                <w:tcPr>
                  <w:tcW w:w="803" w:type="dxa"/>
                  <w:noWrap w:val="0"/>
                  <w:vAlign w:val="center"/>
                </w:tcPr>
                <w:p w14:paraId="03483669">
                  <w:pPr>
                    <w:keepNext w:val="0"/>
                    <w:keepLines w:val="0"/>
                    <w:suppressLineNumbers w:val="0"/>
                    <w:spacing w:before="0" w:beforeAutospacing="0" w:after="0" w:afterAutospacing="0"/>
                    <w:ind w:left="0" w:right="0"/>
                    <w:jc w:val="center"/>
                    <w:rPr>
                      <w:rFonts w:hint="default"/>
                      <w:szCs w:val="21"/>
                      <w:highlight w:val="none"/>
                    </w:rPr>
                  </w:pPr>
                  <w:r>
                    <w:rPr>
                      <w:rFonts w:hint="default"/>
                      <w:szCs w:val="21"/>
                      <w:highlight w:val="none"/>
                    </w:rPr>
                    <w:t>1</w:t>
                  </w:r>
                </w:p>
              </w:tc>
              <w:tc>
                <w:tcPr>
                  <w:tcW w:w="1262" w:type="dxa"/>
                  <w:noWrap w:val="0"/>
                  <w:vAlign w:val="center"/>
                </w:tcPr>
                <w:p w14:paraId="2DCB3AB6">
                  <w:pPr>
                    <w:keepNext w:val="0"/>
                    <w:keepLines w:val="0"/>
                    <w:suppressLineNumbers w:val="0"/>
                    <w:spacing w:before="0" w:beforeAutospacing="0" w:after="0" w:afterAutospacing="0"/>
                    <w:ind w:left="0" w:right="0"/>
                    <w:jc w:val="center"/>
                    <w:rPr>
                      <w:rFonts w:hint="eastAsia" w:eastAsia="宋体"/>
                      <w:szCs w:val="21"/>
                      <w:highlight w:val="none"/>
                      <w:lang w:val="en-US" w:eastAsia="zh-CN"/>
                    </w:rPr>
                  </w:pPr>
                  <w:r>
                    <w:rPr>
                      <w:rFonts w:hint="eastAsia"/>
                      <w:szCs w:val="21"/>
                      <w:highlight w:val="none"/>
                      <w:lang w:val="en-US" w:eastAsia="zh-CN"/>
                    </w:rPr>
                    <w:t>轮毂</w:t>
                  </w:r>
                </w:p>
              </w:tc>
              <w:tc>
                <w:tcPr>
                  <w:tcW w:w="1554" w:type="dxa"/>
                  <w:noWrap w:val="0"/>
                  <w:vAlign w:val="center"/>
                </w:tcPr>
                <w:p w14:paraId="0169DBD8">
                  <w:pPr>
                    <w:keepNext w:val="0"/>
                    <w:keepLines w:val="0"/>
                    <w:suppressLineNumbers w:val="0"/>
                    <w:spacing w:before="0" w:beforeAutospacing="0" w:after="0" w:afterAutospacing="0"/>
                    <w:ind w:left="0" w:right="0"/>
                    <w:jc w:val="center"/>
                    <w:rPr>
                      <w:rFonts w:hint="default" w:eastAsia="宋体"/>
                      <w:szCs w:val="21"/>
                      <w:highlight w:val="none"/>
                      <w:lang w:val="en-US" w:eastAsia="zh-CN"/>
                    </w:rPr>
                  </w:pPr>
                  <w:r>
                    <w:rPr>
                      <w:rFonts w:hint="eastAsia"/>
                      <w:szCs w:val="21"/>
                      <w:highlight w:val="none"/>
                      <w:lang w:val="en-US" w:eastAsia="zh-CN"/>
                    </w:rPr>
                    <w:t>5250</w:t>
                  </w:r>
                </w:p>
              </w:tc>
              <w:tc>
                <w:tcPr>
                  <w:tcW w:w="2668" w:type="dxa"/>
                  <w:noWrap w:val="0"/>
                  <w:vAlign w:val="center"/>
                </w:tcPr>
                <w:p w14:paraId="79638A9A">
                  <w:pPr>
                    <w:keepNext w:val="0"/>
                    <w:keepLines w:val="0"/>
                    <w:suppressLineNumbers w:val="0"/>
                    <w:spacing w:before="0" w:beforeAutospacing="0" w:after="0" w:afterAutospacing="0"/>
                    <w:ind w:left="0" w:right="0"/>
                    <w:jc w:val="center"/>
                    <w:rPr>
                      <w:rFonts w:hint="eastAsia" w:eastAsia="宋体"/>
                      <w:color w:val="auto"/>
                      <w:szCs w:val="21"/>
                      <w:highlight w:val="none"/>
                      <w:lang w:eastAsia="zh-CN"/>
                    </w:rPr>
                  </w:pPr>
                  <w:r>
                    <w:rPr>
                      <w:rFonts w:hint="eastAsia"/>
                      <w:color w:val="auto"/>
                      <w:szCs w:val="21"/>
                      <w:highlight w:val="none"/>
                      <w:lang w:val="en-US" w:eastAsia="zh-CN"/>
                    </w:rPr>
                    <w:t>轮毂</w:t>
                  </w:r>
                </w:p>
              </w:tc>
              <w:tc>
                <w:tcPr>
                  <w:tcW w:w="2011" w:type="dxa"/>
                  <w:noWrap w:val="0"/>
                  <w:vAlign w:val="center"/>
                </w:tcPr>
                <w:p w14:paraId="3560A27D">
                  <w:pPr>
                    <w:keepNext w:val="0"/>
                    <w:keepLines w:val="0"/>
                    <w:suppressLineNumbers w:val="0"/>
                    <w:spacing w:before="0" w:beforeAutospacing="0" w:after="0" w:afterAutospacing="0"/>
                    <w:ind w:left="0" w:right="0"/>
                    <w:jc w:val="center"/>
                    <w:rPr>
                      <w:rFonts w:hint="default" w:eastAsia="宋体"/>
                      <w:color w:val="auto"/>
                      <w:highlight w:val="none"/>
                      <w:lang w:val="en-US" w:eastAsia="zh-CN"/>
                    </w:rPr>
                  </w:pPr>
                  <w:r>
                    <w:rPr>
                      <w:rFonts w:hint="eastAsia"/>
                      <w:color w:val="auto"/>
                      <w:highlight w:val="none"/>
                      <w:lang w:val="en-US" w:eastAsia="zh-CN"/>
                    </w:rPr>
                    <w:t>5224</w:t>
                  </w:r>
                </w:p>
              </w:tc>
            </w:tr>
            <w:tr w14:paraId="42A1A2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20" w:hRule="atLeast"/>
                <w:jc w:val="center"/>
              </w:trPr>
              <w:tc>
                <w:tcPr>
                  <w:tcW w:w="803" w:type="dxa"/>
                  <w:noWrap w:val="0"/>
                  <w:vAlign w:val="center"/>
                </w:tcPr>
                <w:p w14:paraId="25F369EF">
                  <w:pPr>
                    <w:keepNext w:val="0"/>
                    <w:keepLines w:val="0"/>
                    <w:suppressLineNumbers w:val="0"/>
                    <w:spacing w:before="0" w:beforeAutospacing="0" w:after="0" w:afterAutospacing="0"/>
                    <w:ind w:left="0" w:right="0"/>
                    <w:jc w:val="center"/>
                    <w:rPr>
                      <w:rFonts w:hint="default"/>
                      <w:szCs w:val="21"/>
                      <w:highlight w:val="none"/>
                    </w:rPr>
                  </w:pPr>
                  <w:r>
                    <w:rPr>
                      <w:rFonts w:hint="default"/>
                      <w:szCs w:val="21"/>
                      <w:highlight w:val="none"/>
                    </w:rPr>
                    <w:t>2</w:t>
                  </w:r>
                </w:p>
              </w:tc>
              <w:tc>
                <w:tcPr>
                  <w:tcW w:w="1262" w:type="dxa"/>
                  <w:noWrap w:val="0"/>
                  <w:vAlign w:val="center"/>
                </w:tcPr>
                <w:p w14:paraId="6917C4B0">
                  <w:pPr>
                    <w:keepNext w:val="0"/>
                    <w:keepLines w:val="0"/>
                    <w:suppressLineNumbers w:val="0"/>
                    <w:spacing w:before="0" w:beforeAutospacing="0" w:after="0" w:afterAutospacing="0"/>
                    <w:ind w:left="0" w:right="0"/>
                    <w:jc w:val="center"/>
                    <w:rPr>
                      <w:rFonts w:hint="default"/>
                      <w:szCs w:val="21"/>
                      <w:highlight w:val="none"/>
                    </w:rPr>
                  </w:pPr>
                </w:p>
              </w:tc>
              <w:tc>
                <w:tcPr>
                  <w:tcW w:w="1554" w:type="dxa"/>
                  <w:noWrap w:val="0"/>
                  <w:vAlign w:val="center"/>
                </w:tcPr>
                <w:p w14:paraId="6DBD28F7">
                  <w:pPr>
                    <w:keepNext w:val="0"/>
                    <w:keepLines w:val="0"/>
                    <w:suppressLineNumbers w:val="0"/>
                    <w:spacing w:before="0" w:beforeAutospacing="0" w:after="0" w:afterAutospacing="0"/>
                    <w:ind w:left="0" w:right="0"/>
                    <w:jc w:val="center"/>
                    <w:rPr>
                      <w:rFonts w:hint="default"/>
                      <w:szCs w:val="21"/>
                      <w:highlight w:val="none"/>
                    </w:rPr>
                  </w:pPr>
                </w:p>
              </w:tc>
              <w:tc>
                <w:tcPr>
                  <w:tcW w:w="2668" w:type="dxa"/>
                  <w:noWrap w:val="0"/>
                  <w:vAlign w:val="center"/>
                </w:tcPr>
                <w:p w14:paraId="3D6CE6AB">
                  <w:pPr>
                    <w:keepNext w:val="0"/>
                    <w:keepLines w:val="0"/>
                    <w:suppressLineNumbers w:val="0"/>
                    <w:spacing w:before="0" w:beforeAutospacing="0" w:after="0" w:afterAutospacing="0"/>
                    <w:ind w:left="0" w:right="0"/>
                    <w:jc w:val="center"/>
                    <w:rPr>
                      <w:rFonts w:hint="eastAsia" w:eastAsia="宋体"/>
                      <w:szCs w:val="21"/>
                      <w:highlight w:val="none"/>
                      <w:lang w:eastAsia="zh-CN"/>
                    </w:rPr>
                  </w:pPr>
                  <w:r>
                    <w:rPr>
                      <w:rFonts w:hint="eastAsia"/>
                      <w:szCs w:val="21"/>
                      <w:highlight w:val="none"/>
                      <w:lang w:val="en-US" w:eastAsia="zh-CN"/>
                    </w:rPr>
                    <w:t>颗粒物</w:t>
                  </w:r>
                </w:p>
              </w:tc>
              <w:tc>
                <w:tcPr>
                  <w:tcW w:w="2011" w:type="dxa"/>
                  <w:noWrap w:val="0"/>
                  <w:vAlign w:val="center"/>
                </w:tcPr>
                <w:p w14:paraId="0CDE4EB9">
                  <w:pPr>
                    <w:keepNext w:val="0"/>
                    <w:keepLines w:val="0"/>
                    <w:suppressLineNumbers w:val="0"/>
                    <w:spacing w:before="0" w:beforeAutospacing="0" w:after="0" w:afterAutospacing="0"/>
                    <w:ind w:left="0" w:right="0"/>
                    <w:jc w:val="center"/>
                    <w:rPr>
                      <w:rFonts w:hint="default" w:eastAsia="宋体"/>
                      <w:highlight w:val="none"/>
                      <w:lang w:val="en-US" w:eastAsia="zh-CN"/>
                    </w:rPr>
                  </w:pPr>
                  <w:r>
                    <w:rPr>
                      <w:rFonts w:hint="eastAsia"/>
                      <w:highlight w:val="none"/>
                      <w:lang w:val="en-US" w:eastAsia="zh-CN"/>
                    </w:rPr>
                    <w:t>0.575</w:t>
                  </w:r>
                </w:p>
              </w:tc>
            </w:tr>
            <w:tr w14:paraId="73B68E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20" w:hRule="atLeast"/>
                <w:jc w:val="center"/>
              </w:trPr>
              <w:tc>
                <w:tcPr>
                  <w:tcW w:w="803" w:type="dxa"/>
                  <w:noWrap w:val="0"/>
                  <w:vAlign w:val="center"/>
                </w:tcPr>
                <w:p w14:paraId="7D69B249">
                  <w:pPr>
                    <w:keepNext w:val="0"/>
                    <w:keepLines w:val="0"/>
                    <w:suppressLineNumbers w:val="0"/>
                    <w:spacing w:before="0" w:beforeAutospacing="0" w:after="0" w:afterAutospacing="0"/>
                    <w:ind w:left="0" w:right="0"/>
                    <w:jc w:val="center"/>
                    <w:rPr>
                      <w:rFonts w:hint="default"/>
                      <w:szCs w:val="21"/>
                      <w:highlight w:val="none"/>
                    </w:rPr>
                  </w:pPr>
                  <w:r>
                    <w:rPr>
                      <w:rFonts w:hint="default"/>
                      <w:szCs w:val="21"/>
                      <w:highlight w:val="none"/>
                    </w:rPr>
                    <w:t>3</w:t>
                  </w:r>
                </w:p>
              </w:tc>
              <w:tc>
                <w:tcPr>
                  <w:tcW w:w="1262" w:type="dxa"/>
                  <w:noWrap w:val="0"/>
                  <w:vAlign w:val="center"/>
                </w:tcPr>
                <w:p w14:paraId="6A8B8BD1">
                  <w:pPr>
                    <w:keepNext w:val="0"/>
                    <w:keepLines w:val="0"/>
                    <w:suppressLineNumbers w:val="0"/>
                    <w:spacing w:before="0" w:beforeAutospacing="0" w:after="0" w:afterAutospacing="0"/>
                    <w:ind w:left="0" w:right="0"/>
                    <w:jc w:val="center"/>
                    <w:rPr>
                      <w:rFonts w:hint="default"/>
                      <w:szCs w:val="21"/>
                      <w:highlight w:val="none"/>
                    </w:rPr>
                  </w:pPr>
                </w:p>
              </w:tc>
              <w:tc>
                <w:tcPr>
                  <w:tcW w:w="1554" w:type="dxa"/>
                  <w:noWrap w:val="0"/>
                  <w:vAlign w:val="center"/>
                </w:tcPr>
                <w:p w14:paraId="4BC53ED9">
                  <w:pPr>
                    <w:keepNext w:val="0"/>
                    <w:keepLines w:val="0"/>
                    <w:suppressLineNumbers w:val="0"/>
                    <w:spacing w:before="0" w:beforeAutospacing="0" w:after="0" w:afterAutospacing="0"/>
                    <w:ind w:left="0" w:right="0"/>
                    <w:jc w:val="center"/>
                    <w:rPr>
                      <w:rFonts w:hint="default"/>
                      <w:szCs w:val="21"/>
                      <w:highlight w:val="none"/>
                    </w:rPr>
                  </w:pPr>
                </w:p>
              </w:tc>
              <w:tc>
                <w:tcPr>
                  <w:tcW w:w="2668" w:type="dxa"/>
                  <w:noWrap w:val="0"/>
                  <w:vAlign w:val="center"/>
                </w:tcPr>
                <w:p w14:paraId="58C3C5A0">
                  <w:pPr>
                    <w:keepNext w:val="0"/>
                    <w:keepLines w:val="0"/>
                    <w:suppressLineNumbers w:val="0"/>
                    <w:spacing w:before="0" w:beforeAutospacing="0" w:after="0" w:afterAutospacing="0"/>
                    <w:ind w:left="0" w:right="0"/>
                    <w:jc w:val="center"/>
                    <w:rPr>
                      <w:rFonts w:hint="eastAsia" w:eastAsia="宋体"/>
                      <w:szCs w:val="21"/>
                      <w:highlight w:val="none"/>
                      <w:lang w:val="en-US" w:eastAsia="zh-CN"/>
                    </w:rPr>
                  </w:pPr>
                  <w:r>
                    <w:rPr>
                      <w:rFonts w:hint="eastAsia"/>
                      <w:szCs w:val="21"/>
                      <w:highlight w:val="none"/>
                      <w:lang w:val="en-US" w:eastAsia="zh-CN"/>
                    </w:rPr>
                    <w:t>除尘灰</w:t>
                  </w:r>
                </w:p>
              </w:tc>
              <w:tc>
                <w:tcPr>
                  <w:tcW w:w="2011" w:type="dxa"/>
                  <w:noWrap w:val="0"/>
                  <w:vAlign w:val="center"/>
                </w:tcPr>
                <w:p w14:paraId="7BF2B0FF">
                  <w:pPr>
                    <w:keepNext w:val="0"/>
                    <w:keepLines w:val="0"/>
                    <w:suppressLineNumbers w:val="0"/>
                    <w:spacing w:before="0" w:beforeAutospacing="0" w:after="0" w:afterAutospacing="0"/>
                    <w:ind w:left="0" w:right="0"/>
                    <w:jc w:val="center"/>
                    <w:rPr>
                      <w:rFonts w:hint="default" w:eastAsia="宋体"/>
                      <w:highlight w:val="none"/>
                      <w:lang w:val="en-US" w:eastAsia="zh-CN"/>
                    </w:rPr>
                  </w:pPr>
                  <w:r>
                    <w:rPr>
                      <w:rFonts w:hint="eastAsia"/>
                      <w:highlight w:val="none"/>
                      <w:lang w:val="en-US" w:eastAsia="zh-CN"/>
                    </w:rPr>
                    <w:t>10.925</w:t>
                  </w:r>
                </w:p>
              </w:tc>
            </w:tr>
            <w:tr w14:paraId="574A66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20" w:hRule="atLeast"/>
                <w:jc w:val="center"/>
              </w:trPr>
              <w:tc>
                <w:tcPr>
                  <w:tcW w:w="803" w:type="dxa"/>
                  <w:noWrap w:val="0"/>
                  <w:vAlign w:val="center"/>
                </w:tcPr>
                <w:p w14:paraId="18B0C69C">
                  <w:pPr>
                    <w:keepNext w:val="0"/>
                    <w:keepLines w:val="0"/>
                    <w:suppressLineNumbers w:val="0"/>
                    <w:spacing w:before="0" w:beforeAutospacing="0" w:after="0" w:afterAutospacing="0"/>
                    <w:ind w:left="0" w:right="0"/>
                    <w:jc w:val="center"/>
                    <w:rPr>
                      <w:rFonts w:hint="eastAsia" w:eastAsia="宋体"/>
                      <w:szCs w:val="21"/>
                      <w:highlight w:val="none"/>
                      <w:lang w:val="en-US" w:eastAsia="zh-CN"/>
                    </w:rPr>
                  </w:pPr>
                  <w:r>
                    <w:rPr>
                      <w:rFonts w:hint="eastAsia"/>
                      <w:szCs w:val="21"/>
                      <w:highlight w:val="none"/>
                      <w:lang w:val="en-US" w:eastAsia="zh-CN"/>
                    </w:rPr>
                    <w:t>4</w:t>
                  </w:r>
                </w:p>
              </w:tc>
              <w:tc>
                <w:tcPr>
                  <w:tcW w:w="1262" w:type="dxa"/>
                  <w:noWrap w:val="0"/>
                  <w:vAlign w:val="center"/>
                </w:tcPr>
                <w:p w14:paraId="176514AA">
                  <w:pPr>
                    <w:keepNext w:val="0"/>
                    <w:keepLines w:val="0"/>
                    <w:suppressLineNumbers w:val="0"/>
                    <w:spacing w:before="0" w:beforeAutospacing="0" w:after="0" w:afterAutospacing="0"/>
                    <w:ind w:left="0" w:right="0"/>
                    <w:jc w:val="center"/>
                    <w:rPr>
                      <w:rFonts w:hint="default"/>
                      <w:szCs w:val="21"/>
                      <w:highlight w:val="none"/>
                    </w:rPr>
                  </w:pPr>
                </w:p>
              </w:tc>
              <w:tc>
                <w:tcPr>
                  <w:tcW w:w="1554" w:type="dxa"/>
                  <w:noWrap w:val="0"/>
                  <w:vAlign w:val="center"/>
                </w:tcPr>
                <w:p w14:paraId="15A69919">
                  <w:pPr>
                    <w:keepNext w:val="0"/>
                    <w:keepLines w:val="0"/>
                    <w:suppressLineNumbers w:val="0"/>
                    <w:spacing w:before="0" w:beforeAutospacing="0" w:after="0" w:afterAutospacing="0"/>
                    <w:ind w:left="0" w:right="0"/>
                    <w:jc w:val="center"/>
                    <w:rPr>
                      <w:rFonts w:hint="default"/>
                      <w:szCs w:val="21"/>
                      <w:highlight w:val="none"/>
                    </w:rPr>
                  </w:pPr>
                </w:p>
              </w:tc>
              <w:tc>
                <w:tcPr>
                  <w:tcW w:w="2668" w:type="dxa"/>
                  <w:noWrap w:val="0"/>
                  <w:vAlign w:val="center"/>
                </w:tcPr>
                <w:p w14:paraId="2CD37A11">
                  <w:pPr>
                    <w:keepNext w:val="0"/>
                    <w:keepLines w:val="0"/>
                    <w:suppressLineNumbers w:val="0"/>
                    <w:spacing w:before="0" w:beforeAutospacing="0" w:after="0" w:afterAutospacing="0"/>
                    <w:ind w:left="0" w:right="0"/>
                    <w:jc w:val="center"/>
                    <w:rPr>
                      <w:rFonts w:hint="eastAsia"/>
                      <w:szCs w:val="21"/>
                      <w:highlight w:val="none"/>
                    </w:rPr>
                  </w:pPr>
                  <w:r>
                    <w:rPr>
                      <w:rFonts w:hint="eastAsia"/>
                      <w:szCs w:val="21"/>
                      <w:highlight w:val="none"/>
                    </w:rPr>
                    <w:t>沉泥</w:t>
                  </w:r>
                </w:p>
              </w:tc>
              <w:tc>
                <w:tcPr>
                  <w:tcW w:w="2011" w:type="dxa"/>
                  <w:noWrap w:val="0"/>
                  <w:vAlign w:val="center"/>
                </w:tcPr>
                <w:p w14:paraId="25CDB5F0">
                  <w:pPr>
                    <w:keepNext w:val="0"/>
                    <w:keepLines w:val="0"/>
                    <w:suppressLineNumbers w:val="0"/>
                    <w:spacing w:before="0" w:beforeAutospacing="0" w:after="0" w:afterAutospacing="0"/>
                    <w:ind w:left="0" w:right="0"/>
                    <w:jc w:val="center"/>
                    <w:rPr>
                      <w:rFonts w:hint="default" w:eastAsia="宋体"/>
                      <w:szCs w:val="21"/>
                      <w:highlight w:val="none"/>
                      <w:lang w:val="en-US" w:eastAsia="zh-CN"/>
                    </w:rPr>
                  </w:pPr>
                  <w:r>
                    <w:rPr>
                      <w:rFonts w:hint="eastAsia"/>
                      <w:szCs w:val="21"/>
                      <w:highlight w:val="none"/>
                      <w:lang w:val="en-US" w:eastAsia="zh-CN"/>
                    </w:rPr>
                    <w:t>14.5</w:t>
                  </w:r>
                </w:p>
              </w:tc>
            </w:tr>
            <w:tr w14:paraId="494C99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20" w:hRule="atLeast"/>
                <w:jc w:val="center"/>
              </w:trPr>
              <w:tc>
                <w:tcPr>
                  <w:tcW w:w="803" w:type="dxa"/>
                  <w:noWrap w:val="0"/>
                  <w:vAlign w:val="center"/>
                </w:tcPr>
                <w:p w14:paraId="2F6560BC">
                  <w:pPr>
                    <w:keepNext w:val="0"/>
                    <w:keepLines w:val="0"/>
                    <w:suppressLineNumbers w:val="0"/>
                    <w:spacing w:before="0" w:beforeAutospacing="0" w:after="0" w:afterAutospacing="0"/>
                    <w:ind w:left="0" w:right="0"/>
                    <w:jc w:val="center"/>
                    <w:rPr>
                      <w:rFonts w:hint="eastAsia" w:eastAsia="宋体"/>
                      <w:szCs w:val="21"/>
                      <w:highlight w:val="none"/>
                      <w:lang w:val="en-US" w:eastAsia="zh-CN"/>
                    </w:rPr>
                  </w:pPr>
                  <w:r>
                    <w:rPr>
                      <w:rFonts w:hint="eastAsia"/>
                      <w:szCs w:val="21"/>
                      <w:highlight w:val="none"/>
                      <w:lang w:val="en-US" w:eastAsia="zh-CN"/>
                    </w:rPr>
                    <w:t>5</w:t>
                  </w:r>
                </w:p>
              </w:tc>
              <w:tc>
                <w:tcPr>
                  <w:tcW w:w="1262" w:type="dxa"/>
                  <w:noWrap w:val="0"/>
                  <w:vAlign w:val="center"/>
                </w:tcPr>
                <w:p w14:paraId="6DD620AC">
                  <w:pPr>
                    <w:keepNext w:val="0"/>
                    <w:keepLines w:val="0"/>
                    <w:suppressLineNumbers w:val="0"/>
                    <w:spacing w:before="0" w:beforeAutospacing="0" w:after="0" w:afterAutospacing="0"/>
                    <w:ind w:left="0" w:right="0"/>
                    <w:jc w:val="center"/>
                    <w:rPr>
                      <w:rFonts w:hint="default"/>
                      <w:szCs w:val="21"/>
                      <w:highlight w:val="none"/>
                    </w:rPr>
                  </w:pPr>
                  <w:r>
                    <w:rPr>
                      <w:rFonts w:hint="default"/>
                      <w:szCs w:val="21"/>
                      <w:highlight w:val="none"/>
                    </w:rPr>
                    <w:t>合计</w:t>
                  </w:r>
                </w:p>
              </w:tc>
              <w:tc>
                <w:tcPr>
                  <w:tcW w:w="1554" w:type="dxa"/>
                  <w:noWrap w:val="0"/>
                  <w:vAlign w:val="center"/>
                </w:tcPr>
                <w:p w14:paraId="3DA4D3BA">
                  <w:pPr>
                    <w:keepNext w:val="0"/>
                    <w:keepLines w:val="0"/>
                    <w:suppressLineNumbers w:val="0"/>
                    <w:spacing w:before="0" w:beforeAutospacing="0" w:after="0" w:afterAutospacing="0"/>
                    <w:ind w:left="0" w:right="0"/>
                    <w:jc w:val="center"/>
                    <w:rPr>
                      <w:rFonts w:hint="default" w:eastAsia="宋体"/>
                      <w:szCs w:val="21"/>
                      <w:highlight w:val="none"/>
                      <w:lang w:val="en-US" w:eastAsia="zh-CN"/>
                    </w:rPr>
                  </w:pPr>
                  <w:r>
                    <w:rPr>
                      <w:rFonts w:hint="eastAsia"/>
                      <w:szCs w:val="21"/>
                      <w:highlight w:val="none"/>
                      <w:lang w:val="en-US" w:eastAsia="zh-CN"/>
                    </w:rPr>
                    <w:t>5250</w:t>
                  </w:r>
                </w:p>
              </w:tc>
              <w:tc>
                <w:tcPr>
                  <w:tcW w:w="2668" w:type="dxa"/>
                  <w:noWrap w:val="0"/>
                  <w:vAlign w:val="center"/>
                </w:tcPr>
                <w:p w14:paraId="4797CE5D">
                  <w:pPr>
                    <w:keepNext w:val="0"/>
                    <w:keepLines w:val="0"/>
                    <w:suppressLineNumbers w:val="0"/>
                    <w:spacing w:before="0" w:beforeAutospacing="0" w:after="0" w:afterAutospacing="0"/>
                    <w:ind w:left="0" w:right="0"/>
                    <w:jc w:val="center"/>
                    <w:rPr>
                      <w:rFonts w:hint="default"/>
                      <w:szCs w:val="21"/>
                      <w:highlight w:val="none"/>
                    </w:rPr>
                  </w:pPr>
                  <w:r>
                    <w:rPr>
                      <w:rFonts w:hint="default"/>
                      <w:szCs w:val="21"/>
                      <w:highlight w:val="none"/>
                    </w:rPr>
                    <w:t>合计</w:t>
                  </w:r>
                </w:p>
              </w:tc>
              <w:tc>
                <w:tcPr>
                  <w:tcW w:w="2011" w:type="dxa"/>
                  <w:noWrap w:val="0"/>
                  <w:vAlign w:val="center"/>
                </w:tcPr>
                <w:p w14:paraId="07AFFD7F">
                  <w:pPr>
                    <w:keepNext w:val="0"/>
                    <w:keepLines w:val="0"/>
                    <w:suppressLineNumbers w:val="0"/>
                    <w:spacing w:before="0" w:beforeAutospacing="0" w:after="0" w:afterAutospacing="0"/>
                    <w:ind w:left="0" w:right="0"/>
                    <w:jc w:val="center"/>
                    <w:rPr>
                      <w:rFonts w:hint="default"/>
                      <w:szCs w:val="21"/>
                      <w:highlight w:val="none"/>
                    </w:rPr>
                  </w:pPr>
                  <w:r>
                    <w:rPr>
                      <w:rFonts w:hint="default"/>
                      <w:szCs w:val="21"/>
                      <w:highlight w:val="none"/>
                    </w:rPr>
                    <w:fldChar w:fldCharType="begin"/>
                  </w:r>
                  <w:r>
                    <w:rPr>
                      <w:rFonts w:hint="default"/>
                      <w:szCs w:val="21"/>
                      <w:highlight w:val="none"/>
                    </w:rPr>
                    <w:instrText xml:space="preserve"> = sum(E3:E6) \* MERGEFORMAT </w:instrText>
                  </w:r>
                  <w:r>
                    <w:rPr>
                      <w:rFonts w:hint="default"/>
                      <w:szCs w:val="21"/>
                      <w:highlight w:val="none"/>
                    </w:rPr>
                    <w:fldChar w:fldCharType="separate"/>
                  </w:r>
                  <w:r>
                    <w:rPr>
                      <w:rFonts w:hint="default"/>
                      <w:szCs w:val="21"/>
                      <w:highlight w:val="none"/>
                    </w:rPr>
                    <w:t>5250</w:t>
                  </w:r>
                  <w:r>
                    <w:rPr>
                      <w:rFonts w:hint="default"/>
                      <w:szCs w:val="21"/>
                      <w:highlight w:val="none"/>
                    </w:rPr>
                    <w:fldChar w:fldCharType="end"/>
                  </w:r>
                </w:p>
              </w:tc>
            </w:tr>
          </w:tbl>
          <w:p w14:paraId="01F98F3A">
            <w:pPr>
              <w:keepNext w:val="0"/>
              <w:keepLines w:val="0"/>
              <w:suppressLineNumbers w:val="0"/>
              <w:spacing w:before="0" w:beforeAutospacing="0" w:after="0" w:afterAutospacing="0" w:line="360" w:lineRule="auto"/>
              <w:ind w:left="0" w:right="0"/>
              <w:jc w:val="left"/>
              <w:rPr>
                <w:rFonts w:hint="default"/>
                <w:b/>
                <w:color w:val="auto"/>
                <w:sz w:val="24"/>
                <w:highlight w:val="none"/>
              </w:rPr>
            </w:pPr>
            <w:r>
              <w:rPr>
                <w:rFonts w:hint="eastAsia"/>
                <w:b/>
                <w:color w:val="auto"/>
                <w:sz w:val="24"/>
                <w:highlight w:val="none"/>
              </w:rPr>
              <w:t>2.5</w:t>
            </w:r>
            <w:r>
              <w:rPr>
                <w:rFonts w:hint="default"/>
                <w:b/>
                <w:color w:val="auto"/>
                <w:sz w:val="24"/>
                <w:highlight w:val="none"/>
              </w:rPr>
              <w:t>、产品</w:t>
            </w:r>
            <w:r>
              <w:rPr>
                <w:rFonts w:hint="eastAsia"/>
                <w:b/>
                <w:color w:val="auto"/>
                <w:sz w:val="24"/>
                <w:highlight w:val="none"/>
              </w:rPr>
              <w:t>方案</w:t>
            </w:r>
          </w:p>
          <w:p w14:paraId="5DF85D3D">
            <w:pPr>
              <w:pStyle w:val="63"/>
              <w:keepNext w:val="0"/>
              <w:keepLines w:val="0"/>
              <w:suppressLineNumbers w:val="0"/>
              <w:spacing w:before="0" w:beforeAutospacing="0" w:after="0" w:afterAutospacing="0"/>
              <w:ind w:left="0" w:right="0"/>
              <w:jc w:val="left"/>
              <w:rPr>
                <w:rFonts w:hint="default" w:ascii="Times New Roman" w:hAnsi="Times New Roman" w:eastAsia="宋体"/>
                <w:color w:val="auto"/>
                <w:sz w:val="24"/>
                <w:szCs w:val="24"/>
                <w:highlight w:val="none"/>
              </w:rPr>
            </w:pPr>
            <w:r>
              <w:rPr>
                <w:rFonts w:hint="default" w:ascii="Times New Roman" w:hAnsi="Times New Roman" w:eastAsia="宋体"/>
                <w:color w:val="auto"/>
                <w:sz w:val="24"/>
                <w:szCs w:val="24"/>
                <w:highlight w:val="none"/>
                <w:shd w:val="clear" w:color="auto" w:fill="FFFFFF"/>
              </w:rPr>
              <w:t>本项目建设完成后年</w:t>
            </w:r>
            <w:r>
              <w:rPr>
                <w:rFonts w:hint="eastAsia" w:ascii="Times New Roman" w:hAnsi="Times New Roman" w:eastAsia="宋体"/>
                <w:color w:val="auto"/>
                <w:sz w:val="24"/>
                <w:szCs w:val="24"/>
                <w:highlight w:val="none"/>
                <w:lang w:eastAsia="zh-CN"/>
              </w:rPr>
              <w:t>处理轮毂</w:t>
            </w:r>
            <w:r>
              <w:rPr>
                <w:rFonts w:hint="eastAsia" w:ascii="Times New Roman" w:hAnsi="Times New Roman" w:eastAsia="宋体"/>
                <w:color w:val="auto"/>
                <w:sz w:val="24"/>
                <w:szCs w:val="24"/>
                <w:highlight w:val="none"/>
                <w:lang w:val="en-US" w:eastAsia="zh-CN"/>
              </w:rPr>
              <w:t>30万件</w:t>
            </w:r>
            <w:r>
              <w:rPr>
                <w:rFonts w:hint="default" w:ascii="Times New Roman" w:hAnsi="Times New Roman" w:eastAsia="宋体"/>
                <w:color w:val="auto"/>
                <w:sz w:val="24"/>
                <w:szCs w:val="24"/>
                <w:highlight w:val="none"/>
              </w:rPr>
              <w:t>。</w:t>
            </w:r>
          </w:p>
          <w:p w14:paraId="456D47B5">
            <w:pPr>
              <w:pStyle w:val="58"/>
              <w:keepNext w:val="0"/>
              <w:keepLines w:val="0"/>
              <w:suppressLineNumbers w:val="0"/>
              <w:spacing w:before="0" w:beforeAutospacing="0" w:after="0" w:afterAutospacing="0" w:line="240" w:lineRule="auto"/>
              <w:ind w:left="0" w:right="0" w:firstLine="0" w:firstLineChars="0"/>
              <w:rPr>
                <w:rFonts w:hint="default"/>
                <w:snapToGrid w:val="0"/>
                <w:color w:val="auto"/>
                <w:highlight w:val="none"/>
              </w:rPr>
            </w:pPr>
            <w:r>
              <w:rPr>
                <w:rFonts w:hint="default"/>
                <w:snapToGrid w:val="0"/>
                <w:color w:val="auto"/>
                <w:highlight w:val="none"/>
              </w:rPr>
              <w:t>表2-</w:t>
            </w:r>
            <w:r>
              <w:rPr>
                <w:rFonts w:hint="eastAsia"/>
                <w:snapToGrid w:val="0"/>
                <w:color w:val="auto"/>
                <w:highlight w:val="none"/>
                <w:lang w:val="en-US" w:eastAsia="zh-CN"/>
              </w:rPr>
              <w:t>5</w:t>
            </w:r>
            <w:r>
              <w:rPr>
                <w:rFonts w:hint="default"/>
                <w:snapToGrid w:val="0"/>
                <w:color w:val="auto"/>
                <w:highlight w:val="none"/>
              </w:rPr>
              <w:t xml:space="preserve">  产品方案</w:t>
            </w:r>
          </w:p>
          <w:tbl>
            <w:tblPr>
              <w:tblStyle w:val="36"/>
              <w:tblW w:w="497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1393"/>
              <w:gridCol w:w="1425"/>
              <w:gridCol w:w="2143"/>
              <w:gridCol w:w="1374"/>
              <w:gridCol w:w="1374"/>
            </w:tblGrid>
            <w:tr w14:paraId="340F2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387" w:type="pct"/>
                  <w:vAlign w:val="center"/>
                </w:tcPr>
                <w:p w14:paraId="0C64D767">
                  <w:pPr>
                    <w:keepNext w:val="0"/>
                    <w:keepLines w:val="0"/>
                    <w:widowControl/>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序号</w:t>
                  </w:r>
                </w:p>
              </w:tc>
              <w:tc>
                <w:tcPr>
                  <w:tcW w:w="833" w:type="pct"/>
                  <w:vAlign w:val="center"/>
                </w:tcPr>
                <w:p w14:paraId="3A88F2C6">
                  <w:pPr>
                    <w:keepNext w:val="0"/>
                    <w:keepLines w:val="0"/>
                    <w:widowControl/>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名称</w:t>
                  </w:r>
                </w:p>
              </w:tc>
              <w:tc>
                <w:tcPr>
                  <w:tcW w:w="852" w:type="pct"/>
                  <w:vAlign w:val="center"/>
                </w:tcPr>
                <w:p w14:paraId="32D67577">
                  <w:pPr>
                    <w:keepNext w:val="0"/>
                    <w:keepLines w:val="0"/>
                    <w:widowControl/>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年产量</w:t>
                  </w:r>
                </w:p>
              </w:tc>
              <w:tc>
                <w:tcPr>
                  <w:tcW w:w="1282" w:type="pct"/>
                  <w:vAlign w:val="center"/>
                </w:tcPr>
                <w:p w14:paraId="68652068">
                  <w:pPr>
                    <w:keepNext w:val="0"/>
                    <w:keepLines w:val="0"/>
                    <w:widowControl/>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eastAsia"/>
                      <w:color w:val="auto"/>
                      <w:kern w:val="0"/>
                      <w:szCs w:val="21"/>
                      <w:highlight w:val="none"/>
                    </w:rPr>
                    <w:t>产品样式</w:t>
                  </w:r>
                </w:p>
              </w:tc>
              <w:tc>
                <w:tcPr>
                  <w:tcW w:w="821" w:type="pct"/>
                  <w:vAlign w:val="center"/>
                </w:tcPr>
                <w:p w14:paraId="09EE1E48">
                  <w:pPr>
                    <w:keepNext w:val="0"/>
                    <w:keepLines w:val="0"/>
                    <w:widowControl/>
                    <w:suppressLineNumbers w:val="0"/>
                    <w:adjustRightInd w:val="0"/>
                    <w:snapToGrid w:val="0"/>
                    <w:spacing w:before="0" w:beforeAutospacing="0" w:after="0" w:afterAutospacing="0"/>
                    <w:ind w:left="0" w:right="0"/>
                    <w:jc w:val="center"/>
                    <w:rPr>
                      <w:rFonts w:hint="eastAsia" w:eastAsia="宋体"/>
                      <w:color w:val="auto"/>
                      <w:kern w:val="0"/>
                      <w:szCs w:val="21"/>
                      <w:highlight w:val="none"/>
                      <w:lang w:val="en-US" w:eastAsia="zh-CN"/>
                    </w:rPr>
                  </w:pPr>
                  <w:r>
                    <w:rPr>
                      <w:rFonts w:hint="eastAsia"/>
                      <w:color w:val="auto"/>
                      <w:kern w:val="0"/>
                      <w:szCs w:val="21"/>
                      <w:highlight w:val="none"/>
                      <w:lang w:val="en-US" w:eastAsia="zh-CN"/>
                    </w:rPr>
                    <w:t>用途</w:t>
                  </w:r>
                </w:p>
              </w:tc>
              <w:tc>
                <w:tcPr>
                  <w:tcW w:w="821" w:type="pct"/>
                  <w:vAlign w:val="center"/>
                </w:tcPr>
                <w:p w14:paraId="77F88144">
                  <w:pPr>
                    <w:keepNext w:val="0"/>
                    <w:keepLines w:val="0"/>
                    <w:widowControl/>
                    <w:suppressLineNumbers w:val="0"/>
                    <w:adjustRightInd w:val="0"/>
                    <w:snapToGrid w:val="0"/>
                    <w:spacing w:before="0" w:beforeAutospacing="0" w:after="0" w:afterAutospacing="0"/>
                    <w:ind w:left="0" w:right="0"/>
                    <w:jc w:val="center"/>
                    <w:rPr>
                      <w:rFonts w:hint="default"/>
                      <w:color w:val="auto"/>
                      <w:kern w:val="0"/>
                      <w:szCs w:val="21"/>
                      <w:highlight w:val="none"/>
                      <w:lang w:val="en-US" w:eastAsia="zh-CN"/>
                    </w:rPr>
                  </w:pPr>
                  <w:r>
                    <w:rPr>
                      <w:rFonts w:hint="eastAsia"/>
                      <w:color w:val="auto"/>
                      <w:kern w:val="0"/>
                      <w:szCs w:val="21"/>
                      <w:highlight w:val="none"/>
                      <w:lang w:val="en-US" w:eastAsia="zh-CN"/>
                    </w:rPr>
                    <w:t>执行标准</w:t>
                  </w:r>
                </w:p>
              </w:tc>
            </w:tr>
            <w:tr w14:paraId="256DF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9" w:hRule="atLeast"/>
                <w:jc w:val="center"/>
              </w:trPr>
              <w:tc>
                <w:tcPr>
                  <w:tcW w:w="387" w:type="pct"/>
                  <w:vAlign w:val="center"/>
                </w:tcPr>
                <w:p w14:paraId="31B621DC">
                  <w:pPr>
                    <w:keepNext w:val="0"/>
                    <w:keepLines w:val="0"/>
                    <w:widowControl/>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1</w:t>
                  </w:r>
                </w:p>
              </w:tc>
              <w:tc>
                <w:tcPr>
                  <w:tcW w:w="833" w:type="pct"/>
                  <w:vAlign w:val="center"/>
                </w:tcPr>
                <w:p w14:paraId="75160E38">
                  <w:pPr>
                    <w:keepNext w:val="0"/>
                    <w:keepLines w:val="0"/>
                    <w:widowControl/>
                    <w:suppressLineNumbers w:val="0"/>
                    <w:adjustRightInd w:val="0"/>
                    <w:snapToGrid w:val="0"/>
                    <w:spacing w:before="0" w:beforeAutospacing="0" w:after="0" w:afterAutospacing="0"/>
                    <w:ind w:left="0" w:leftChars="0" w:right="0" w:rightChars="0"/>
                    <w:jc w:val="center"/>
                    <w:rPr>
                      <w:rFonts w:hint="default" w:ascii="宋体" w:hAnsi="宋体" w:eastAsia="宋体" w:cs="宋体"/>
                      <w:color w:val="1611ED"/>
                      <w:kern w:val="2"/>
                      <w:sz w:val="21"/>
                      <w:szCs w:val="21"/>
                      <w:highlight w:val="none"/>
                      <w:lang w:val="en-US" w:eastAsia="zh-CN" w:bidi="ar-SA"/>
                    </w:rPr>
                  </w:pPr>
                  <w:r>
                    <w:rPr>
                      <w:rFonts w:hint="eastAsia"/>
                      <w:color w:val="auto"/>
                      <w:szCs w:val="21"/>
                      <w:highlight w:val="none"/>
                      <w:lang w:eastAsia="zh-CN"/>
                    </w:rPr>
                    <w:t>轮毂</w:t>
                  </w:r>
                </w:p>
              </w:tc>
              <w:tc>
                <w:tcPr>
                  <w:tcW w:w="852" w:type="pct"/>
                  <w:vAlign w:val="center"/>
                </w:tcPr>
                <w:p w14:paraId="6A2C79B8">
                  <w:pPr>
                    <w:keepNext w:val="0"/>
                    <w:keepLines w:val="0"/>
                    <w:widowControl/>
                    <w:suppressLineNumbers w:val="0"/>
                    <w:adjustRightInd w:val="0"/>
                    <w:snapToGrid w:val="0"/>
                    <w:spacing w:before="0" w:beforeAutospacing="0" w:after="0" w:afterAutospacing="0"/>
                    <w:ind w:left="0" w:right="0"/>
                    <w:jc w:val="center"/>
                    <w:rPr>
                      <w:rFonts w:hint="default" w:eastAsia="宋体"/>
                      <w:color w:val="1611ED"/>
                      <w:kern w:val="0"/>
                      <w:sz w:val="21"/>
                      <w:szCs w:val="21"/>
                      <w:highlight w:val="none"/>
                      <w:lang w:val="en-US" w:eastAsia="zh-CN"/>
                    </w:rPr>
                  </w:pPr>
                  <w:r>
                    <w:rPr>
                      <w:rFonts w:hint="eastAsia"/>
                      <w:color w:val="auto"/>
                      <w:sz w:val="21"/>
                      <w:szCs w:val="21"/>
                      <w:highlight w:val="none"/>
                      <w:lang w:val="en-US" w:eastAsia="zh-CN"/>
                    </w:rPr>
                    <w:t>30万件</w:t>
                  </w:r>
                </w:p>
              </w:tc>
              <w:tc>
                <w:tcPr>
                  <w:tcW w:w="1282" w:type="pct"/>
                  <w:vAlign w:val="center"/>
                </w:tcPr>
                <w:p w14:paraId="47467FF4">
                  <w:pPr>
                    <w:keepNext w:val="0"/>
                    <w:keepLines w:val="0"/>
                    <w:widowControl/>
                    <w:suppressLineNumbers w:val="0"/>
                    <w:adjustRightInd w:val="0"/>
                    <w:snapToGrid w:val="0"/>
                    <w:spacing w:before="0" w:beforeAutospacing="0" w:after="0" w:afterAutospacing="0"/>
                    <w:ind w:left="0" w:right="0"/>
                    <w:jc w:val="center"/>
                    <w:rPr>
                      <w:rFonts w:hint="eastAsia" w:eastAsia="宋体"/>
                      <w:color w:val="1611ED"/>
                      <w:sz w:val="21"/>
                      <w:szCs w:val="21"/>
                      <w:highlight w:val="none"/>
                      <w:lang w:eastAsia="zh-CN"/>
                    </w:rPr>
                  </w:pPr>
                  <w:r>
                    <w:rPr>
                      <w:rFonts w:hint="eastAsia" w:eastAsia="宋体"/>
                      <w:color w:val="1611ED"/>
                      <w:sz w:val="21"/>
                      <w:szCs w:val="21"/>
                      <w:highlight w:val="none"/>
                      <w:lang w:eastAsia="zh-CN"/>
                    </w:rPr>
                    <w:drawing>
                      <wp:inline distT="0" distB="0" distL="114300" distR="114300">
                        <wp:extent cx="1254125" cy="1118235"/>
                        <wp:effectExtent l="0" t="0" r="3175" b="5715"/>
                        <wp:docPr id="2" name="图片 2" descr="a8b7656f55e12a1e8357a105173c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a8b7656f55e12a1e8357a105173c998"/>
                                <pic:cNvPicPr>
                                  <a:picLocks noChangeAspect="1"/>
                                </pic:cNvPicPr>
                              </pic:nvPicPr>
                              <pic:blipFill>
                                <a:blip r:embed="rId23"/>
                                <a:stretch>
                                  <a:fillRect/>
                                </a:stretch>
                              </pic:blipFill>
                              <pic:spPr>
                                <a:xfrm>
                                  <a:off x="0" y="0"/>
                                  <a:ext cx="1254125" cy="1118235"/>
                                </a:xfrm>
                                <a:prstGeom prst="rect">
                                  <a:avLst/>
                                </a:prstGeom>
                              </pic:spPr>
                            </pic:pic>
                          </a:graphicData>
                        </a:graphic>
                      </wp:inline>
                    </w:drawing>
                  </w:r>
                </w:p>
              </w:tc>
              <w:tc>
                <w:tcPr>
                  <w:tcW w:w="821" w:type="pct"/>
                  <w:shd w:val="clear" w:color="auto" w:fill="auto"/>
                  <w:vAlign w:val="center"/>
                </w:tcPr>
                <w:p w14:paraId="083CA297">
                  <w:pPr>
                    <w:keepNext w:val="0"/>
                    <w:keepLines w:val="0"/>
                    <w:widowControl/>
                    <w:suppressLineNumbers w:val="0"/>
                    <w:adjustRightInd w:val="0"/>
                    <w:snapToGrid w:val="0"/>
                    <w:spacing w:before="0" w:beforeAutospacing="0" w:after="0" w:afterAutospacing="0"/>
                    <w:ind w:left="0" w:leftChars="0" w:right="0" w:rightChars="0"/>
                    <w:jc w:val="center"/>
                    <w:rPr>
                      <w:rFonts w:hint="default" w:ascii="宋体" w:hAnsi="宋体" w:eastAsia="宋体" w:cs="宋体"/>
                      <w:color w:val="auto"/>
                      <w:kern w:val="2"/>
                      <w:sz w:val="21"/>
                      <w:szCs w:val="21"/>
                      <w:highlight w:val="none"/>
                      <w:lang w:val="en-US" w:eastAsia="zh-CN" w:bidi="ar-SA"/>
                    </w:rPr>
                  </w:pPr>
                  <w:r>
                    <w:rPr>
                      <w:rFonts w:hint="eastAsia" w:ascii="宋体" w:hAnsi="宋体" w:cs="宋体"/>
                      <w:color w:val="auto"/>
                      <w:kern w:val="2"/>
                      <w:sz w:val="21"/>
                      <w:szCs w:val="21"/>
                      <w:highlight w:val="none"/>
                      <w:lang w:val="en-US" w:eastAsia="zh-CN" w:bidi="ar-SA"/>
                    </w:rPr>
                    <w:t>返回戴卡公司</w:t>
                  </w:r>
                </w:p>
              </w:tc>
              <w:tc>
                <w:tcPr>
                  <w:tcW w:w="821" w:type="pct"/>
                  <w:shd w:val="clear" w:color="auto" w:fill="auto"/>
                  <w:vAlign w:val="center"/>
                </w:tcPr>
                <w:p w14:paraId="2CA027B1">
                  <w:pPr>
                    <w:keepNext w:val="0"/>
                    <w:keepLines w:val="0"/>
                    <w:widowControl/>
                    <w:suppressLineNumbers w:val="0"/>
                    <w:adjustRightInd w:val="0"/>
                    <w:snapToGrid w:val="0"/>
                    <w:spacing w:before="0" w:beforeAutospacing="0" w:after="0" w:afterAutospacing="0"/>
                    <w:ind w:left="0" w:leftChars="0" w:right="0" w:rightChars="0"/>
                    <w:jc w:val="center"/>
                    <w:rPr>
                      <w:rFonts w:hint="default" w:ascii="宋体" w:hAnsi="宋体" w:eastAsia="宋体" w:cs="宋体"/>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GB/T 22436-2008、JB/T14580-2023</w:t>
                  </w:r>
                </w:p>
              </w:tc>
            </w:tr>
          </w:tbl>
          <w:p w14:paraId="44345F58">
            <w:pPr>
              <w:pStyle w:val="6"/>
              <w:keepNext w:val="0"/>
              <w:keepLines w:val="0"/>
              <w:suppressLineNumbers w:val="0"/>
              <w:spacing w:before="0" w:beforeAutospacing="0" w:after="0" w:afterAutospacing="0"/>
              <w:ind w:left="0" w:right="0"/>
              <w:rPr>
                <w:rFonts w:hint="default" w:ascii="Times New Roman" w:hAnsi="Times New Roman"/>
                <w:color w:val="auto"/>
                <w:kern w:val="2"/>
                <w:szCs w:val="24"/>
                <w:highlight w:val="none"/>
              </w:rPr>
            </w:pPr>
            <w:r>
              <w:rPr>
                <w:rFonts w:ascii="Times New Roman" w:hAnsi="Times New Roman"/>
                <w:color w:val="auto"/>
                <w:kern w:val="2"/>
                <w:szCs w:val="24"/>
                <w:highlight w:val="none"/>
              </w:rPr>
              <w:t>2.6、水资源及能源消耗情况</w:t>
            </w:r>
          </w:p>
          <w:p w14:paraId="283A9C05">
            <w:pPr>
              <w:pStyle w:val="7"/>
              <w:suppressLineNumbers w:val="0"/>
              <w:spacing w:before="0" w:beforeAutospacing="0" w:after="0" w:afterAutospacing="0" w:line="360" w:lineRule="auto"/>
              <w:ind w:left="0" w:right="0" w:firstLine="482" w:firstLineChars="200"/>
              <w:jc w:val="left"/>
              <w:rPr>
                <w:rFonts w:hint="default" w:ascii="Times New Roman" w:hAnsi="Times New Roman"/>
                <w:color w:val="auto"/>
                <w:sz w:val="24"/>
                <w:highlight w:val="none"/>
              </w:rPr>
            </w:pPr>
            <w:r>
              <w:rPr>
                <w:rFonts w:hint="eastAsia" w:ascii="Times New Roman" w:hAnsi="Times New Roman"/>
                <w:color w:val="auto"/>
                <w:sz w:val="24"/>
                <w:highlight w:val="none"/>
              </w:rPr>
              <w:t>（1）</w:t>
            </w:r>
            <w:r>
              <w:rPr>
                <w:rFonts w:hint="default" w:ascii="Times New Roman" w:hAnsi="Times New Roman"/>
                <w:color w:val="auto"/>
                <w:sz w:val="24"/>
                <w:highlight w:val="none"/>
              </w:rPr>
              <w:t>给排水</w:t>
            </w:r>
          </w:p>
          <w:p w14:paraId="6B80389E">
            <w:pPr>
              <w:pStyle w:val="109"/>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①给水</w:t>
            </w:r>
          </w:p>
          <w:p w14:paraId="3108E635">
            <w:pPr>
              <w:keepNext w:val="0"/>
              <w:keepLines w:val="0"/>
              <w:suppressLineNumbers w:val="0"/>
              <w:snapToGrid w:val="0"/>
              <w:spacing w:before="0" w:beforeAutospacing="0" w:after="0" w:afterAutospacing="0" w:line="360" w:lineRule="auto"/>
              <w:ind w:left="0" w:right="0" w:firstLine="480" w:firstLineChars="200"/>
              <w:jc w:val="left"/>
              <w:rPr>
                <w:rFonts w:hint="default"/>
                <w:color w:val="auto"/>
                <w:sz w:val="24"/>
                <w:highlight w:val="none"/>
                <w:lang w:val="en-US"/>
              </w:rPr>
            </w:pPr>
            <w:r>
              <w:rPr>
                <w:rFonts w:hint="default"/>
                <w:color w:val="auto"/>
                <w:sz w:val="24"/>
                <w:highlight w:val="none"/>
              </w:rPr>
              <w:t>本项目生产用水主要为</w:t>
            </w:r>
            <w:r>
              <w:rPr>
                <w:rFonts w:hint="eastAsia"/>
                <w:color w:val="auto"/>
                <w:sz w:val="24"/>
                <w:highlight w:val="none"/>
                <w:lang w:eastAsia="zh-CN"/>
              </w:rPr>
              <w:t>清洗用水、</w:t>
            </w:r>
            <w:r>
              <w:rPr>
                <w:rFonts w:hint="eastAsia"/>
                <w:color w:val="auto"/>
                <w:sz w:val="24"/>
                <w:highlight w:val="none"/>
                <w:lang w:val="en-US" w:eastAsia="zh-CN"/>
              </w:rPr>
              <w:t>环保抛光打磨</w:t>
            </w:r>
            <w:r>
              <w:rPr>
                <w:rFonts w:hint="eastAsia"/>
                <w:color w:val="auto"/>
                <w:sz w:val="24"/>
                <w:highlight w:val="none"/>
                <w:lang w:eastAsia="zh-CN"/>
              </w:rPr>
              <w:t>湿式一体机补充用水</w:t>
            </w:r>
            <w:r>
              <w:rPr>
                <w:rFonts w:hint="default"/>
                <w:color w:val="auto"/>
                <w:sz w:val="24"/>
                <w:highlight w:val="none"/>
              </w:rPr>
              <w:t>和生活用水。</w:t>
            </w:r>
            <w:r>
              <w:rPr>
                <w:rFonts w:hint="eastAsia"/>
                <w:color w:val="auto"/>
                <w:sz w:val="24"/>
                <w:highlight w:val="none"/>
                <w:lang w:eastAsia="zh-CN"/>
              </w:rPr>
              <w:t>清洗用水</w:t>
            </w:r>
            <w:r>
              <w:rPr>
                <w:rFonts w:hint="eastAsia"/>
                <w:color w:val="auto"/>
                <w:sz w:val="24"/>
                <w:highlight w:val="none"/>
                <w:lang w:val="en-US" w:eastAsia="zh-CN"/>
              </w:rPr>
              <w:t>新鲜水用水量为 1.2</w:t>
            </w:r>
            <w:r>
              <w:rPr>
                <w:rFonts w:hint="default"/>
                <w:color w:val="auto"/>
                <w:sz w:val="24"/>
                <w:highlight w:val="none"/>
              </w:rPr>
              <w:t>m</w:t>
            </w:r>
            <w:r>
              <w:rPr>
                <w:rFonts w:hint="default"/>
                <w:color w:val="auto"/>
                <w:sz w:val="24"/>
                <w:highlight w:val="none"/>
                <w:vertAlign w:val="superscript"/>
              </w:rPr>
              <w:t>3</w:t>
            </w:r>
            <w:r>
              <w:rPr>
                <w:rFonts w:hint="eastAsia"/>
                <w:color w:val="auto"/>
                <w:sz w:val="24"/>
                <w:highlight w:val="none"/>
                <w:vertAlign w:val="superscript"/>
                <w:lang w:val="en-US" w:eastAsia="zh-CN"/>
              </w:rPr>
              <w:t xml:space="preserve"> </w:t>
            </w:r>
            <w:r>
              <w:rPr>
                <w:rFonts w:hint="default"/>
                <w:color w:val="auto"/>
                <w:sz w:val="24"/>
                <w:highlight w:val="none"/>
              </w:rPr>
              <w:t>/d</w:t>
            </w:r>
            <w:r>
              <w:rPr>
                <w:rFonts w:hint="eastAsia"/>
                <w:color w:val="auto"/>
                <w:sz w:val="24"/>
                <w:highlight w:val="none"/>
                <w:lang w:eastAsia="zh-CN"/>
              </w:rPr>
              <w:t>（</w:t>
            </w:r>
            <w:r>
              <w:rPr>
                <w:rFonts w:hint="eastAsia"/>
                <w:color w:val="auto"/>
                <w:sz w:val="24"/>
                <w:highlight w:val="none"/>
                <w:lang w:val="en-US" w:eastAsia="zh-CN"/>
              </w:rPr>
              <w:t xml:space="preserve">360 </w:t>
            </w:r>
            <w:r>
              <w:rPr>
                <w:rFonts w:hint="default"/>
                <w:color w:val="auto"/>
                <w:sz w:val="24"/>
                <w:highlight w:val="none"/>
              </w:rPr>
              <w:t>m</w:t>
            </w:r>
            <w:r>
              <w:rPr>
                <w:rFonts w:hint="default"/>
                <w:color w:val="auto"/>
                <w:sz w:val="24"/>
                <w:highlight w:val="none"/>
                <w:vertAlign w:val="superscript"/>
              </w:rPr>
              <w:t>3</w:t>
            </w:r>
            <w:r>
              <w:rPr>
                <w:rFonts w:hint="eastAsia"/>
                <w:color w:val="auto"/>
                <w:sz w:val="24"/>
                <w:highlight w:val="none"/>
                <w:lang w:val="en-US" w:eastAsia="zh-CN"/>
              </w:rPr>
              <w:t>/a</w:t>
            </w:r>
            <w:r>
              <w:rPr>
                <w:rFonts w:hint="eastAsia"/>
                <w:color w:val="auto"/>
                <w:sz w:val="24"/>
                <w:highlight w:val="none"/>
                <w:lang w:eastAsia="zh-CN"/>
              </w:rPr>
              <w:t>），</w:t>
            </w:r>
            <w:r>
              <w:rPr>
                <w:rFonts w:hint="eastAsia"/>
                <w:color w:val="auto"/>
                <w:sz w:val="24"/>
                <w:highlight w:val="none"/>
                <w:lang w:val="en-US" w:eastAsia="zh-CN"/>
              </w:rPr>
              <w:t>环保抛光打磨</w:t>
            </w:r>
            <w:r>
              <w:rPr>
                <w:rFonts w:hint="eastAsia"/>
                <w:color w:val="auto"/>
                <w:sz w:val="24"/>
                <w:highlight w:val="none"/>
                <w:lang w:eastAsia="zh-CN"/>
              </w:rPr>
              <w:t>湿式一体机循环水量为</w:t>
            </w:r>
            <w:r>
              <w:rPr>
                <w:rFonts w:hint="eastAsia"/>
                <w:color w:val="auto"/>
                <w:sz w:val="24"/>
                <w:highlight w:val="none"/>
                <w:lang w:val="en-US" w:eastAsia="zh-CN"/>
              </w:rPr>
              <w:t xml:space="preserve"> 4 </w:t>
            </w:r>
            <w:r>
              <w:rPr>
                <w:rFonts w:hint="default"/>
                <w:color w:val="auto"/>
                <w:sz w:val="24"/>
                <w:highlight w:val="none"/>
              </w:rPr>
              <w:t>m</w:t>
            </w:r>
            <w:r>
              <w:rPr>
                <w:rFonts w:hint="default"/>
                <w:color w:val="auto"/>
                <w:sz w:val="24"/>
                <w:highlight w:val="none"/>
                <w:vertAlign w:val="superscript"/>
              </w:rPr>
              <w:t>3</w:t>
            </w:r>
            <w:r>
              <w:rPr>
                <w:rFonts w:hint="eastAsia"/>
                <w:color w:val="auto"/>
                <w:sz w:val="24"/>
                <w:highlight w:val="none"/>
                <w:lang w:val="en-US" w:eastAsia="zh-CN"/>
              </w:rPr>
              <w:t>/d，</w:t>
            </w:r>
            <w:r>
              <w:rPr>
                <w:rFonts w:hint="eastAsia"/>
                <w:color w:val="auto"/>
                <w:sz w:val="24"/>
                <w:highlight w:val="none"/>
                <w:lang w:eastAsia="zh-CN"/>
              </w:rPr>
              <w:t>补充用水</w:t>
            </w:r>
            <w:r>
              <w:rPr>
                <w:rFonts w:hint="eastAsia"/>
                <w:color w:val="auto"/>
                <w:sz w:val="24"/>
                <w:highlight w:val="none"/>
                <w:lang w:val="en-US" w:eastAsia="zh-CN"/>
              </w:rPr>
              <w:t xml:space="preserve">量为 0.3 </w:t>
            </w:r>
            <w:r>
              <w:rPr>
                <w:rFonts w:hint="default"/>
                <w:color w:val="auto"/>
                <w:sz w:val="24"/>
                <w:highlight w:val="none"/>
              </w:rPr>
              <w:t>m</w:t>
            </w:r>
            <w:r>
              <w:rPr>
                <w:rFonts w:hint="default"/>
                <w:color w:val="auto"/>
                <w:sz w:val="24"/>
                <w:highlight w:val="none"/>
                <w:vertAlign w:val="superscript"/>
              </w:rPr>
              <w:t>3</w:t>
            </w:r>
            <w:r>
              <w:rPr>
                <w:rFonts w:hint="eastAsia"/>
                <w:color w:val="auto"/>
                <w:sz w:val="24"/>
                <w:highlight w:val="none"/>
                <w:lang w:val="en-US" w:eastAsia="zh-CN"/>
              </w:rPr>
              <w:t>/d （90</w:t>
            </w:r>
            <w:r>
              <w:rPr>
                <w:rFonts w:hint="default"/>
                <w:color w:val="auto"/>
                <w:sz w:val="24"/>
                <w:highlight w:val="none"/>
              </w:rPr>
              <w:t>m</w:t>
            </w:r>
            <w:r>
              <w:rPr>
                <w:rFonts w:hint="default"/>
                <w:color w:val="auto"/>
                <w:sz w:val="24"/>
                <w:highlight w:val="none"/>
                <w:vertAlign w:val="superscript"/>
              </w:rPr>
              <w:t>3</w:t>
            </w:r>
            <w:r>
              <w:rPr>
                <w:rFonts w:hint="eastAsia"/>
                <w:color w:val="auto"/>
                <w:sz w:val="24"/>
                <w:highlight w:val="none"/>
                <w:lang w:val="en-US" w:eastAsia="zh-CN"/>
              </w:rPr>
              <w:t>/a），水磨机循环水量为29.5</w:t>
            </w:r>
            <w:r>
              <w:rPr>
                <w:rFonts w:hint="default"/>
                <w:color w:val="auto"/>
                <w:sz w:val="24"/>
                <w:highlight w:val="none"/>
              </w:rPr>
              <w:t>m</w:t>
            </w:r>
            <w:r>
              <w:rPr>
                <w:rFonts w:hint="default"/>
                <w:color w:val="auto"/>
                <w:sz w:val="24"/>
                <w:highlight w:val="none"/>
                <w:vertAlign w:val="superscript"/>
              </w:rPr>
              <w:t>3</w:t>
            </w:r>
            <w:r>
              <w:rPr>
                <w:rFonts w:hint="eastAsia"/>
                <w:color w:val="auto"/>
                <w:sz w:val="24"/>
                <w:highlight w:val="none"/>
                <w:lang w:val="en-US" w:eastAsia="zh-CN"/>
              </w:rPr>
              <w:t>/d ，补充用水量为0.5</w:t>
            </w:r>
            <w:r>
              <w:rPr>
                <w:rFonts w:hint="default"/>
                <w:color w:val="auto"/>
                <w:sz w:val="24"/>
                <w:highlight w:val="none"/>
              </w:rPr>
              <w:t>m</w:t>
            </w:r>
            <w:r>
              <w:rPr>
                <w:rFonts w:hint="default"/>
                <w:color w:val="auto"/>
                <w:sz w:val="24"/>
                <w:highlight w:val="none"/>
                <w:vertAlign w:val="superscript"/>
              </w:rPr>
              <w:t>3</w:t>
            </w:r>
            <w:r>
              <w:rPr>
                <w:rFonts w:hint="eastAsia"/>
                <w:color w:val="auto"/>
                <w:sz w:val="24"/>
                <w:highlight w:val="none"/>
                <w:lang w:val="en-US" w:eastAsia="zh-CN"/>
              </w:rPr>
              <w:t>/d（150</w:t>
            </w:r>
            <w:r>
              <w:rPr>
                <w:rFonts w:hint="default"/>
                <w:color w:val="auto"/>
                <w:sz w:val="24"/>
                <w:highlight w:val="none"/>
              </w:rPr>
              <w:t>m</w:t>
            </w:r>
            <w:r>
              <w:rPr>
                <w:rFonts w:hint="default"/>
                <w:color w:val="auto"/>
                <w:sz w:val="24"/>
                <w:highlight w:val="none"/>
                <w:vertAlign w:val="superscript"/>
              </w:rPr>
              <w:t>3</w:t>
            </w:r>
            <w:r>
              <w:rPr>
                <w:rFonts w:hint="eastAsia"/>
                <w:color w:val="auto"/>
                <w:sz w:val="24"/>
                <w:highlight w:val="none"/>
                <w:lang w:val="en-US" w:eastAsia="zh-CN"/>
              </w:rPr>
              <w:t>/a），破乳剂、絮凝剂配制溶液用水量为0.0000015</w:t>
            </w:r>
            <w:r>
              <w:rPr>
                <w:rFonts w:hint="default"/>
                <w:color w:val="auto"/>
                <w:sz w:val="24"/>
                <w:highlight w:val="none"/>
              </w:rPr>
              <w:t>m</w:t>
            </w:r>
            <w:r>
              <w:rPr>
                <w:rFonts w:hint="default"/>
                <w:color w:val="auto"/>
                <w:sz w:val="24"/>
                <w:highlight w:val="none"/>
                <w:vertAlign w:val="superscript"/>
              </w:rPr>
              <w:t>3</w:t>
            </w:r>
            <w:r>
              <w:rPr>
                <w:rFonts w:hint="eastAsia"/>
                <w:color w:val="auto"/>
                <w:sz w:val="24"/>
                <w:highlight w:val="none"/>
                <w:lang w:val="en-US" w:eastAsia="zh-CN"/>
              </w:rPr>
              <w:t>/d （0.00045</w:t>
            </w:r>
            <w:r>
              <w:rPr>
                <w:rFonts w:hint="default"/>
                <w:color w:val="auto"/>
                <w:sz w:val="24"/>
                <w:highlight w:val="none"/>
              </w:rPr>
              <w:t>m</w:t>
            </w:r>
            <w:r>
              <w:rPr>
                <w:rFonts w:hint="default"/>
                <w:color w:val="auto"/>
                <w:sz w:val="24"/>
                <w:highlight w:val="none"/>
                <w:vertAlign w:val="superscript"/>
              </w:rPr>
              <w:t>3</w:t>
            </w:r>
            <w:r>
              <w:rPr>
                <w:rFonts w:hint="eastAsia"/>
                <w:color w:val="auto"/>
                <w:sz w:val="24"/>
                <w:highlight w:val="none"/>
                <w:lang w:val="en-US" w:eastAsia="zh-CN"/>
              </w:rPr>
              <w:t>/a）。</w:t>
            </w:r>
          </w:p>
          <w:p w14:paraId="3D744CCE">
            <w:pPr>
              <w:keepNext w:val="0"/>
              <w:keepLines w:val="0"/>
              <w:suppressLineNumbers w:val="0"/>
              <w:wordWrap w:val="0"/>
              <w:snapToGrid w:val="0"/>
              <w:spacing w:before="0" w:beforeAutospacing="0" w:after="0" w:afterAutospacing="0" w:line="360" w:lineRule="auto"/>
              <w:ind w:left="0" w:right="0" w:firstLine="480" w:firstLineChars="200"/>
              <w:jc w:val="left"/>
              <w:rPr>
                <w:rFonts w:hint="eastAsia" w:eastAsia="宋体"/>
                <w:color w:val="1D41D5"/>
                <w:sz w:val="24"/>
                <w:highlight w:val="none"/>
                <w:lang w:eastAsia="zh-CN"/>
              </w:rPr>
            </w:pPr>
            <w:r>
              <w:rPr>
                <w:rFonts w:hint="default"/>
                <w:color w:val="auto"/>
                <w:sz w:val="24"/>
                <w:highlight w:val="none"/>
              </w:rPr>
              <w:t>员工生活用水量参照《生活与服务用水定额 第2部分：服务业》（DB13/T5450.1-2021）中</w:t>
            </w:r>
            <w:r>
              <w:rPr>
                <w:rFonts w:hint="eastAsia"/>
                <w:color w:val="auto"/>
                <w:sz w:val="24"/>
                <w:highlight w:val="none"/>
              </w:rPr>
              <w:t>“</w:t>
            </w:r>
            <w:r>
              <w:rPr>
                <w:rFonts w:hint="default"/>
                <w:color w:val="auto"/>
                <w:sz w:val="24"/>
                <w:highlight w:val="none"/>
              </w:rPr>
              <w:t>服务业用水定额（写字楼）</w:t>
            </w:r>
            <w:r>
              <w:rPr>
                <w:rFonts w:hint="eastAsia"/>
                <w:color w:val="auto"/>
                <w:sz w:val="24"/>
                <w:highlight w:val="none"/>
              </w:rPr>
              <w:t>”</w:t>
            </w:r>
            <w:r>
              <w:rPr>
                <w:rFonts w:hint="default"/>
                <w:color w:val="auto"/>
                <w:sz w:val="24"/>
                <w:highlight w:val="none"/>
              </w:rPr>
              <w:t xml:space="preserve">，用水定额 </w:t>
            </w:r>
            <w:r>
              <w:rPr>
                <w:rFonts w:hint="eastAsia"/>
                <w:color w:val="auto"/>
                <w:sz w:val="24"/>
                <w:highlight w:val="none"/>
                <w:lang w:val="en-US" w:eastAsia="zh-CN"/>
              </w:rPr>
              <w:t>2</w:t>
            </w:r>
            <w:r>
              <w:rPr>
                <w:rFonts w:hint="default"/>
                <w:color w:val="auto"/>
                <w:sz w:val="24"/>
                <w:highlight w:val="none"/>
              </w:rPr>
              <w:t>0L/（人·d），项目员工</w:t>
            </w:r>
            <w:r>
              <w:rPr>
                <w:rFonts w:hint="eastAsia"/>
                <w:color w:val="auto"/>
                <w:sz w:val="24"/>
                <w:highlight w:val="none"/>
                <w:lang w:val="en-US" w:eastAsia="zh-CN"/>
              </w:rPr>
              <w:t>94</w:t>
            </w:r>
            <w:r>
              <w:rPr>
                <w:rFonts w:hint="default"/>
                <w:color w:val="auto"/>
                <w:sz w:val="24"/>
                <w:highlight w:val="none"/>
              </w:rPr>
              <w:t>人，全年工作</w:t>
            </w:r>
            <w:r>
              <w:rPr>
                <w:rFonts w:hint="eastAsia"/>
                <w:color w:val="auto"/>
                <w:sz w:val="24"/>
                <w:highlight w:val="none"/>
                <w:lang w:val="en-US" w:eastAsia="zh-CN"/>
              </w:rPr>
              <w:t>300</w:t>
            </w:r>
            <w:r>
              <w:rPr>
                <w:rFonts w:hint="default"/>
                <w:color w:val="auto"/>
                <w:sz w:val="24"/>
                <w:highlight w:val="none"/>
              </w:rPr>
              <w:t>天，计算得生活用水量为</w:t>
            </w:r>
            <w:r>
              <w:rPr>
                <w:rFonts w:hint="eastAsia"/>
                <w:color w:val="auto"/>
                <w:sz w:val="24"/>
                <w:highlight w:val="none"/>
                <w:lang w:val="en-US" w:eastAsia="zh-CN"/>
              </w:rPr>
              <w:t xml:space="preserve"> 1.88 </w:t>
            </w:r>
            <w:r>
              <w:rPr>
                <w:rFonts w:hint="default"/>
                <w:color w:val="auto"/>
                <w:sz w:val="24"/>
                <w:highlight w:val="none"/>
              </w:rPr>
              <w:t>m</w:t>
            </w:r>
            <w:r>
              <w:rPr>
                <w:rFonts w:hint="default"/>
                <w:color w:val="auto"/>
                <w:sz w:val="24"/>
                <w:highlight w:val="none"/>
                <w:vertAlign w:val="superscript"/>
              </w:rPr>
              <w:t>3</w:t>
            </w:r>
            <w:r>
              <w:rPr>
                <w:rFonts w:hint="default"/>
                <w:color w:val="auto"/>
                <w:sz w:val="24"/>
                <w:highlight w:val="none"/>
              </w:rPr>
              <w:t>/d（</w:t>
            </w:r>
            <w:r>
              <w:rPr>
                <w:rFonts w:hint="eastAsia"/>
                <w:color w:val="auto"/>
                <w:sz w:val="24"/>
                <w:highlight w:val="none"/>
                <w:lang w:val="en-US" w:eastAsia="zh-CN"/>
              </w:rPr>
              <w:t>564</w:t>
            </w:r>
            <w:r>
              <w:rPr>
                <w:rFonts w:hint="default"/>
                <w:color w:val="auto"/>
                <w:sz w:val="24"/>
                <w:highlight w:val="none"/>
              </w:rPr>
              <w:t>m</w:t>
            </w:r>
            <w:r>
              <w:rPr>
                <w:rFonts w:hint="default"/>
                <w:color w:val="auto"/>
                <w:sz w:val="24"/>
                <w:highlight w:val="none"/>
                <w:vertAlign w:val="superscript"/>
              </w:rPr>
              <w:t>3</w:t>
            </w:r>
            <w:r>
              <w:rPr>
                <w:rFonts w:hint="default"/>
                <w:color w:val="auto"/>
                <w:sz w:val="24"/>
                <w:highlight w:val="none"/>
              </w:rPr>
              <w:t>/a）</w:t>
            </w:r>
            <w:r>
              <w:rPr>
                <w:rFonts w:hint="eastAsia"/>
                <w:color w:val="auto"/>
                <w:sz w:val="24"/>
                <w:highlight w:val="none"/>
                <w:lang w:eastAsia="zh-CN"/>
              </w:rPr>
              <w:t>。</w:t>
            </w:r>
          </w:p>
          <w:p w14:paraId="31B3549A">
            <w:pPr>
              <w:pStyle w:val="109"/>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由此可计算出项目新鲜水用量为</w:t>
            </w:r>
            <w:r>
              <w:rPr>
                <w:rFonts w:hint="eastAsia" w:ascii="Times New Roman" w:hAnsi="Times New Roman" w:cs="Times New Roman"/>
                <w:color w:val="auto"/>
                <w:sz w:val="24"/>
                <w:szCs w:val="24"/>
                <w:highlight w:val="none"/>
                <w:lang w:val="en-US" w:eastAsia="zh-CN"/>
              </w:rPr>
              <w:t>3.8800015</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lang w:eastAsia="zh-CN"/>
              </w:rPr>
              <w:t>3</w:t>
            </w:r>
            <w:r>
              <w:rPr>
                <w:rFonts w:hint="default" w:ascii="Times New Roman" w:hAnsi="Times New Roman" w:cs="Times New Roman"/>
                <w:color w:val="auto"/>
                <w:sz w:val="24"/>
                <w:szCs w:val="24"/>
                <w:highlight w:val="none"/>
                <w:lang w:eastAsia="zh-CN"/>
              </w:rPr>
              <w:t>/d（</w:t>
            </w:r>
            <w:r>
              <w:rPr>
                <w:rFonts w:hint="eastAsia" w:ascii="Times New Roman" w:hAnsi="Times New Roman" w:cs="Times New Roman"/>
                <w:color w:val="auto"/>
                <w:sz w:val="24"/>
                <w:szCs w:val="24"/>
                <w:highlight w:val="none"/>
                <w:lang w:val="en-US" w:eastAsia="zh-CN"/>
              </w:rPr>
              <w:t>1164.00045</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lang w:eastAsia="zh-CN"/>
              </w:rPr>
              <w:t>3</w:t>
            </w:r>
            <w:r>
              <w:rPr>
                <w:rFonts w:hint="default" w:ascii="Times New Roman" w:hAnsi="Times New Roman" w:cs="Times New Roman"/>
                <w:color w:val="auto"/>
                <w:sz w:val="24"/>
                <w:szCs w:val="24"/>
                <w:highlight w:val="none"/>
                <w:lang w:eastAsia="zh-CN"/>
              </w:rPr>
              <w:t>/a）。项目用水全部取自城市供水管网。</w:t>
            </w:r>
          </w:p>
          <w:p w14:paraId="47C162A6">
            <w:pPr>
              <w:pStyle w:val="109"/>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②排水</w:t>
            </w:r>
          </w:p>
          <w:p w14:paraId="7CCD2E0F">
            <w:pPr>
              <w:pStyle w:val="109"/>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pacing w:val="13"/>
                <w:sz w:val="24"/>
                <w:szCs w:val="24"/>
                <w:highlight w:val="none"/>
                <w:lang w:eastAsia="zh-CN"/>
              </w:rPr>
            </w:pPr>
            <w:r>
              <w:rPr>
                <w:rFonts w:hint="eastAsia" w:ascii="Times New Roman" w:hAnsi="Times New Roman" w:cs="Times New Roman"/>
                <w:color w:val="auto"/>
                <w:sz w:val="24"/>
                <w:szCs w:val="24"/>
                <w:highlight w:val="none"/>
                <w:lang w:val="en-US" w:eastAsia="zh-CN"/>
              </w:rPr>
              <w:t>环保抛光打磨</w:t>
            </w:r>
            <w:r>
              <w:rPr>
                <w:rFonts w:hint="eastAsia" w:ascii="Times New Roman" w:hAnsi="Times New Roman" w:cs="Times New Roman"/>
                <w:color w:val="auto"/>
                <w:sz w:val="24"/>
                <w:szCs w:val="24"/>
                <w:highlight w:val="none"/>
                <w:lang w:eastAsia="zh-CN"/>
              </w:rPr>
              <w:t>湿式一体机废</w:t>
            </w:r>
            <w:r>
              <w:rPr>
                <w:rFonts w:hint="eastAsia"/>
                <w:color w:val="auto"/>
                <w:sz w:val="24"/>
                <w:highlight w:val="none"/>
                <w:lang w:eastAsia="zh-CN"/>
              </w:rPr>
              <w:t>水经三级沉淀池沉淀后的清水回用于</w:t>
            </w:r>
            <w:r>
              <w:rPr>
                <w:rFonts w:hint="eastAsia" w:ascii="Times New Roman" w:hAnsi="Times New Roman" w:cs="Times New Roman"/>
                <w:color w:val="auto"/>
                <w:sz w:val="24"/>
                <w:szCs w:val="24"/>
                <w:highlight w:val="none"/>
                <w:lang w:val="en-US" w:eastAsia="zh-CN"/>
              </w:rPr>
              <w:t>环保抛光打磨</w:t>
            </w:r>
            <w:r>
              <w:rPr>
                <w:rFonts w:hint="eastAsia" w:ascii="Times New Roman" w:hAnsi="Times New Roman" w:cs="Times New Roman"/>
                <w:color w:val="auto"/>
                <w:sz w:val="24"/>
                <w:szCs w:val="24"/>
                <w:highlight w:val="none"/>
                <w:lang w:eastAsia="zh-CN"/>
              </w:rPr>
              <w:t>湿式一体机</w:t>
            </w:r>
            <w:r>
              <w:rPr>
                <w:rFonts w:hint="default" w:ascii="Times New Roman" w:hAnsi="Times New Roman" w:cs="Times New Roman"/>
                <w:color w:val="auto"/>
                <w:spacing w:val="7"/>
                <w:sz w:val="24"/>
                <w:szCs w:val="24"/>
                <w:highlight w:val="none"/>
                <w:lang w:eastAsia="zh-CN"/>
              </w:rPr>
              <w:t>，</w:t>
            </w:r>
            <w:r>
              <w:rPr>
                <w:rFonts w:hint="eastAsia" w:ascii="Times New Roman" w:hAnsi="Times New Roman" w:cs="Times New Roman"/>
                <w:color w:val="auto"/>
                <w:spacing w:val="7"/>
                <w:sz w:val="24"/>
                <w:szCs w:val="24"/>
                <w:highlight w:val="none"/>
                <w:lang w:eastAsia="zh-CN"/>
              </w:rPr>
              <w:t>补充水</w:t>
            </w:r>
            <w:r>
              <w:rPr>
                <w:rFonts w:hint="default" w:ascii="Times New Roman" w:hAnsi="Times New Roman" w:cs="Times New Roman"/>
                <w:color w:val="auto"/>
                <w:spacing w:val="7"/>
                <w:sz w:val="24"/>
                <w:szCs w:val="24"/>
                <w:highlight w:val="none"/>
                <w:lang w:eastAsia="zh-CN"/>
              </w:rPr>
              <w:t>全部通过蒸发</w:t>
            </w:r>
            <w:r>
              <w:rPr>
                <w:rFonts w:hint="eastAsia" w:ascii="Times New Roman" w:hAnsi="Times New Roman" w:cs="Times New Roman"/>
                <w:color w:val="auto"/>
                <w:spacing w:val="7"/>
                <w:sz w:val="24"/>
                <w:szCs w:val="24"/>
                <w:highlight w:val="none"/>
                <w:lang w:val="en-US" w:eastAsia="zh-CN"/>
              </w:rPr>
              <w:t>和压滤</w:t>
            </w:r>
            <w:r>
              <w:rPr>
                <w:rFonts w:hint="default" w:ascii="Times New Roman" w:hAnsi="Times New Roman" w:cs="Times New Roman"/>
                <w:color w:val="auto"/>
                <w:spacing w:val="7"/>
                <w:sz w:val="24"/>
                <w:szCs w:val="24"/>
                <w:highlight w:val="none"/>
                <w:lang w:eastAsia="zh-CN"/>
              </w:rPr>
              <w:t>损耗</w:t>
            </w:r>
            <w:r>
              <w:rPr>
                <w:rFonts w:hint="eastAsia" w:ascii="Times New Roman" w:hAnsi="Times New Roman" w:cs="Times New Roman"/>
                <w:color w:val="auto"/>
                <w:spacing w:val="7"/>
                <w:sz w:val="24"/>
                <w:szCs w:val="24"/>
                <w:highlight w:val="none"/>
                <w:lang w:eastAsia="zh-CN"/>
              </w:rPr>
              <w:t>；</w:t>
            </w:r>
            <w:r>
              <w:rPr>
                <w:rFonts w:hint="eastAsia" w:ascii="Times New Roman" w:hAnsi="Times New Roman" w:cs="Times New Roman"/>
                <w:color w:val="auto"/>
                <w:spacing w:val="7"/>
                <w:sz w:val="24"/>
                <w:szCs w:val="24"/>
                <w:highlight w:val="none"/>
                <w:lang w:val="en-US" w:eastAsia="zh-CN"/>
              </w:rPr>
              <w:t>水磨机废水经三级沉淀池沉淀后的清水回用于环保抛光打磨湿式一体机，循环使用不外排，补充水全部通过蒸发损耗；</w:t>
            </w:r>
            <w:r>
              <w:rPr>
                <w:rFonts w:hint="eastAsia" w:ascii="Times New Roman" w:hAnsi="Times New Roman" w:cs="Times New Roman"/>
                <w:color w:val="auto"/>
                <w:spacing w:val="7"/>
                <w:sz w:val="24"/>
                <w:szCs w:val="24"/>
                <w:highlight w:val="none"/>
                <w:lang w:eastAsia="zh-CN"/>
              </w:rPr>
              <w:t>清洗废水经“</w:t>
            </w:r>
            <w:r>
              <w:rPr>
                <w:rFonts w:hint="eastAsia" w:ascii="Times New Roman" w:hAnsi="Times New Roman" w:cs="Times New Roman"/>
                <w:color w:val="auto"/>
                <w:spacing w:val="7"/>
                <w:sz w:val="24"/>
                <w:szCs w:val="24"/>
                <w:highlight w:val="none"/>
                <w:lang w:val="en-US" w:eastAsia="zh-CN"/>
              </w:rPr>
              <w:t>破乳-絮凝-沉淀</w:t>
            </w:r>
            <w:r>
              <w:rPr>
                <w:rFonts w:hint="eastAsia" w:ascii="Times New Roman" w:hAnsi="Times New Roman" w:cs="Times New Roman"/>
                <w:color w:val="auto"/>
                <w:spacing w:val="7"/>
                <w:sz w:val="24"/>
                <w:szCs w:val="24"/>
                <w:highlight w:val="none"/>
                <w:lang w:eastAsia="zh-CN"/>
              </w:rPr>
              <w:t>”处理后经污水管网最终排入</w:t>
            </w:r>
            <w:r>
              <w:rPr>
                <w:rFonts w:hint="eastAsia" w:ascii="Times New Roman" w:hAnsi="Times New Roman" w:cs="Times New Roman"/>
                <w:color w:val="auto"/>
                <w:spacing w:val="7"/>
                <w:sz w:val="24"/>
                <w:szCs w:val="24"/>
                <w:highlight w:val="none"/>
                <w:lang w:val="en-US" w:eastAsia="zh-CN"/>
              </w:rPr>
              <w:t>秦皇岛市第三</w:t>
            </w:r>
            <w:r>
              <w:rPr>
                <w:rFonts w:hint="eastAsia" w:ascii="Times New Roman" w:hAnsi="Times New Roman" w:cs="Times New Roman"/>
                <w:color w:val="auto"/>
                <w:spacing w:val="7"/>
                <w:sz w:val="24"/>
                <w:szCs w:val="24"/>
                <w:highlight w:val="none"/>
                <w:lang w:eastAsia="zh-CN"/>
              </w:rPr>
              <w:t>污水处理厂（</w:t>
            </w:r>
            <w:r>
              <w:rPr>
                <w:rFonts w:hint="eastAsia" w:ascii="Times New Roman" w:hAnsi="Times New Roman" w:cs="Times New Roman"/>
                <w:color w:val="auto"/>
                <w:spacing w:val="7"/>
                <w:sz w:val="24"/>
                <w:szCs w:val="24"/>
                <w:highlight w:val="none"/>
                <w:lang w:val="en-US" w:eastAsia="zh-CN"/>
              </w:rPr>
              <w:t>沉淀池沉淀后的沉泥作为一般固废外售</w:t>
            </w:r>
            <w:r>
              <w:rPr>
                <w:rFonts w:hint="eastAsia" w:ascii="Times New Roman" w:hAnsi="Times New Roman" w:cs="Times New Roman"/>
                <w:color w:val="auto"/>
                <w:spacing w:val="7"/>
                <w:sz w:val="24"/>
                <w:szCs w:val="24"/>
                <w:highlight w:val="none"/>
                <w:lang w:eastAsia="zh-CN"/>
              </w:rPr>
              <w:t>）</w:t>
            </w:r>
            <w:r>
              <w:rPr>
                <w:rFonts w:hint="default" w:ascii="Times New Roman" w:hAnsi="Times New Roman" w:cs="Times New Roman"/>
                <w:color w:val="auto"/>
                <w:spacing w:val="13"/>
                <w:sz w:val="24"/>
                <w:szCs w:val="24"/>
                <w:highlight w:val="none"/>
                <w:lang w:eastAsia="zh-CN"/>
              </w:rPr>
              <w:t>。企业生活污水产生系数取0.8，计算得产生</w:t>
            </w:r>
            <w:r>
              <w:rPr>
                <w:rFonts w:hint="default" w:ascii="Times New Roman" w:hAnsi="Times New Roman" w:cs="Times New Roman"/>
                <w:color w:val="auto"/>
                <w:spacing w:val="12"/>
                <w:sz w:val="24"/>
                <w:szCs w:val="24"/>
                <w:highlight w:val="none"/>
                <w:lang w:eastAsia="zh-CN"/>
              </w:rPr>
              <w:t>量为</w:t>
            </w:r>
            <w:r>
              <w:rPr>
                <w:rFonts w:hint="eastAsia" w:ascii="Times New Roman" w:hAnsi="Times New Roman" w:cs="Times New Roman"/>
                <w:color w:val="auto"/>
                <w:sz w:val="24"/>
                <w:szCs w:val="24"/>
                <w:highlight w:val="none"/>
                <w:lang w:val="en-US" w:eastAsia="zh-CN"/>
              </w:rPr>
              <w:t>1.504</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lang w:eastAsia="zh-CN"/>
              </w:rPr>
              <w:t>3</w:t>
            </w:r>
            <w:r>
              <w:rPr>
                <w:rFonts w:hint="default" w:ascii="Times New Roman" w:hAnsi="Times New Roman" w:cs="Times New Roman"/>
                <w:color w:val="auto"/>
                <w:sz w:val="24"/>
                <w:szCs w:val="24"/>
                <w:highlight w:val="none"/>
                <w:lang w:eastAsia="zh-CN"/>
              </w:rPr>
              <w:t>/d（</w:t>
            </w:r>
            <w:r>
              <w:rPr>
                <w:rFonts w:hint="eastAsia" w:ascii="Times New Roman" w:hAnsi="Times New Roman" w:cs="Times New Roman"/>
                <w:color w:val="auto"/>
                <w:sz w:val="24"/>
                <w:szCs w:val="24"/>
                <w:highlight w:val="none"/>
                <w:lang w:val="en-US" w:eastAsia="zh-CN"/>
              </w:rPr>
              <w:t>451.2</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lang w:eastAsia="zh-CN"/>
              </w:rPr>
              <w:t>3</w:t>
            </w: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eastAsia="zh-CN"/>
              </w:rPr>
              <w:t>a</w:t>
            </w:r>
            <w:r>
              <w:rPr>
                <w:rFonts w:hint="default" w:ascii="Times New Roman" w:hAnsi="Times New Roman" w:cs="Times New Roman"/>
                <w:color w:val="auto"/>
                <w:spacing w:val="-38"/>
                <w:sz w:val="24"/>
                <w:szCs w:val="24"/>
                <w:highlight w:val="none"/>
                <w:lang w:eastAsia="zh-CN"/>
              </w:rPr>
              <w:t>），</w:t>
            </w:r>
            <w:r>
              <w:rPr>
                <w:rFonts w:hint="default" w:ascii="Times New Roman" w:hAnsi="Times New Roman" w:cs="Times New Roman"/>
                <w:color w:val="1D41D5"/>
                <w:spacing w:val="-20"/>
                <w:sz w:val="24"/>
                <w:szCs w:val="24"/>
                <w:highlight w:val="none"/>
                <w:lang w:eastAsia="zh-CN"/>
              </w:rPr>
              <w:t xml:space="preserve"> </w:t>
            </w:r>
            <w:r>
              <w:rPr>
                <w:rFonts w:hint="default" w:ascii="Times New Roman" w:hAnsi="Times New Roman" w:cs="Times New Roman"/>
                <w:color w:val="auto"/>
                <w:sz w:val="24"/>
                <w:szCs w:val="24"/>
                <w:highlight w:val="none"/>
                <w:lang w:eastAsia="zh-CN"/>
              </w:rPr>
              <w:t>经化粪池处理后经市政污水管网排入</w:t>
            </w:r>
            <w:r>
              <w:rPr>
                <w:rFonts w:hint="eastAsia" w:ascii="Times New Roman" w:hAnsi="Times New Roman" w:cs="Times New Roman"/>
                <w:color w:val="auto"/>
                <w:spacing w:val="13"/>
                <w:sz w:val="24"/>
                <w:szCs w:val="24"/>
                <w:highlight w:val="none"/>
                <w:lang w:val="en-US" w:eastAsia="zh-CN"/>
              </w:rPr>
              <w:t>秦皇岛市第三</w:t>
            </w:r>
            <w:r>
              <w:rPr>
                <w:rFonts w:hint="eastAsia" w:ascii="Times New Roman" w:hAnsi="Times New Roman" w:cs="Times New Roman"/>
                <w:color w:val="auto"/>
                <w:spacing w:val="13"/>
                <w:sz w:val="24"/>
                <w:szCs w:val="24"/>
                <w:highlight w:val="none"/>
                <w:lang w:eastAsia="zh-CN"/>
              </w:rPr>
              <w:t>污水</w:t>
            </w:r>
            <w:r>
              <w:rPr>
                <w:rFonts w:hint="eastAsia" w:ascii="Times New Roman" w:hAnsi="Times New Roman" w:cs="Times New Roman"/>
                <w:color w:val="auto"/>
                <w:sz w:val="24"/>
                <w:szCs w:val="24"/>
                <w:highlight w:val="none"/>
                <w:lang w:eastAsia="zh-CN"/>
              </w:rPr>
              <w:t>处理厂</w:t>
            </w:r>
            <w:r>
              <w:rPr>
                <w:rFonts w:hint="default" w:ascii="Times New Roman" w:hAnsi="Times New Roman" w:cs="Times New Roman"/>
                <w:color w:val="auto"/>
                <w:spacing w:val="13"/>
                <w:sz w:val="24"/>
                <w:szCs w:val="24"/>
                <w:highlight w:val="none"/>
                <w:lang w:eastAsia="zh-CN"/>
              </w:rPr>
              <w:t>。</w:t>
            </w:r>
          </w:p>
          <w:p w14:paraId="75BD9F9B">
            <w:pPr>
              <w:pStyle w:val="109"/>
              <w:keepNext w:val="0"/>
              <w:keepLines w:val="0"/>
              <w:suppressLineNumbers w:val="0"/>
              <w:spacing w:before="0" w:beforeAutospacing="0" w:after="0" w:afterAutospacing="0" w:line="360" w:lineRule="auto"/>
              <w:ind w:left="0" w:right="0" w:firstLine="532" w:firstLineChars="200"/>
              <w:jc w:val="left"/>
              <w:rPr>
                <w:rFonts w:hint="default"/>
                <w:snapToGrid w:val="0"/>
                <w:color w:val="auto"/>
                <w:highlight w:val="none"/>
              </w:rPr>
            </w:pPr>
            <w:r>
              <w:rPr>
                <w:rFonts w:hint="default" w:ascii="Times New Roman" w:hAnsi="Times New Roman" w:cs="Times New Roman"/>
                <w:color w:val="auto"/>
                <w:spacing w:val="13"/>
                <w:sz w:val="24"/>
                <w:szCs w:val="24"/>
                <w:highlight w:val="none"/>
                <w:lang w:eastAsia="zh-CN"/>
              </w:rPr>
              <w:t>给排水情况具体如</w:t>
            </w:r>
            <w:r>
              <w:rPr>
                <w:rFonts w:hint="eastAsia" w:ascii="Times New Roman" w:hAnsi="Times New Roman" w:cs="Times New Roman"/>
                <w:color w:val="auto"/>
                <w:spacing w:val="13"/>
                <w:sz w:val="24"/>
                <w:szCs w:val="24"/>
                <w:highlight w:val="none"/>
                <w:lang w:eastAsia="zh-CN"/>
              </w:rPr>
              <w:t>下：</w:t>
            </w:r>
            <w:r>
              <w:rPr>
                <w:rFonts w:hint="default" w:ascii="Times New Roman" w:hAnsi="Times New Roman" w:cs="Times New Roman"/>
                <w:color w:val="auto"/>
                <w:spacing w:val="13"/>
                <w:sz w:val="24"/>
                <w:szCs w:val="24"/>
                <w:highlight w:val="none"/>
                <w:lang w:eastAsia="zh-CN"/>
              </w:rPr>
              <w:t xml:space="preserve"> </w:t>
            </w:r>
          </w:p>
          <w:p w14:paraId="1E7A5CC8">
            <w:pPr>
              <w:pStyle w:val="58"/>
              <w:keepNext w:val="0"/>
              <w:keepLines w:val="0"/>
              <w:suppressLineNumbers w:val="0"/>
              <w:spacing w:before="0" w:beforeAutospacing="0" w:after="0" w:afterAutospacing="0" w:line="240" w:lineRule="auto"/>
              <w:ind w:left="0" w:right="0" w:firstLine="0" w:firstLineChars="0"/>
              <w:jc w:val="center"/>
              <w:rPr>
                <w:rFonts w:hint="default"/>
                <w:snapToGrid w:val="0"/>
                <w:color w:val="auto"/>
                <w:highlight w:val="none"/>
              </w:rPr>
            </w:pPr>
            <w:r>
              <w:rPr>
                <w:rFonts w:hint="default"/>
                <w:snapToGrid w:val="0"/>
                <w:color w:val="auto"/>
                <w:highlight w:val="none"/>
              </w:rPr>
              <w:t>表2-</w:t>
            </w:r>
            <w:r>
              <w:rPr>
                <w:rFonts w:hint="eastAsia"/>
                <w:snapToGrid w:val="0"/>
                <w:color w:val="auto"/>
                <w:highlight w:val="none"/>
                <w:lang w:val="en-US" w:eastAsia="zh-CN"/>
              </w:rPr>
              <w:t>6</w:t>
            </w:r>
            <w:r>
              <w:rPr>
                <w:rFonts w:hint="default"/>
                <w:snapToGrid w:val="0"/>
                <w:color w:val="auto"/>
                <w:highlight w:val="none"/>
              </w:rPr>
              <w:t xml:space="preserve">    项目给排水核算情况一览表</w:t>
            </w:r>
          </w:p>
          <w:tbl>
            <w:tblPr>
              <w:tblStyle w:val="36"/>
              <w:tblW w:w="84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1"/>
              <w:gridCol w:w="705"/>
              <w:gridCol w:w="705"/>
              <w:gridCol w:w="752"/>
              <w:gridCol w:w="752"/>
              <w:gridCol w:w="752"/>
              <w:gridCol w:w="752"/>
              <w:gridCol w:w="752"/>
              <w:gridCol w:w="755"/>
              <w:gridCol w:w="1539"/>
            </w:tblGrid>
            <w:tr w14:paraId="7873A2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41" w:type="dxa"/>
                  <w:vMerge w:val="restart"/>
                  <w:vAlign w:val="center"/>
                </w:tcPr>
                <w:p w14:paraId="3877641C">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b w:val="0"/>
                      <w:bCs/>
                      <w:snapToGrid w:val="0"/>
                      <w:color w:val="auto"/>
                      <w:sz w:val="21"/>
                      <w:szCs w:val="21"/>
                      <w:highlight w:val="none"/>
                      <w:vertAlign w:val="baseline"/>
                      <w:lang w:eastAsia="zh-CN"/>
                    </w:rPr>
                  </w:pPr>
                  <w:r>
                    <w:rPr>
                      <w:rFonts w:hint="eastAsia"/>
                      <w:b w:val="0"/>
                      <w:bCs/>
                      <w:snapToGrid w:val="0"/>
                      <w:color w:val="auto"/>
                      <w:sz w:val="21"/>
                      <w:szCs w:val="21"/>
                      <w:highlight w:val="none"/>
                      <w:vertAlign w:val="baseline"/>
                      <w:lang w:eastAsia="zh-CN"/>
                    </w:rPr>
                    <w:t>类别</w:t>
                  </w:r>
                </w:p>
              </w:tc>
              <w:tc>
                <w:tcPr>
                  <w:tcW w:w="1410" w:type="dxa"/>
                  <w:gridSpan w:val="2"/>
                  <w:vAlign w:val="center"/>
                </w:tcPr>
                <w:p w14:paraId="2C0D4DBE">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b w:val="0"/>
                      <w:bCs/>
                      <w:snapToGrid w:val="0"/>
                      <w:color w:val="auto"/>
                      <w:sz w:val="21"/>
                      <w:szCs w:val="21"/>
                      <w:highlight w:val="none"/>
                      <w:vertAlign w:val="baseline"/>
                      <w:lang w:eastAsia="zh-CN"/>
                    </w:rPr>
                  </w:pPr>
                  <w:r>
                    <w:rPr>
                      <w:rFonts w:hint="eastAsia"/>
                      <w:b w:val="0"/>
                      <w:bCs/>
                      <w:snapToGrid w:val="0"/>
                      <w:color w:val="auto"/>
                      <w:sz w:val="21"/>
                      <w:szCs w:val="21"/>
                      <w:highlight w:val="none"/>
                      <w:vertAlign w:val="baseline"/>
                      <w:lang w:eastAsia="zh-CN"/>
                    </w:rPr>
                    <w:t>进水</w:t>
                  </w:r>
                </w:p>
              </w:tc>
              <w:tc>
                <w:tcPr>
                  <w:tcW w:w="4515" w:type="dxa"/>
                  <w:gridSpan w:val="6"/>
                  <w:vAlign w:val="center"/>
                </w:tcPr>
                <w:p w14:paraId="0E7CCA62">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b w:val="0"/>
                      <w:bCs/>
                      <w:snapToGrid w:val="0"/>
                      <w:color w:val="auto"/>
                      <w:sz w:val="21"/>
                      <w:szCs w:val="21"/>
                      <w:highlight w:val="none"/>
                      <w:vertAlign w:val="baseline"/>
                      <w:lang w:eastAsia="zh-CN"/>
                    </w:rPr>
                  </w:pPr>
                  <w:r>
                    <w:rPr>
                      <w:rFonts w:hint="eastAsia"/>
                      <w:b w:val="0"/>
                      <w:bCs/>
                      <w:snapToGrid w:val="0"/>
                      <w:color w:val="auto"/>
                      <w:sz w:val="21"/>
                      <w:szCs w:val="21"/>
                      <w:highlight w:val="none"/>
                      <w:vertAlign w:val="baseline"/>
                      <w:lang w:eastAsia="zh-CN"/>
                    </w:rPr>
                    <w:t>出水</w:t>
                  </w:r>
                </w:p>
              </w:tc>
              <w:tc>
                <w:tcPr>
                  <w:tcW w:w="1539" w:type="dxa"/>
                  <w:vMerge w:val="restart"/>
                  <w:vAlign w:val="center"/>
                </w:tcPr>
                <w:p w14:paraId="3213682E">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b w:val="0"/>
                      <w:bCs/>
                      <w:snapToGrid w:val="0"/>
                      <w:color w:val="auto"/>
                      <w:sz w:val="21"/>
                      <w:szCs w:val="21"/>
                      <w:highlight w:val="none"/>
                      <w:vertAlign w:val="baseline"/>
                      <w:lang w:eastAsia="zh-CN"/>
                    </w:rPr>
                  </w:pPr>
                  <w:r>
                    <w:rPr>
                      <w:rFonts w:hint="eastAsia"/>
                      <w:b w:val="0"/>
                      <w:bCs/>
                      <w:snapToGrid w:val="0"/>
                      <w:color w:val="auto"/>
                      <w:sz w:val="21"/>
                      <w:szCs w:val="21"/>
                      <w:highlight w:val="none"/>
                      <w:vertAlign w:val="baseline"/>
                      <w:lang w:eastAsia="zh-CN"/>
                    </w:rPr>
                    <w:t>去向</w:t>
                  </w:r>
                </w:p>
              </w:tc>
            </w:tr>
            <w:tr w14:paraId="32B15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941" w:type="dxa"/>
                  <w:vMerge w:val="continue"/>
                  <w:vAlign w:val="center"/>
                </w:tcPr>
                <w:p w14:paraId="18496D9D">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rPr>
                  </w:pPr>
                </w:p>
              </w:tc>
              <w:tc>
                <w:tcPr>
                  <w:tcW w:w="1410" w:type="dxa"/>
                  <w:gridSpan w:val="2"/>
                  <w:vAlign w:val="center"/>
                </w:tcPr>
                <w:p w14:paraId="42B04D4B">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b w:val="0"/>
                      <w:bCs/>
                      <w:snapToGrid w:val="0"/>
                      <w:color w:val="auto"/>
                      <w:sz w:val="21"/>
                      <w:szCs w:val="21"/>
                      <w:highlight w:val="none"/>
                      <w:vertAlign w:val="baseline"/>
                      <w:lang w:eastAsia="zh-CN"/>
                    </w:rPr>
                  </w:pPr>
                  <w:r>
                    <w:rPr>
                      <w:rFonts w:hint="eastAsia"/>
                      <w:b w:val="0"/>
                      <w:bCs/>
                      <w:snapToGrid w:val="0"/>
                      <w:color w:val="auto"/>
                      <w:sz w:val="21"/>
                      <w:szCs w:val="21"/>
                      <w:highlight w:val="none"/>
                      <w:vertAlign w:val="baseline"/>
                      <w:lang w:eastAsia="zh-CN"/>
                    </w:rPr>
                    <w:t>新鲜用水量</w:t>
                  </w:r>
                </w:p>
              </w:tc>
              <w:tc>
                <w:tcPr>
                  <w:tcW w:w="1504" w:type="dxa"/>
                  <w:gridSpan w:val="2"/>
                  <w:vAlign w:val="center"/>
                </w:tcPr>
                <w:p w14:paraId="2AB4A8CA">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b w:val="0"/>
                      <w:bCs/>
                      <w:snapToGrid w:val="0"/>
                      <w:color w:val="auto"/>
                      <w:sz w:val="21"/>
                      <w:szCs w:val="21"/>
                      <w:highlight w:val="none"/>
                      <w:vertAlign w:val="baseline"/>
                      <w:lang w:eastAsia="zh-CN"/>
                    </w:rPr>
                  </w:pPr>
                  <w:r>
                    <w:rPr>
                      <w:rFonts w:hint="eastAsia"/>
                      <w:b w:val="0"/>
                      <w:bCs/>
                      <w:snapToGrid w:val="0"/>
                      <w:color w:val="auto"/>
                      <w:sz w:val="21"/>
                      <w:szCs w:val="21"/>
                      <w:highlight w:val="none"/>
                      <w:vertAlign w:val="baseline"/>
                      <w:lang w:eastAsia="zh-CN"/>
                    </w:rPr>
                    <w:t>循环量</w:t>
                  </w:r>
                </w:p>
              </w:tc>
              <w:tc>
                <w:tcPr>
                  <w:tcW w:w="1504" w:type="dxa"/>
                  <w:gridSpan w:val="2"/>
                  <w:vAlign w:val="center"/>
                </w:tcPr>
                <w:p w14:paraId="32B1569B">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b w:val="0"/>
                      <w:bCs/>
                      <w:snapToGrid w:val="0"/>
                      <w:color w:val="auto"/>
                      <w:sz w:val="21"/>
                      <w:szCs w:val="21"/>
                      <w:highlight w:val="none"/>
                      <w:vertAlign w:val="baseline"/>
                      <w:lang w:eastAsia="zh-CN"/>
                    </w:rPr>
                  </w:pPr>
                  <w:r>
                    <w:rPr>
                      <w:rFonts w:hint="eastAsia"/>
                      <w:b w:val="0"/>
                      <w:bCs/>
                      <w:snapToGrid w:val="0"/>
                      <w:color w:val="auto"/>
                      <w:sz w:val="21"/>
                      <w:szCs w:val="21"/>
                      <w:highlight w:val="none"/>
                      <w:vertAlign w:val="baseline"/>
                      <w:lang w:eastAsia="zh-CN"/>
                    </w:rPr>
                    <w:t>损耗量</w:t>
                  </w:r>
                </w:p>
              </w:tc>
              <w:tc>
                <w:tcPr>
                  <w:tcW w:w="1507" w:type="dxa"/>
                  <w:gridSpan w:val="2"/>
                  <w:vAlign w:val="center"/>
                </w:tcPr>
                <w:p w14:paraId="2CEC7FF9">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b w:val="0"/>
                      <w:bCs/>
                      <w:snapToGrid w:val="0"/>
                      <w:color w:val="auto"/>
                      <w:sz w:val="21"/>
                      <w:szCs w:val="21"/>
                      <w:highlight w:val="none"/>
                      <w:vertAlign w:val="baseline"/>
                      <w:lang w:eastAsia="zh-CN"/>
                    </w:rPr>
                  </w:pPr>
                  <w:r>
                    <w:rPr>
                      <w:rFonts w:hint="eastAsia"/>
                      <w:b w:val="0"/>
                      <w:bCs/>
                      <w:snapToGrid w:val="0"/>
                      <w:color w:val="auto"/>
                      <w:sz w:val="21"/>
                      <w:szCs w:val="21"/>
                      <w:highlight w:val="none"/>
                      <w:vertAlign w:val="baseline"/>
                      <w:lang w:eastAsia="zh-CN"/>
                    </w:rPr>
                    <w:t>排水量</w:t>
                  </w:r>
                </w:p>
              </w:tc>
              <w:tc>
                <w:tcPr>
                  <w:tcW w:w="1539" w:type="dxa"/>
                  <w:vMerge w:val="continue"/>
                  <w:vAlign w:val="center"/>
                </w:tcPr>
                <w:p w14:paraId="6749BBCD">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rPr>
                  </w:pPr>
                </w:p>
              </w:tc>
            </w:tr>
            <w:tr w14:paraId="2DC04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941" w:type="dxa"/>
                  <w:vMerge w:val="continue"/>
                  <w:vAlign w:val="center"/>
                </w:tcPr>
                <w:p w14:paraId="04C9BE42">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rPr>
                  </w:pPr>
                </w:p>
              </w:tc>
              <w:tc>
                <w:tcPr>
                  <w:tcW w:w="705" w:type="dxa"/>
                  <w:vAlign w:val="center"/>
                </w:tcPr>
                <w:p w14:paraId="5B98EFC0">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m</w:t>
                  </w:r>
                  <w:r>
                    <w:rPr>
                      <w:rFonts w:hint="eastAsia"/>
                      <w:b w:val="0"/>
                      <w:bCs/>
                      <w:snapToGrid w:val="0"/>
                      <w:color w:val="auto"/>
                      <w:sz w:val="21"/>
                      <w:szCs w:val="21"/>
                      <w:highlight w:val="none"/>
                      <w:vertAlign w:val="superscript"/>
                      <w:lang w:val="en-US" w:eastAsia="zh-CN"/>
                    </w:rPr>
                    <w:t>3</w:t>
                  </w:r>
                  <w:r>
                    <w:rPr>
                      <w:rFonts w:hint="eastAsia"/>
                      <w:b w:val="0"/>
                      <w:bCs/>
                      <w:snapToGrid w:val="0"/>
                      <w:color w:val="auto"/>
                      <w:sz w:val="21"/>
                      <w:szCs w:val="21"/>
                      <w:highlight w:val="none"/>
                      <w:vertAlign w:val="baseline"/>
                      <w:lang w:val="en-US" w:eastAsia="zh-CN"/>
                    </w:rPr>
                    <w:t>/a</w:t>
                  </w:r>
                </w:p>
              </w:tc>
              <w:tc>
                <w:tcPr>
                  <w:tcW w:w="705" w:type="dxa"/>
                  <w:vAlign w:val="center"/>
                </w:tcPr>
                <w:p w14:paraId="37AB412C">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rPr>
                  </w:pPr>
                  <w:r>
                    <w:rPr>
                      <w:rFonts w:hint="eastAsia"/>
                      <w:b w:val="0"/>
                      <w:bCs/>
                      <w:snapToGrid w:val="0"/>
                      <w:color w:val="auto"/>
                      <w:sz w:val="21"/>
                      <w:szCs w:val="21"/>
                      <w:highlight w:val="none"/>
                      <w:vertAlign w:val="baseline"/>
                      <w:lang w:val="en-US" w:eastAsia="zh-CN"/>
                    </w:rPr>
                    <w:t>m</w:t>
                  </w:r>
                  <w:r>
                    <w:rPr>
                      <w:rFonts w:hint="eastAsia"/>
                      <w:b w:val="0"/>
                      <w:bCs/>
                      <w:snapToGrid w:val="0"/>
                      <w:color w:val="auto"/>
                      <w:sz w:val="21"/>
                      <w:szCs w:val="21"/>
                      <w:highlight w:val="none"/>
                      <w:vertAlign w:val="superscript"/>
                      <w:lang w:val="en-US" w:eastAsia="zh-CN"/>
                    </w:rPr>
                    <w:t>3</w:t>
                  </w:r>
                  <w:r>
                    <w:rPr>
                      <w:rFonts w:hint="eastAsia"/>
                      <w:b w:val="0"/>
                      <w:bCs/>
                      <w:snapToGrid w:val="0"/>
                      <w:color w:val="auto"/>
                      <w:sz w:val="21"/>
                      <w:szCs w:val="21"/>
                      <w:highlight w:val="none"/>
                      <w:vertAlign w:val="baseline"/>
                      <w:lang w:val="en-US" w:eastAsia="zh-CN"/>
                    </w:rPr>
                    <w:t>/d</w:t>
                  </w:r>
                </w:p>
              </w:tc>
              <w:tc>
                <w:tcPr>
                  <w:tcW w:w="752" w:type="dxa"/>
                  <w:shd w:val="clear" w:color="auto" w:fill="auto"/>
                  <w:vAlign w:val="center"/>
                </w:tcPr>
                <w:p w14:paraId="1248500A">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b w:val="0"/>
                      <w:bCs/>
                      <w:snapToGrid w:val="0"/>
                      <w:color w:val="auto"/>
                      <w:kern w:val="2"/>
                      <w:sz w:val="21"/>
                      <w:szCs w:val="21"/>
                      <w:highlight w:val="none"/>
                      <w:vertAlign w:val="baseline"/>
                      <w:lang w:val="en-US" w:eastAsia="zh-CN" w:bidi="ar-SA"/>
                    </w:rPr>
                  </w:pPr>
                  <w:r>
                    <w:rPr>
                      <w:rFonts w:hint="eastAsia"/>
                      <w:b w:val="0"/>
                      <w:bCs/>
                      <w:snapToGrid w:val="0"/>
                      <w:color w:val="auto"/>
                      <w:sz w:val="21"/>
                      <w:szCs w:val="21"/>
                      <w:highlight w:val="none"/>
                      <w:vertAlign w:val="baseline"/>
                      <w:lang w:val="en-US" w:eastAsia="zh-CN"/>
                    </w:rPr>
                    <w:t>m</w:t>
                  </w:r>
                  <w:r>
                    <w:rPr>
                      <w:rFonts w:hint="eastAsia"/>
                      <w:b w:val="0"/>
                      <w:bCs/>
                      <w:snapToGrid w:val="0"/>
                      <w:color w:val="auto"/>
                      <w:sz w:val="21"/>
                      <w:szCs w:val="21"/>
                      <w:highlight w:val="none"/>
                      <w:vertAlign w:val="superscript"/>
                      <w:lang w:val="en-US" w:eastAsia="zh-CN"/>
                    </w:rPr>
                    <w:t>3</w:t>
                  </w:r>
                  <w:r>
                    <w:rPr>
                      <w:rFonts w:hint="eastAsia"/>
                      <w:b w:val="0"/>
                      <w:bCs/>
                      <w:snapToGrid w:val="0"/>
                      <w:color w:val="auto"/>
                      <w:sz w:val="21"/>
                      <w:szCs w:val="21"/>
                      <w:highlight w:val="none"/>
                      <w:vertAlign w:val="baseline"/>
                      <w:lang w:val="en-US" w:eastAsia="zh-CN"/>
                    </w:rPr>
                    <w:t>/a</w:t>
                  </w:r>
                </w:p>
              </w:tc>
              <w:tc>
                <w:tcPr>
                  <w:tcW w:w="752" w:type="dxa"/>
                  <w:shd w:val="clear" w:color="auto" w:fill="auto"/>
                  <w:vAlign w:val="center"/>
                </w:tcPr>
                <w:p w14:paraId="79CB6CC7">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b w:val="0"/>
                      <w:bCs/>
                      <w:snapToGrid w:val="0"/>
                      <w:color w:val="auto"/>
                      <w:kern w:val="2"/>
                      <w:sz w:val="21"/>
                      <w:szCs w:val="21"/>
                      <w:highlight w:val="none"/>
                      <w:vertAlign w:val="baseline"/>
                      <w:lang w:val="en-US" w:eastAsia="zh-CN" w:bidi="ar-SA"/>
                    </w:rPr>
                  </w:pPr>
                  <w:r>
                    <w:rPr>
                      <w:rFonts w:hint="eastAsia"/>
                      <w:b w:val="0"/>
                      <w:bCs/>
                      <w:snapToGrid w:val="0"/>
                      <w:color w:val="auto"/>
                      <w:sz w:val="21"/>
                      <w:szCs w:val="21"/>
                      <w:highlight w:val="none"/>
                      <w:vertAlign w:val="baseline"/>
                      <w:lang w:val="en-US" w:eastAsia="zh-CN"/>
                    </w:rPr>
                    <w:t>m</w:t>
                  </w:r>
                  <w:r>
                    <w:rPr>
                      <w:rFonts w:hint="eastAsia"/>
                      <w:b w:val="0"/>
                      <w:bCs/>
                      <w:snapToGrid w:val="0"/>
                      <w:color w:val="auto"/>
                      <w:sz w:val="21"/>
                      <w:szCs w:val="21"/>
                      <w:highlight w:val="none"/>
                      <w:vertAlign w:val="superscript"/>
                      <w:lang w:val="en-US" w:eastAsia="zh-CN"/>
                    </w:rPr>
                    <w:t>3</w:t>
                  </w:r>
                  <w:r>
                    <w:rPr>
                      <w:rFonts w:hint="eastAsia"/>
                      <w:b w:val="0"/>
                      <w:bCs/>
                      <w:snapToGrid w:val="0"/>
                      <w:color w:val="auto"/>
                      <w:sz w:val="21"/>
                      <w:szCs w:val="21"/>
                      <w:highlight w:val="none"/>
                      <w:vertAlign w:val="baseline"/>
                      <w:lang w:val="en-US" w:eastAsia="zh-CN"/>
                    </w:rPr>
                    <w:t>/d</w:t>
                  </w:r>
                </w:p>
              </w:tc>
              <w:tc>
                <w:tcPr>
                  <w:tcW w:w="752" w:type="dxa"/>
                  <w:vAlign w:val="center"/>
                </w:tcPr>
                <w:p w14:paraId="4C22A085">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firstLine="0" w:firstLineChars="0"/>
                    <w:jc w:val="center"/>
                    <w:textAlignment w:val="auto"/>
                    <w:rPr>
                      <w:rFonts w:hint="eastAsia"/>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m</w:t>
                  </w:r>
                  <w:r>
                    <w:rPr>
                      <w:rFonts w:hint="eastAsia"/>
                      <w:b w:val="0"/>
                      <w:bCs/>
                      <w:snapToGrid w:val="0"/>
                      <w:color w:val="auto"/>
                      <w:sz w:val="21"/>
                      <w:szCs w:val="21"/>
                      <w:highlight w:val="none"/>
                      <w:vertAlign w:val="superscript"/>
                      <w:lang w:val="en-US" w:eastAsia="zh-CN"/>
                    </w:rPr>
                    <w:t>3</w:t>
                  </w:r>
                  <w:r>
                    <w:rPr>
                      <w:rFonts w:hint="eastAsia"/>
                      <w:b w:val="0"/>
                      <w:bCs/>
                      <w:snapToGrid w:val="0"/>
                      <w:color w:val="auto"/>
                      <w:sz w:val="21"/>
                      <w:szCs w:val="21"/>
                      <w:highlight w:val="none"/>
                      <w:vertAlign w:val="baseline"/>
                      <w:lang w:val="en-US" w:eastAsia="zh-CN"/>
                    </w:rPr>
                    <w:t>/a</w:t>
                  </w:r>
                </w:p>
              </w:tc>
              <w:tc>
                <w:tcPr>
                  <w:tcW w:w="752" w:type="dxa"/>
                  <w:vAlign w:val="center"/>
                </w:tcPr>
                <w:p w14:paraId="422FF9E6">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firstLine="0" w:firstLineChars="0"/>
                    <w:jc w:val="center"/>
                    <w:textAlignment w:val="auto"/>
                    <w:rPr>
                      <w:rFonts w:hint="default"/>
                      <w:b w:val="0"/>
                      <w:bCs/>
                      <w:snapToGrid w:val="0"/>
                      <w:color w:val="auto"/>
                      <w:sz w:val="21"/>
                      <w:szCs w:val="21"/>
                      <w:highlight w:val="none"/>
                      <w:vertAlign w:val="baseline"/>
                    </w:rPr>
                  </w:pPr>
                  <w:r>
                    <w:rPr>
                      <w:rFonts w:hint="eastAsia"/>
                      <w:b w:val="0"/>
                      <w:bCs/>
                      <w:snapToGrid w:val="0"/>
                      <w:color w:val="auto"/>
                      <w:sz w:val="21"/>
                      <w:szCs w:val="21"/>
                      <w:highlight w:val="none"/>
                      <w:vertAlign w:val="baseline"/>
                      <w:lang w:val="en-US" w:eastAsia="zh-CN"/>
                    </w:rPr>
                    <w:t>m</w:t>
                  </w:r>
                  <w:r>
                    <w:rPr>
                      <w:rFonts w:hint="eastAsia"/>
                      <w:b w:val="0"/>
                      <w:bCs/>
                      <w:snapToGrid w:val="0"/>
                      <w:color w:val="auto"/>
                      <w:sz w:val="21"/>
                      <w:szCs w:val="21"/>
                      <w:highlight w:val="none"/>
                      <w:vertAlign w:val="superscript"/>
                      <w:lang w:val="en-US" w:eastAsia="zh-CN"/>
                    </w:rPr>
                    <w:t>3</w:t>
                  </w:r>
                  <w:r>
                    <w:rPr>
                      <w:rFonts w:hint="eastAsia"/>
                      <w:b w:val="0"/>
                      <w:bCs/>
                      <w:snapToGrid w:val="0"/>
                      <w:color w:val="auto"/>
                      <w:sz w:val="21"/>
                      <w:szCs w:val="21"/>
                      <w:highlight w:val="none"/>
                      <w:vertAlign w:val="baseline"/>
                      <w:lang w:val="en-US" w:eastAsia="zh-CN"/>
                    </w:rPr>
                    <w:t>/d</w:t>
                  </w:r>
                </w:p>
              </w:tc>
              <w:tc>
                <w:tcPr>
                  <w:tcW w:w="752" w:type="dxa"/>
                  <w:vAlign w:val="center"/>
                </w:tcPr>
                <w:p w14:paraId="70BF3C20">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firstLine="0" w:firstLineChars="0"/>
                    <w:jc w:val="center"/>
                    <w:textAlignment w:val="auto"/>
                    <w:rPr>
                      <w:rFonts w:hint="default"/>
                      <w:b w:val="0"/>
                      <w:bCs/>
                      <w:snapToGrid w:val="0"/>
                      <w:color w:val="auto"/>
                      <w:sz w:val="21"/>
                      <w:szCs w:val="21"/>
                      <w:highlight w:val="none"/>
                      <w:vertAlign w:val="baseline"/>
                    </w:rPr>
                  </w:pPr>
                  <w:r>
                    <w:rPr>
                      <w:rFonts w:hint="eastAsia"/>
                      <w:b w:val="0"/>
                      <w:bCs/>
                      <w:snapToGrid w:val="0"/>
                      <w:color w:val="auto"/>
                      <w:sz w:val="21"/>
                      <w:szCs w:val="21"/>
                      <w:highlight w:val="none"/>
                      <w:vertAlign w:val="baseline"/>
                      <w:lang w:val="en-US" w:eastAsia="zh-CN"/>
                    </w:rPr>
                    <w:t>m</w:t>
                  </w:r>
                  <w:r>
                    <w:rPr>
                      <w:rFonts w:hint="eastAsia"/>
                      <w:b w:val="0"/>
                      <w:bCs/>
                      <w:snapToGrid w:val="0"/>
                      <w:color w:val="auto"/>
                      <w:sz w:val="21"/>
                      <w:szCs w:val="21"/>
                      <w:highlight w:val="none"/>
                      <w:vertAlign w:val="superscript"/>
                      <w:lang w:val="en-US" w:eastAsia="zh-CN"/>
                    </w:rPr>
                    <w:t>3</w:t>
                  </w:r>
                  <w:r>
                    <w:rPr>
                      <w:rFonts w:hint="eastAsia"/>
                      <w:b w:val="0"/>
                      <w:bCs/>
                      <w:snapToGrid w:val="0"/>
                      <w:color w:val="auto"/>
                      <w:sz w:val="21"/>
                      <w:szCs w:val="21"/>
                      <w:highlight w:val="none"/>
                      <w:vertAlign w:val="baseline"/>
                      <w:lang w:val="en-US" w:eastAsia="zh-CN"/>
                    </w:rPr>
                    <w:t>/a</w:t>
                  </w:r>
                </w:p>
              </w:tc>
              <w:tc>
                <w:tcPr>
                  <w:tcW w:w="755" w:type="dxa"/>
                  <w:vAlign w:val="center"/>
                </w:tcPr>
                <w:p w14:paraId="07ED6962">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firstLine="0" w:firstLineChars="0"/>
                    <w:jc w:val="center"/>
                    <w:textAlignment w:val="auto"/>
                    <w:rPr>
                      <w:rFonts w:hint="default"/>
                      <w:b w:val="0"/>
                      <w:bCs/>
                      <w:snapToGrid w:val="0"/>
                      <w:color w:val="auto"/>
                      <w:sz w:val="21"/>
                      <w:szCs w:val="21"/>
                      <w:highlight w:val="none"/>
                      <w:vertAlign w:val="baseline"/>
                    </w:rPr>
                  </w:pPr>
                  <w:r>
                    <w:rPr>
                      <w:rFonts w:hint="eastAsia"/>
                      <w:b w:val="0"/>
                      <w:bCs/>
                      <w:snapToGrid w:val="0"/>
                      <w:color w:val="auto"/>
                      <w:sz w:val="21"/>
                      <w:szCs w:val="21"/>
                      <w:highlight w:val="none"/>
                      <w:vertAlign w:val="baseline"/>
                      <w:lang w:val="en-US" w:eastAsia="zh-CN"/>
                    </w:rPr>
                    <w:t>m</w:t>
                  </w:r>
                  <w:r>
                    <w:rPr>
                      <w:rFonts w:hint="eastAsia"/>
                      <w:b w:val="0"/>
                      <w:bCs/>
                      <w:snapToGrid w:val="0"/>
                      <w:color w:val="auto"/>
                      <w:sz w:val="21"/>
                      <w:szCs w:val="21"/>
                      <w:highlight w:val="none"/>
                      <w:vertAlign w:val="superscript"/>
                      <w:lang w:val="en-US" w:eastAsia="zh-CN"/>
                    </w:rPr>
                    <w:t>3</w:t>
                  </w:r>
                  <w:r>
                    <w:rPr>
                      <w:rFonts w:hint="eastAsia"/>
                      <w:b w:val="0"/>
                      <w:bCs/>
                      <w:snapToGrid w:val="0"/>
                      <w:color w:val="auto"/>
                      <w:sz w:val="21"/>
                      <w:szCs w:val="21"/>
                      <w:highlight w:val="none"/>
                      <w:vertAlign w:val="baseline"/>
                      <w:lang w:val="en-US" w:eastAsia="zh-CN"/>
                    </w:rPr>
                    <w:t>/d</w:t>
                  </w:r>
                </w:p>
              </w:tc>
              <w:tc>
                <w:tcPr>
                  <w:tcW w:w="1539" w:type="dxa"/>
                  <w:vMerge w:val="continue"/>
                  <w:vAlign w:val="center"/>
                </w:tcPr>
                <w:p w14:paraId="32337B08">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rPr>
                  </w:pPr>
                </w:p>
              </w:tc>
            </w:tr>
            <w:tr w14:paraId="58F84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941" w:type="dxa"/>
                  <w:vAlign w:val="center"/>
                </w:tcPr>
                <w:p w14:paraId="633A2AB9">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b w:val="0"/>
                      <w:bCs/>
                      <w:snapToGrid w:val="0"/>
                      <w:color w:val="auto"/>
                      <w:sz w:val="21"/>
                      <w:szCs w:val="21"/>
                      <w:highlight w:val="none"/>
                      <w:vertAlign w:val="baseline"/>
                      <w:lang w:eastAsia="zh-CN"/>
                    </w:rPr>
                  </w:pPr>
                  <w:r>
                    <w:rPr>
                      <w:rFonts w:hint="eastAsia"/>
                      <w:b w:val="0"/>
                      <w:bCs/>
                      <w:snapToGrid w:val="0"/>
                      <w:color w:val="auto"/>
                      <w:sz w:val="21"/>
                      <w:szCs w:val="21"/>
                      <w:highlight w:val="none"/>
                      <w:vertAlign w:val="baseline"/>
                      <w:lang w:eastAsia="zh-CN"/>
                    </w:rPr>
                    <w:t>生活污水</w:t>
                  </w:r>
                </w:p>
              </w:tc>
              <w:tc>
                <w:tcPr>
                  <w:tcW w:w="705" w:type="dxa"/>
                  <w:vAlign w:val="center"/>
                </w:tcPr>
                <w:p w14:paraId="5EA47FD6">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564</w:t>
                  </w:r>
                </w:p>
              </w:tc>
              <w:tc>
                <w:tcPr>
                  <w:tcW w:w="705" w:type="dxa"/>
                  <w:vAlign w:val="center"/>
                </w:tcPr>
                <w:p w14:paraId="0FB13E98">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1.88</w:t>
                  </w:r>
                </w:p>
              </w:tc>
              <w:tc>
                <w:tcPr>
                  <w:tcW w:w="752" w:type="dxa"/>
                  <w:vAlign w:val="center"/>
                </w:tcPr>
                <w:p w14:paraId="59A16516">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w:t>
                  </w:r>
                </w:p>
              </w:tc>
              <w:tc>
                <w:tcPr>
                  <w:tcW w:w="752" w:type="dxa"/>
                  <w:vAlign w:val="center"/>
                </w:tcPr>
                <w:p w14:paraId="2722FC92">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w:t>
                  </w:r>
                </w:p>
              </w:tc>
              <w:tc>
                <w:tcPr>
                  <w:tcW w:w="752" w:type="dxa"/>
                  <w:vAlign w:val="center"/>
                </w:tcPr>
                <w:p w14:paraId="27912D01">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112.8</w:t>
                  </w:r>
                </w:p>
              </w:tc>
              <w:tc>
                <w:tcPr>
                  <w:tcW w:w="752" w:type="dxa"/>
                  <w:vAlign w:val="center"/>
                </w:tcPr>
                <w:p w14:paraId="24B85C8F">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0.376</w:t>
                  </w:r>
                </w:p>
              </w:tc>
              <w:tc>
                <w:tcPr>
                  <w:tcW w:w="752" w:type="dxa"/>
                  <w:vAlign w:val="center"/>
                </w:tcPr>
                <w:p w14:paraId="52300F5F">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451.2</w:t>
                  </w:r>
                </w:p>
              </w:tc>
              <w:tc>
                <w:tcPr>
                  <w:tcW w:w="755" w:type="dxa"/>
                  <w:vAlign w:val="center"/>
                </w:tcPr>
                <w:p w14:paraId="3EE20813">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1.504</w:t>
                  </w:r>
                </w:p>
              </w:tc>
              <w:tc>
                <w:tcPr>
                  <w:tcW w:w="1539" w:type="dxa"/>
                  <w:vAlign w:val="center"/>
                </w:tcPr>
                <w:p w14:paraId="4EC55FA0">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b w:val="0"/>
                      <w:bCs/>
                      <w:snapToGrid w:val="0"/>
                      <w:color w:val="auto"/>
                      <w:sz w:val="21"/>
                      <w:szCs w:val="21"/>
                      <w:highlight w:val="none"/>
                      <w:vertAlign w:val="baseline"/>
                      <w:lang w:eastAsia="zh-CN"/>
                    </w:rPr>
                  </w:pPr>
                  <w:r>
                    <w:rPr>
                      <w:rFonts w:hint="eastAsia"/>
                      <w:b w:val="0"/>
                      <w:bCs/>
                      <w:snapToGrid w:val="0"/>
                      <w:color w:val="auto"/>
                      <w:sz w:val="21"/>
                      <w:szCs w:val="21"/>
                      <w:highlight w:val="none"/>
                      <w:vertAlign w:val="baseline"/>
                      <w:lang w:val="en-US" w:eastAsia="zh-CN"/>
                    </w:rPr>
                    <w:t>秦皇岛市第三</w:t>
                  </w:r>
                  <w:r>
                    <w:rPr>
                      <w:rFonts w:hint="eastAsia"/>
                      <w:b w:val="0"/>
                      <w:bCs/>
                      <w:snapToGrid w:val="0"/>
                      <w:color w:val="auto"/>
                      <w:sz w:val="21"/>
                      <w:szCs w:val="21"/>
                      <w:highlight w:val="none"/>
                      <w:vertAlign w:val="baseline"/>
                      <w:lang w:eastAsia="zh-CN"/>
                    </w:rPr>
                    <w:t>污水处理厂</w:t>
                  </w:r>
                </w:p>
              </w:tc>
            </w:tr>
            <w:tr w14:paraId="30440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41" w:type="dxa"/>
                  <w:vAlign w:val="center"/>
                </w:tcPr>
                <w:p w14:paraId="49072611">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b w:val="0"/>
                      <w:bCs/>
                      <w:snapToGrid w:val="0"/>
                      <w:color w:val="auto"/>
                      <w:sz w:val="21"/>
                      <w:szCs w:val="21"/>
                      <w:highlight w:val="none"/>
                      <w:vertAlign w:val="baseline"/>
                      <w:lang w:eastAsia="zh-CN"/>
                    </w:rPr>
                  </w:pPr>
                  <w:r>
                    <w:rPr>
                      <w:rFonts w:hint="eastAsia"/>
                      <w:b w:val="0"/>
                      <w:bCs/>
                      <w:snapToGrid w:val="0"/>
                      <w:color w:val="auto"/>
                      <w:sz w:val="21"/>
                      <w:szCs w:val="21"/>
                      <w:highlight w:val="none"/>
                      <w:vertAlign w:val="baseline"/>
                      <w:lang w:eastAsia="zh-CN"/>
                    </w:rPr>
                    <w:t>除尘废水</w:t>
                  </w:r>
                </w:p>
              </w:tc>
              <w:tc>
                <w:tcPr>
                  <w:tcW w:w="705" w:type="dxa"/>
                  <w:vAlign w:val="center"/>
                </w:tcPr>
                <w:p w14:paraId="6E1B94EB">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90</w:t>
                  </w:r>
                </w:p>
              </w:tc>
              <w:tc>
                <w:tcPr>
                  <w:tcW w:w="705" w:type="dxa"/>
                  <w:vAlign w:val="center"/>
                </w:tcPr>
                <w:p w14:paraId="2A1246A0">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0.3</w:t>
                  </w:r>
                </w:p>
              </w:tc>
              <w:tc>
                <w:tcPr>
                  <w:tcW w:w="752" w:type="dxa"/>
                  <w:vAlign w:val="center"/>
                </w:tcPr>
                <w:p w14:paraId="26194ABD">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1200</w:t>
                  </w:r>
                </w:p>
              </w:tc>
              <w:tc>
                <w:tcPr>
                  <w:tcW w:w="752" w:type="dxa"/>
                  <w:vAlign w:val="center"/>
                </w:tcPr>
                <w:p w14:paraId="6780C0DE">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4</w:t>
                  </w:r>
                </w:p>
              </w:tc>
              <w:tc>
                <w:tcPr>
                  <w:tcW w:w="752" w:type="dxa"/>
                  <w:vAlign w:val="center"/>
                </w:tcPr>
                <w:p w14:paraId="20F08744">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90</w:t>
                  </w:r>
                </w:p>
              </w:tc>
              <w:tc>
                <w:tcPr>
                  <w:tcW w:w="752" w:type="dxa"/>
                  <w:vAlign w:val="center"/>
                </w:tcPr>
                <w:p w14:paraId="01D20902">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0.3</w:t>
                  </w:r>
                </w:p>
              </w:tc>
              <w:tc>
                <w:tcPr>
                  <w:tcW w:w="752" w:type="dxa"/>
                  <w:vAlign w:val="center"/>
                </w:tcPr>
                <w:p w14:paraId="60985533">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w:t>
                  </w:r>
                </w:p>
              </w:tc>
              <w:tc>
                <w:tcPr>
                  <w:tcW w:w="755" w:type="dxa"/>
                  <w:vAlign w:val="center"/>
                </w:tcPr>
                <w:p w14:paraId="5D9C9D93">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w:t>
                  </w:r>
                </w:p>
              </w:tc>
              <w:tc>
                <w:tcPr>
                  <w:tcW w:w="1539" w:type="dxa"/>
                  <w:vAlign w:val="center"/>
                </w:tcPr>
                <w:p w14:paraId="2DD7E109">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w:t>
                  </w:r>
                </w:p>
              </w:tc>
            </w:tr>
            <w:tr w14:paraId="5EACC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41" w:type="dxa"/>
                  <w:vAlign w:val="center"/>
                </w:tcPr>
                <w:p w14:paraId="199E110E">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水磨机</w:t>
                  </w:r>
                </w:p>
              </w:tc>
              <w:tc>
                <w:tcPr>
                  <w:tcW w:w="705" w:type="dxa"/>
                  <w:vAlign w:val="center"/>
                </w:tcPr>
                <w:p w14:paraId="080AAF5C">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150</w:t>
                  </w:r>
                </w:p>
              </w:tc>
              <w:tc>
                <w:tcPr>
                  <w:tcW w:w="705" w:type="dxa"/>
                  <w:vAlign w:val="center"/>
                </w:tcPr>
                <w:p w14:paraId="795F47E4">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0.5</w:t>
                  </w:r>
                </w:p>
              </w:tc>
              <w:tc>
                <w:tcPr>
                  <w:tcW w:w="752" w:type="dxa"/>
                  <w:vAlign w:val="center"/>
                </w:tcPr>
                <w:p w14:paraId="4857BF13">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8850</w:t>
                  </w:r>
                </w:p>
              </w:tc>
              <w:tc>
                <w:tcPr>
                  <w:tcW w:w="752" w:type="dxa"/>
                  <w:vAlign w:val="center"/>
                </w:tcPr>
                <w:p w14:paraId="51FF677A">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29.5</w:t>
                  </w:r>
                </w:p>
              </w:tc>
              <w:tc>
                <w:tcPr>
                  <w:tcW w:w="752" w:type="dxa"/>
                  <w:vAlign w:val="center"/>
                </w:tcPr>
                <w:p w14:paraId="61566447">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150</w:t>
                  </w:r>
                </w:p>
              </w:tc>
              <w:tc>
                <w:tcPr>
                  <w:tcW w:w="752" w:type="dxa"/>
                  <w:vAlign w:val="center"/>
                </w:tcPr>
                <w:p w14:paraId="19DC5AF0">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0.5</w:t>
                  </w:r>
                </w:p>
              </w:tc>
              <w:tc>
                <w:tcPr>
                  <w:tcW w:w="752" w:type="dxa"/>
                  <w:vAlign w:val="center"/>
                </w:tcPr>
                <w:p w14:paraId="2E6D1FBB">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w:t>
                  </w:r>
                </w:p>
              </w:tc>
              <w:tc>
                <w:tcPr>
                  <w:tcW w:w="755" w:type="dxa"/>
                  <w:vAlign w:val="center"/>
                </w:tcPr>
                <w:p w14:paraId="19179268">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w:t>
                  </w:r>
                </w:p>
              </w:tc>
              <w:tc>
                <w:tcPr>
                  <w:tcW w:w="1539" w:type="dxa"/>
                  <w:vAlign w:val="center"/>
                </w:tcPr>
                <w:p w14:paraId="5333E89B">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三级沉淀池</w:t>
                  </w:r>
                </w:p>
              </w:tc>
            </w:tr>
            <w:tr w14:paraId="0D9D3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41" w:type="dxa"/>
                  <w:vAlign w:val="center"/>
                </w:tcPr>
                <w:p w14:paraId="54040CEB">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破乳剂、絮凝剂配制用水</w:t>
                  </w:r>
                </w:p>
              </w:tc>
              <w:tc>
                <w:tcPr>
                  <w:tcW w:w="705" w:type="dxa"/>
                  <w:vAlign w:val="center"/>
                </w:tcPr>
                <w:p w14:paraId="583EA27B">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0.0000015</w:t>
                  </w:r>
                </w:p>
              </w:tc>
              <w:tc>
                <w:tcPr>
                  <w:tcW w:w="705" w:type="dxa"/>
                  <w:vAlign w:val="center"/>
                </w:tcPr>
                <w:p w14:paraId="48DCDD24">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0.00045</w:t>
                  </w:r>
                </w:p>
              </w:tc>
              <w:tc>
                <w:tcPr>
                  <w:tcW w:w="752" w:type="dxa"/>
                  <w:vAlign w:val="center"/>
                </w:tcPr>
                <w:p w14:paraId="2B8B17B0">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w:t>
                  </w:r>
                </w:p>
              </w:tc>
              <w:tc>
                <w:tcPr>
                  <w:tcW w:w="752" w:type="dxa"/>
                  <w:vAlign w:val="center"/>
                </w:tcPr>
                <w:p w14:paraId="019A200F">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w:t>
                  </w:r>
                </w:p>
              </w:tc>
              <w:tc>
                <w:tcPr>
                  <w:tcW w:w="752" w:type="dxa"/>
                  <w:vAlign w:val="center"/>
                </w:tcPr>
                <w:p w14:paraId="2E5645F9">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w:t>
                  </w:r>
                </w:p>
              </w:tc>
              <w:tc>
                <w:tcPr>
                  <w:tcW w:w="752" w:type="dxa"/>
                  <w:vAlign w:val="center"/>
                </w:tcPr>
                <w:p w14:paraId="3DB4126D">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w:t>
                  </w:r>
                </w:p>
              </w:tc>
              <w:tc>
                <w:tcPr>
                  <w:tcW w:w="752" w:type="dxa"/>
                  <w:vAlign w:val="center"/>
                </w:tcPr>
                <w:p w14:paraId="76B47CF9">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0.0000015</w:t>
                  </w:r>
                </w:p>
              </w:tc>
              <w:tc>
                <w:tcPr>
                  <w:tcW w:w="755" w:type="dxa"/>
                  <w:vAlign w:val="center"/>
                </w:tcPr>
                <w:p w14:paraId="696570EF">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0.00045</w:t>
                  </w:r>
                </w:p>
              </w:tc>
              <w:tc>
                <w:tcPr>
                  <w:tcW w:w="1539" w:type="dxa"/>
                  <w:vAlign w:val="center"/>
                </w:tcPr>
                <w:p w14:paraId="51720C59">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最终排入秦皇岛市第三</w:t>
                  </w:r>
                  <w:r>
                    <w:rPr>
                      <w:rFonts w:hint="eastAsia"/>
                      <w:b w:val="0"/>
                      <w:bCs/>
                      <w:snapToGrid w:val="0"/>
                      <w:color w:val="auto"/>
                      <w:sz w:val="21"/>
                      <w:szCs w:val="21"/>
                      <w:highlight w:val="none"/>
                      <w:vertAlign w:val="baseline"/>
                      <w:lang w:eastAsia="zh-CN"/>
                    </w:rPr>
                    <w:t>污水处理厂</w:t>
                  </w:r>
                </w:p>
              </w:tc>
            </w:tr>
            <w:tr w14:paraId="5B74B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41" w:type="dxa"/>
                  <w:vAlign w:val="center"/>
                </w:tcPr>
                <w:p w14:paraId="1CC82CE2">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b w:val="0"/>
                      <w:bCs/>
                      <w:snapToGrid w:val="0"/>
                      <w:color w:val="auto"/>
                      <w:sz w:val="21"/>
                      <w:szCs w:val="21"/>
                      <w:highlight w:val="none"/>
                      <w:vertAlign w:val="baseline"/>
                      <w:lang w:eastAsia="zh-CN"/>
                    </w:rPr>
                  </w:pPr>
                  <w:r>
                    <w:rPr>
                      <w:rFonts w:hint="eastAsia"/>
                      <w:b w:val="0"/>
                      <w:bCs/>
                      <w:snapToGrid w:val="0"/>
                      <w:color w:val="auto"/>
                      <w:sz w:val="21"/>
                      <w:szCs w:val="21"/>
                      <w:highlight w:val="none"/>
                      <w:vertAlign w:val="baseline"/>
                      <w:lang w:eastAsia="zh-CN"/>
                    </w:rPr>
                    <w:t>清洗废水</w:t>
                  </w:r>
                </w:p>
              </w:tc>
              <w:tc>
                <w:tcPr>
                  <w:tcW w:w="705" w:type="dxa"/>
                  <w:vAlign w:val="center"/>
                </w:tcPr>
                <w:p w14:paraId="0358D625">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360</w:t>
                  </w:r>
                </w:p>
              </w:tc>
              <w:tc>
                <w:tcPr>
                  <w:tcW w:w="705" w:type="dxa"/>
                  <w:vAlign w:val="center"/>
                </w:tcPr>
                <w:p w14:paraId="0D9DEAA4">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1.2</w:t>
                  </w:r>
                </w:p>
              </w:tc>
              <w:tc>
                <w:tcPr>
                  <w:tcW w:w="752" w:type="dxa"/>
                  <w:vAlign w:val="center"/>
                </w:tcPr>
                <w:p w14:paraId="4EF501ED">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w:t>
                  </w:r>
                </w:p>
              </w:tc>
              <w:tc>
                <w:tcPr>
                  <w:tcW w:w="752" w:type="dxa"/>
                  <w:vAlign w:val="center"/>
                </w:tcPr>
                <w:p w14:paraId="547AB76D">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w:t>
                  </w:r>
                </w:p>
              </w:tc>
              <w:tc>
                <w:tcPr>
                  <w:tcW w:w="752" w:type="dxa"/>
                  <w:vAlign w:val="center"/>
                </w:tcPr>
                <w:p w14:paraId="148D9F82">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30</w:t>
                  </w:r>
                </w:p>
              </w:tc>
              <w:tc>
                <w:tcPr>
                  <w:tcW w:w="752" w:type="dxa"/>
                  <w:vAlign w:val="center"/>
                </w:tcPr>
                <w:p w14:paraId="698290C6">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0.1</w:t>
                  </w:r>
                </w:p>
              </w:tc>
              <w:tc>
                <w:tcPr>
                  <w:tcW w:w="752" w:type="dxa"/>
                  <w:vAlign w:val="center"/>
                </w:tcPr>
                <w:p w14:paraId="29DF9BAF">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330</w:t>
                  </w:r>
                </w:p>
              </w:tc>
              <w:tc>
                <w:tcPr>
                  <w:tcW w:w="755" w:type="dxa"/>
                  <w:vAlign w:val="center"/>
                </w:tcPr>
                <w:p w14:paraId="64A65220">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1.1</w:t>
                  </w:r>
                </w:p>
              </w:tc>
              <w:tc>
                <w:tcPr>
                  <w:tcW w:w="1539" w:type="dxa"/>
                  <w:vAlign w:val="center"/>
                </w:tcPr>
                <w:p w14:paraId="2F4600C2">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b w:val="0"/>
                      <w:bCs/>
                      <w:snapToGrid w:val="0"/>
                      <w:color w:val="auto"/>
                      <w:sz w:val="21"/>
                      <w:szCs w:val="21"/>
                      <w:highlight w:val="none"/>
                      <w:vertAlign w:val="baseline"/>
                      <w:lang w:eastAsia="zh-CN"/>
                    </w:rPr>
                  </w:pPr>
                  <w:r>
                    <w:rPr>
                      <w:rFonts w:hint="eastAsia"/>
                      <w:b w:val="0"/>
                      <w:bCs/>
                      <w:snapToGrid w:val="0"/>
                      <w:color w:val="auto"/>
                      <w:sz w:val="21"/>
                      <w:szCs w:val="21"/>
                      <w:highlight w:val="none"/>
                      <w:vertAlign w:val="baseline"/>
                      <w:lang w:val="en-US" w:eastAsia="zh-CN"/>
                    </w:rPr>
                    <w:t>秦皇岛市第三</w:t>
                  </w:r>
                  <w:r>
                    <w:rPr>
                      <w:rFonts w:hint="eastAsia"/>
                      <w:b w:val="0"/>
                      <w:bCs/>
                      <w:snapToGrid w:val="0"/>
                      <w:color w:val="auto"/>
                      <w:sz w:val="21"/>
                      <w:szCs w:val="21"/>
                      <w:highlight w:val="none"/>
                      <w:vertAlign w:val="baseline"/>
                      <w:lang w:eastAsia="zh-CN"/>
                    </w:rPr>
                    <w:t>污水处理厂</w:t>
                  </w:r>
                </w:p>
              </w:tc>
            </w:tr>
            <w:tr w14:paraId="6FCB5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41" w:type="dxa"/>
                  <w:vAlign w:val="center"/>
                </w:tcPr>
                <w:p w14:paraId="73C88F64">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合计</w:t>
                  </w:r>
                </w:p>
              </w:tc>
              <w:tc>
                <w:tcPr>
                  <w:tcW w:w="705" w:type="dxa"/>
                  <w:vAlign w:val="center"/>
                </w:tcPr>
                <w:p w14:paraId="68A1A40A">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default"/>
                      <w:b w:val="0"/>
                      <w:bCs/>
                      <w:snapToGrid w:val="0"/>
                      <w:color w:val="auto"/>
                      <w:sz w:val="21"/>
                      <w:szCs w:val="21"/>
                      <w:highlight w:val="none"/>
                      <w:vertAlign w:val="baseline"/>
                      <w:lang w:val="en-US" w:eastAsia="zh-CN"/>
                    </w:rPr>
                    <w:fldChar w:fldCharType="begin"/>
                  </w:r>
                  <w:r>
                    <w:rPr>
                      <w:rFonts w:hint="default"/>
                      <w:b w:val="0"/>
                      <w:bCs/>
                      <w:snapToGrid w:val="0"/>
                      <w:color w:val="auto"/>
                      <w:sz w:val="21"/>
                      <w:szCs w:val="21"/>
                      <w:highlight w:val="none"/>
                      <w:vertAlign w:val="baseline"/>
                      <w:lang w:val="en-US" w:eastAsia="zh-CN"/>
                    </w:rPr>
                    <w:instrText xml:space="preserve"> = sum(B4:B8) \* MERGEFORMAT </w:instrText>
                  </w:r>
                  <w:r>
                    <w:rPr>
                      <w:rFonts w:hint="default"/>
                      <w:b w:val="0"/>
                      <w:bCs/>
                      <w:snapToGrid w:val="0"/>
                      <w:color w:val="auto"/>
                      <w:sz w:val="21"/>
                      <w:szCs w:val="21"/>
                      <w:highlight w:val="none"/>
                      <w:vertAlign w:val="baseline"/>
                      <w:lang w:val="en-US" w:eastAsia="zh-CN"/>
                    </w:rPr>
                    <w:fldChar w:fldCharType="separate"/>
                  </w:r>
                  <w:r>
                    <w:rPr>
                      <w:rFonts w:hint="default"/>
                      <w:b w:val="0"/>
                      <w:bCs/>
                      <w:snapToGrid w:val="0"/>
                      <w:color w:val="auto"/>
                      <w:sz w:val="21"/>
                      <w:szCs w:val="21"/>
                      <w:highlight w:val="none"/>
                      <w:vertAlign w:val="baseline"/>
                      <w:lang w:val="en-US" w:eastAsia="zh-CN"/>
                    </w:rPr>
                    <w:t>1164.0000015</w:t>
                  </w:r>
                  <w:r>
                    <w:rPr>
                      <w:rFonts w:hint="default"/>
                      <w:b w:val="0"/>
                      <w:bCs/>
                      <w:snapToGrid w:val="0"/>
                      <w:color w:val="auto"/>
                      <w:sz w:val="21"/>
                      <w:szCs w:val="21"/>
                      <w:highlight w:val="none"/>
                      <w:vertAlign w:val="baseline"/>
                      <w:lang w:val="en-US" w:eastAsia="zh-CN"/>
                    </w:rPr>
                    <w:fldChar w:fldCharType="end"/>
                  </w:r>
                </w:p>
              </w:tc>
              <w:tc>
                <w:tcPr>
                  <w:tcW w:w="705" w:type="dxa"/>
                  <w:vAlign w:val="center"/>
                </w:tcPr>
                <w:p w14:paraId="1B915830">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default"/>
                      <w:b w:val="0"/>
                      <w:bCs/>
                      <w:snapToGrid w:val="0"/>
                      <w:color w:val="auto"/>
                      <w:sz w:val="21"/>
                      <w:szCs w:val="21"/>
                      <w:highlight w:val="none"/>
                      <w:vertAlign w:val="baseline"/>
                      <w:lang w:val="en-US" w:eastAsia="zh-CN"/>
                    </w:rPr>
                    <w:fldChar w:fldCharType="begin"/>
                  </w:r>
                  <w:r>
                    <w:rPr>
                      <w:rFonts w:hint="default"/>
                      <w:b w:val="0"/>
                      <w:bCs/>
                      <w:snapToGrid w:val="0"/>
                      <w:color w:val="auto"/>
                      <w:sz w:val="21"/>
                      <w:szCs w:val="21"/>
                      <w:highlight w:val="none"/>
                      <w:vertAlign w:val="baseline"/>
                      <w:lang w:val="en-US" w:eastAsia="zh-CN"/>
                    </w:rPr>
                    <w:instrText xml:space="preserve"> = sum(C4:C8) \* MERGEFORMAT </w:instrText>
                  </w:r>
                  <w:r>
                    <w:rPr>
                      <w:rFonts w:hint="default"/>
                      <w:b w:val="0"/>
                      <w:bCs/>
                      <w:snapToGrid w:val="0"/>
                      <w:color w:val="auto"/>
                      <w:sz w:val="21"/>
                      <w:szCs w:val="21"/>
                      <w:highlight w:val="none"/>
                      <w:vertAlign w:val="baseline"/>
                      <w:lang w:val="en-US" w:eastAsia="zh-CN"/>
                    </w:rPr>
                    <w:fldChar w:fldCharType="separate"/>
                  </w:r>
                  <w:r>
                    <w:rPr>
                      <w:rFonts w:hint="default"/>
                      <w:b w:val="0"/>
                      <w:bCs/>
                      <w:snapToGrid w:val="0"/>
                      <w:color w:val="auto"/>
                      <w:sz w:val="21"/>
                      <w:szCs w:val="21"/>
                      <w:highlight w:val="none"/>
                      <w:vertAlign w:val="baseline"/>
                      <w:lang w:val="en-US" w:eastAsia="zh-CN"/>
                    </w:rPr>
                    <w:t>3.88045</w:t>
                  </w:r>
                  <w:r>
                    <w:rPr>
                      <w:rFonts w:hint="default"/>
                      <w:b w:val="0"/>
                      <w:bCs/>
                      <w:snapToGrid w:val="0"/>
                      <w:color w:val="auto"/>
                      <w:sz w:val="21"/>
                      <w:szCs w:val="21"/>
                      <w:highlight w:val="none"/>
                      <w:vertAlign w:val="baseline"/>
                      <w:lang w:val="en-US" w:eastAsia="zh-CN"/>
                    </w:rPr>
                    <w:fldChar w:fldCharType="end"/>
                  </w:r>
                </w:p>
              </w:tc>
              <w:tc>
                <w:tcPr>
                  <w:tcW w:w="752" w:type="dxa"/>
                  <w:vAlign w:val="center"/>
                </w:tcPr>
                <w:p w14:paraId="5E0117EC">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10050</w:t>
                  </w:r>
                </w:p>
              </w:tc>
              <w:tc>
                <w:tcPr>
                  <w:tcW w:w="752" w:type="dxa"/>
                  <w:vAlign w:val="center"/>
                </w:tcPr>
                <w:p w14:paraId="2F5AE6EA">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33.5</w:t>
                  </w:r>
                </w:p>
              </w:tc>
              <w:tc>
                <w:tcPr>
                  <w:tcW w:w="752" w:type="dxa"/>
                  <w:vAlign w:val="center"/>
                </w:tcPr>
                <w:p w14:paraId="5DEBB4CA">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fldChar w:fldCharType="begin"/>
                  </w:r>
                  <w:r>
                    <w:rPr>
                      <w:rFonts w:hint="eastAsia"/>
                      <w:b w:val="0"/>
                      <w:bCs/>
                      <w:snapToGrid w:val="0"/>
                      <w:color w:val="auto"/>
                      <w:sz w:val="21"/>
                      <w:szCs w:val="21"/>
                      <w:highlight w:val="none"/>
                      <w:vertAlign w:val="baseline"/>
                      <w:lang w:val="en-US" w:eastAsia="zh-CN"/>
                    </w:rPr>
                    <w:instrText xml:space="preserve"> = sum(F4:F7) \* MERGEFORMAT </w:instrText>
                  </w:r>
                  <w:r>
                    <w:rPr>
                      <w:rFonts w:hint="eastAsia"/>
                      <w:b w:val="0"/>
                      <w:bCs/>
                      <w:snapToGrid w:val="0"/>
                      <w:color w:val="auto"/>
                      <w:sz w:val="21"/>
                      <w:szCs w:val="21"/>
                      <w:highlight w:val="none"/>
                      <w:vertAlign w:val="baseline"/>
                      <w:lang w:val="en-US" w:eastAsia="zh-CN"/>
                    </w:rPr>
                    <w:fldChar w:fldCharType="separate"/>
                  </w:r>
                  <w:r>
                    <w:rPr>
                      <w:rFonts w:hint="eastAsia"/>
                      <w:b w:val="0"/>
                      <w:bCs/>
                      <w:snapToGrid w:val="0"/>
                      <w:color w:val="auto"/>
                      <w:sz w:val="21"/>
                      <w:szCs w:val="21"/>
                      <w:highlight w:val="none"/>
                      <w:vertAlign w:val="baseline"/>
                      <w:lang w:val="en-US" w:eastAsia="zh-CN"/>
                    </w:rPr>
                    <w:t>382.8</w:t>
                  </w:r>
                  <w:r>
                    <w:rPr>
                      <w:rFonts w:hint="eastAsia"/>
                      <w:b w:val="0"/>
                      <w:bCs/>
                      <w:snapToGrid w:val="0"/>
                      <w:color w:val="auto"/>
                      <w:sz w:val="21"/>
                      <w:szCs w:val="21"/>
                      <w:highlight w:val="none"/>
                      <w:vertAlign w:val="baseline"/>
                      <w:lang w:val="en-US" w:eastAsia="zh-CN"/>
                    </w:rPr>
                    <w:fldChar w:fldCharType="end"/>
                  </w:r>
                </w:p>
              </w:tc>
              <w:tc>
                <w:tcPr>
                  <w:tcW w:w="752" w:type="dxa"/>
                  <w:vAlign w:val="center"/>
                </w:tcPr>
                <w:p w14:paraId="733B8E91">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fldChar w:fldCharType="begin"/>
                  </w:r>
                  <w:r>
                    <w:rPr>
                      <w:rFonts w:hint="eastAsia"/>
                      <w:b w:val="0"/>
                      <w:bCs/>
                      <w:snapToGrid w:val="0"/>
                      <w:color w:val="auto"/>
                      <w:sz w:val="21"/>
                      <w:szCs w:val="21"/>
                      <w:highlight w:val="none"/>
                      <w:vertAlign w:val="baseline"/>
                      <w:lang w:val="en-US" w:eastAsia="zh-CN"/>
                    </w:rPr>
                    <w:instrText xml:space="preserve"> = sum(G4:G7) \* MERGEFORMAT </w:instrText>
                  </w:r>
                  <w:r>
                    <w:rPr>
                      <w:rFonts w:hint="eastAsia"/>
                      <w:b w:val="0"/>
                      <w:bCs/>
                      <w:snapToGrid w:val="0"/>
                      <w:color w:val="auto"/>
                      <w:sz w:val="21"/>
                      <w:szCs w:val="21"/>
                      <w:highlight w:val="none"/>
                      <w:vertAlign w:val="baseline"/>
                      <w:lang w:val="en-US" w:eastAsia="zh-CN"/>
                    </w:rPr>
                    <w:fldChar w:fldCharType="separate"/>
                  </w:r>
                  <w:r>
                    <w:rPr>
                      <w:rFonts w:hint="eastAsia"/>
                      <w:b w:val="0"/>
                      <w:bCs/>
                      <w:snapToGrid w:val="0"/>
                      <w:color w:val="auto"/>
                      <w:sz w:val="21"/>
                      <w:szCs w:val="21"/>
                      <w:highlight w:val="none"/>
                      <w:vertAlign w:val="baseline"/>
                      <w:lang w:val="en-US" w:eastAsia="zh-CN"/>
                    </w:rPr>
                    <w:t>1.276</w:t>
                  </w:r>
                  <w:r>
                    <w:rPr>
                      <w:rFonts w:hint="eastAsia"/>
                      <w:b w:val="0"/>
                      <w:bCs/>
                      <w:snapToGrid w:val="0"/>
                      <w:color w:val="auto"/>
                      <w:sz w:val="21"/>
                      <w:szCs w:val="21"/>
                      <w:highlight w:val="none"/>
                      <w:vertAlign w:val="baseline"/>
                      <w:lang w:val="en-US" w:eastAsia="zh-CN"/>
                    </w:rPr>
                    <w:fldChar w:fldCharType="end"/>
                  </w:r>
                </w:p>
              </w:tc>
              <w:tc>
                <w:tcPr>
                  <w:tcW w:w="752" w:type="dxa"/>
                  <w:vAlign w:val="center"/>
                </w:tcPr>
                <w:p w14:paraId="3759A7BA">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default"/>
                      <w:b w:val="0"/>
                      <w:bCs/>
                      <w:snapToGrid w:val="0"/>
                      <w:color w:val="auto"/>
                      <w:sz w:val="21"/>
                      <w:szCs w:val="21"/>
                      <w:highlight w:val="none"/>
                      <w:vertAlign w:val="baseline"/>
                      <w:lang w:val="en-US" w:eastAsia="zh-CN"/>
                    </w:rPr>
                    <w:fldChar w:fldCharType="begin"/>
                  </w:r>
                  <w:r>
                    <w:rPr>
                      <w:rFonts w:hint="default"/>
                      <w:b w:val="0"/>
                      <w:bCs/>
                      <w:snapToGrid w:val="0"/>
                      <w:color w:val="auto"/>
                      <w:sz w:val="21"/>
                      <w:szCs w:val="21"/>
                      <w:highlight w:val="none"/>
                      <w:vertAlign w:val="baseline"/>
                      <w:lang w:val="en-US" w:eastAsia="zh-CN"/>
                    </w:rPr>
                    <w:instrText xml:space="preserve"> = sum(H4:H8) \* MERGEFORMAT </w:instrText>
                  </w:r>
                  <w:r>
                    <w:rPr>
                      <w:rFonts w:hint="default"/>
                      <w:b w:val="0"/>
                      <w:bCs/>
                      <w:snapToGrid w:val="0"/>
                      <w:color w:val="auto"/>
                      <w:sz w:val="21"/>
                      <w:szCs w:val="21"/>
                      <w:highlight w:val="none"/>
                      <w:vertAlign w:val="baseline"/>
                      <w:lang w:val="en-US" w:eastAsia="zh-CN"/>
                    </w:rPr>
                    <w:fldChar w:fldCharType="separate"/>
                  </w:r>
                  <w:r>
                    <w:rPr>
                      <w:rFonts w:hint="default"/>
                      <w:b w:val="0"/>
                      <w:bCs/>
                      <w:snapToGrid w:val="0"/>
                      <w:color w:val="auto"/>
                      <w:sz w:val="21"/>
                      <w:szCs w:val="21"/>
                      <w:highlight w:val="none"/>
                      <w:vertAlign w:val="baseline"/>
                      <w:lang w:val="en-US" w:eastAsia="zh-CN"/>
                    </w:rPr>
                    <w:t>781.2000015</w:t>
                  </w:r>
                  <w:r>
                    <w:rPr>
                      <w:rFonts w:hint="default"/>
                      <w:b w:val="0"/>
                      <w:bCs/>
                      <w:snapToGrid w:val="0"/>
                      <w:color w:val="auto"/>
                      <w:sz w:val="21"/>
                      <w:szCs w:val="21"/>
                      <w:highlight w:val="none"/>
                      <w:vertAlign w:val="baseline"/>
                      <w:lang w:val="en-US" w:eastAsia="zh-CN"/>
                    </w:rPr>
                    <w:fldChar w:fldCharType="end"/>
                  </w:r>
                </w:p>
              </w:tc>
              <w:tc>
                <w:tcPr>
                  <w:tcW w:w="755" w:type="dxa"/>
                  <w:vAlign w:val="center"/>
                </w:tcPr>
                <w:p w14:paraId="5B8B53EC">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default"/>
                      <w:b w:val="0"/>
                      <w:bCs/>
                      <w:snapToGrid w:val="0"/>
                      <w:color w:val="auto"/>
                      <w:sz w:val="21"/>
                      <w:szCs w:val="21"/>
                      <w:highlight w:val="none"/>
                      <w:vertAlign w:val="baseline"/>
                      <w:lang w:val="en-US" w:eastAsia="zh-CN"/>
                    </w:rPr>
                    <w:fldChar w:fldCharType="begin"/>
                  </w:r>
                  <w:r>
                    <w:rPr>
                      <w:rFonts w:hint="default"/>
                      <w:b w:val="0"/>
                      <w:bCs/>
                      <w:snapToGrid w:val="0"/>
                      <w:color w:val="auto"/>
                      <w:sz w:val="21"/>
                      <w:szCs w:val="21"/>
                      <w:highlight w:val="none"/>
                      <w:vertAlign w:val="baseline"/>
                      <w:lang w:val="en-US" w:eastAsia="zh-CN"/>
                    </w:rPr>
                    <w:instrText xml:space="preserve"> = sum(I4:I8) \* MERGEFORMAT </w:instrText>
                  </w:r>
                  <w:r>
                    <w:rPr>
                      <w:rFonts w:hint="default"/>
                      <w:b w:val="0"/>
                      <w:bCs/>
                      <w:snapToGrid w:val="0"/>
                      <w:color w:val="auto"/>
                      <w:sz w:val="21"/>
                      <w:szCs w:val="21"/>
                      <w:highlight w:val="none"/>
                      <w:vertAlign w:val="baseline"/>
                      <w:lang w:val="en-US" w:eastAsia="zh-CN"/>
                    </w:rPr>
                    <w:fldChar w:fldCharType="separate"/>
                  </w:r>
                  <w:r>
                    <w:rPr>
                      <w:rFonts w:hint="default"/>
                      <w:b w:val="0"/>
                      <w:bCs/>
                      <w:snapToGrid w:val="0"/>
                      <w:color w:val="auto"/>
                      <w:sz w:val="21"/>
                      <w:szCs w:val="21"/>
                      <w:highlight w:val="none"/>
                      <w:vertAlign w:val="baseline"/>
                      <w:lang w:val="en-US" w:eastAsia="zh-CN"/>
                    </w:rPr>
                    <w:t>2.60445</w:t>
                  </w:r>
                  <w:r>
                    <w:rPr>
                      <w:rFonts w:hint="default"/>
                      <w:b w:val="0"/>
                      <w:bCs/>
                      <w:snapToGrid w:val="0"/>
                      <w:color w:val="auto"/>
                      <w:sz w:val="21"/>
                      <w:szCs w:val="21"/>
                      <w:highlight w:val="none"/>
                      <w:vertAlign w:val="baseline"/>
                      <w:lang w:val="en-US" w:eastAsia="zh-CN"/>
                    </w:rPr>
                    <w:fldChar w:fldCharType="end"/>
                  </w:r>
                </w:p>
              </w:tc>
              <w:tc>
                <w:tcPr>
                  <w:tcW w:w="1539" w:type="dxa"/>
                  <w:vAlign w:val="center"/>
                </w:tcPr>
                <w:p w14:paraId="3CD1AF97">
                  <w:pPr>
                    <w:pStyle w:val="5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b w:val="0"/>
                      <w:bCs/>
                      <w:snapToGrid w:val="0"/>
                      <w:color w:val="auto"/>
                      <w:sz w:val="21"/>
                      <w:szCs w:val="21"/>
                      <w:highlight w:val="none"/>
                      <w:vertAlign w:val="baseline"/>
                      <w:lang w:val="en-US" w:eastAsia="zh-CN"/>
                    </w:rPr>
                  </w:pPr>
                  <w:r>
                    <w:rPr>
                      <w:rFonts w:hint="eastAsia"/>
                      <w:b w:val="0"/>
                      <w:bCs/>
                      <w:snapToGrid w:val="0"/>
                      <w:color w:val="auto"/>
                      <w:sz w:val="21"/>
                      <w:szCs w:val="21"/>
                      <w:highlight w:val="none"/>
                      <w:vertAlign w:val="baseline"/>
                      <w:lang w:val="en-US" w:eastAsia="zh-CN"/>
                    </w:rPr>
                    <w:t>/</w:t>
                  </w:r>
                </w:p>
              </w:tc>
            </w:tr>
          </w:tbl>
          <w:p w14:paraId="5C1A0D0F">
            <w:pPr>
              <w:pStyle w:val="1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4951095" cy="4234180"/>
                  <wp:effectExtent l="0" t="0" r="1905" b="13970"/>
                  <wp:docPr id="25" name="图片 25" descr="1757162800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757162800842"/>
                          <pic:cNvPicPr>
                            <a:picLocks noChangeAspect="1"/>
                          </pic:cNvPicPr>
                        </pic:nvPicPr>
                        <pic:blipFill>
                          <a:blip r:embed="rId24"/>
                          <a:stretch>
                            <a:fillRect/>
                          </a:stretch>
                        </pic:blipFill>
                        <pic:spPr>
                          <a:xfrm>
                            <a:off x="0" y="0"/>
                            <a:ext cx="4951095" cy="4234180"/>
                          </a:xfrm>
                          <a:prstGeom prst="rect">
                            <a:avLst/>
                          </a:prstGeom>
                        </pic:spPr>
                      </pic:pic>
                    </a:graphicData>
                  </a:graphic>
                </wp:inline>
              </w:drawing>
            </w:r>
          </w:p>
          <w:p w14:paraId="13B82B26">
            <w:pPr>
              <w:pStyle w:val="47"/>
              <w:keepNext w:val="0"/>
              <w:keepLines w:val="0"/>
              <w:suppressLineNumbers w:val="0"/>
              <w:spacing w:before="0" w:beforeAutospacing="0" w:after="0" w:afterAutospacing="0"/>
              <w:ind w:left="0" w:right="0" w:firstLine="0" w:firstLineChars="0"/>
              <w:jc w:val="center"/>
              <w:rPr>
                <w:rFonts w:hint="default" w:eastAsia="宋体"/>
                <w:b/>
                <w:bCs w:val="0"/>
                <w:color w:val="auto"/>
                <w:sz w:val="24"/>
                <w:highlight w:val="none"/>
              </w:rPr>
            </w:pPr>
            <w:r>
              <w:rPr>
                <w:rFonts w:hint="default" w:eastAsia="宋体"/>
                <w:b/>
                <w:bCs w:val="0"/>
                <w:color w:val="auto"/>
                <w:sz w:val="24"/>
                <w:highlight w:val="none"/>
              </w:rPr>
              <w:t>图2-1 项目水平衡图    m³/d</w:t>
            </w:r>
          </w:p>
          <w:p w14:paraId="1B5C0D93">
            <w:pPr>
              <w:pStyle w:val="7"/>
              <w:suppressLineNumbers w:val="0"/>
              <w:spacing w:before="0" w:beforeAutospacing="0" w:after="0" w:afterAutospacing="0"/>
              <w:ind w:left="0" w:right="0"/>
              <w:rPr>
                <w:rFonts w:hint="default" w:ascii="Times New Roman" w:hAnsi="Times New Roman"/>
                <w:color w:val="auto"/>
                <w:sz w:val="24"/>
                <w:highlight w:val="none"/>
              </w:rPr>
            </w:pPr>
            <w:r>
              <w:rPr>
                <w:rFonts w:hint="default" w:ascii="Times New Roman" w:hAnsi="Times New Roman"/>
                <w:color w:val="auto"/>
                <w:sz w:val="24"/>
                <w:highlight w:val="none"/>
              </w:rPr>
              <w:t>2.7 供电</w:t>
            </w:r>
          </w:p>
          <w:p w14:paraId="35817FCB">
            <w:pPr>
              <w:pStyle w:val="31"/>
              <w:keepNext w:val="0"/>
              <w:keepLines w:val="0"/>
              <w:suppressLineNumbers w:val="0"/>
              <w:spacing w:before="0" w:beforeAutospacing="0" w:after="0" w:afterAutospacing="0" w:line="312" w:lineRule="auto"/>
              <w:ind w:left="0" w:right="0" w:firstLine="480" w:firstLineChars="200"/>
              <w:rPr>
                <w:rFonts w:hint="default" w:ascii="Times New Roman" w:hAnsi="Times New Roman"/>
                <w:color w:val="auto"/>
                <w:highlight w:val="none"/>
              </w:rPr>
            </w:pPr>
            <w:r>
              <w:rPr>
                <w:rFonts w:hint="default" w:ascii="Times New Roman" w:hAnsi="Times New Roman"/>
                <w:color w:val="auto"/>
                <w:highlight w:val="none"/>
              </w:rPr>
              <w:t>本项目用电由开发区电力公司提供，年用电量为</w:t>
            </w:r>
            <w:r>
              <w:rPr>
                <w:rFonts w:hint="eastAsia" w:ascii="Times New Roman" w:hAnsi="Times New Roman"/>
                <w:color w:val="auto"/>
                <w:highlight w:val="none"/>
                <w:lang w:val="en-US" w:eastAsia="zh-CN"/>
              </w:rPr>
              <w:t>40</w:t>
            </w:r>
            <w:r>
              <w:rPr>
                <w:rFonts w:hint="default" w:ascii="Times New Roman" w:hAnsi="Times New Roman"/>
                <w:color w:val="auto"/>
                <w:highlight w:val="none"/>
              </w:rPr>
              <w:t>万kwh。</w:t>
            </w:r>
          </w:p>
          <w:p w14:paraId="72A9316E">
            <w:pPr>
              <w:pStyle w:val="7"/>
              <w:suppressLineNumbers w:val="0"/>
              <w:spacing w:before="0" w:beforeAutospacing="0" w:after="0" w:afterAutospacing="0"/>
              <w:ind w:left="0" w:right="0"/>
              <w:rPr>
                <w:rFonts w:hint="eastAsia" w:ascii="Times New Roman" w:hAnsi="Times New Roman"/>
                <w:color w:val="auto"/>
                <w:sz w:val="24"/>
                <w:highlight w:val="none"/>
                <w:lang w:val="en-US" w:eastAsia="zh-CN"/>
              </w:rPr>
            </w:pPr>
            <w:r>
              <w:rPr>
                <w:rFonts w:hint="eastAsia" w:ascii="Times New Roman" w:hAnsi="Times New Roman"/>
                <w:color w:val="auto"/>
                <w:sz w:val="24"/>
                <w:highlight w:val="none"/>
                <w:lang w:val="en-US" w:eastAsia="zh-CN"/>
              </w:rPr>
              <w:t>2.8供暖</w:t>
            </w:r>
          </w:p>
          <w:p w14:paraId="61B27A9B">
            <w:pPr>
              <w:pStyle w:val="31"/>
              <w:keepNext w:val="0"/>
              <w:keepLines w:val="0"/>
              <w:suppressLineNumbers w:val="0"/>
              <w:spacing w:before="0" w:beforeAutospacing="0" w:after="0" w:afterAutospacing="0" w:line="312" w:lineRule="auto"/>
              <w:ind w:left="0" w:right="0" w:firstLine="480" w:firstLineChars="200"/>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本项目供暖采用空气能供热。</w:t>
            </w:r>
          </w:p>
          <w:p w14:paraId="1F15173D">
            <w:pPr>
              <w:pStyle w:val="7"/>
              <w:suppressLineNumbers w:val="0"/>
              <w:spacing w:before="0" w:beforeAutospacing="0" w:after="0" w:afterAutospacing="0"/>
              <w:ind w:left="0" w:right="0"/>
              <w:rPr>
                <w:rFonts w:hint="default" w:ascii="Times New Roman" w:hAnsi="Times New Roman"/>
                <w:color w:val="auto"/>
                <w:sz w:val="24"/>
                <w:highlight w:val="none"/>
              </w:rPr>
            </w:pPr>
            <w:r>
              <w:rPr>
                <w:rFonts w:hint="eastAsia" w:ascii="Times New Roman" w:hAnsi="Times New Roman"/>
                <w:color w:val="auto"/>
                <w:sz w:val="24"/>
                <w:highlight w:val="none"/>
              </w:rPr>
              <w:t>2.</w:t>
            </w:r>
            <w:r>
              <w:rPr>
                <w:rFonts w:hint="eastAsia" w:ascii="Times New Roman" w:hAnsi="Times New Roman"/>
                <w:color w:val="auto"/>
                <w:sz w:val="24"/>
                <w:highlight w:val="none"/>
                <w:lang w:val="en-US" w:eastAsia="zh-CN"/>
              </w:rPr>
              <w:t>9</w:t>
            </w:r>
            <w:r>
              <w:rPr>
                <w:rFonts w:hint="eastAsia" w:ascii="Times New Roman" w:hAnsi="Times New Roman"/>
                <w:color w:val="auto"/>
                <w:sz w:val="24"/>
                <w:highlight w:val="none"/>
              </w:rPr>
              <w:t>平面布置合理性</w:t>
            </w:r>
          </w:p>
          <w:p w14:paraId="5591855E">
            <w:pPr>
              <w:keepNext w:val="0"/>
              <w:keepLines w:val="0"/>
              <w:suppressLineNumbers w:val="0"/>
              <w:spacing w:before="0" w:beforeAutospacing="0" w:after="0" w:afterAutospacing="0" w:line="360" w:lineRule="auto"/>
              <w:ind w:left="0" w:right="0" w:firstLine="480" w:firstLineChars="200"/>
              <w:jc w:val="left"/>
              <w:rPr>
                <w:rFonts w:hint="default"/>
                <w:color w:val="auto"/>
                <w:kern w:val="0"/>
                <w:sz w:val="24"/>
                <w:szCs w:val="20"/>
                <w:highlight w:val="none"/>
              </w:rPr>
            </w:pPr>
            <w:r>
              <w:rPr>
                <w:rFonts w:hint="default"/>
                <w:color w:val="auto"/>
                <w:kern w:val="0"/>
                <w:sz w:val="24"/>
                <w:szCs w:val="20"/>
                <w:highlight w:val="none"/>
              </w:rPr>
              <w:t>本项目租用戴河国际产业园</w:t>
            </w:r>
            <w:r>
              <w:rPr>
                <w:rFonts w:hint="eastAsia"/>
                <w:color w:val="auto"/>
                <w:kern w:val="0"/>
                <w:sz w:val="24"/>
                <w:szCs w:val="20"/>
                <w:highlight w:val="none"/>
                <w:lang w:val="en-US" w:eastAsia="zh-CN"/>
              </w:rPr>
              <w:t>13</w:t>
            </w:r>
            <w:r>
              <w:rPr>
                <w:rFonts w:hint="default"/>
                <w:color w:val="auto"/>
                <w:kern w:val="0"/>
                <w:sz w:val="24"/>
                <w:szCs w:val="20"/>
                <w:highlight w:val="none"/>
              </w:rPr>
              <w:t>号厂房（一层），入口位于厂房东侧，设备沿厂房南侧依次布置，中部为过道，厂房内设置原料区、成品区、</w:t>
            </w:r>
            <w:r>
              <w:rPr>
                <w:rFonts w:hint="eastAsia"/>
                <w:color w:val="auto"/>
                <w:kern w:val="0"/>
                <w:sz w:val="24"/>
                <w:szCs w:val="20"/>
                <w:highlight w:val="none"/>
                <w:lang w:eastAsia="zh-CN"/>
              </w:rPr>
              <w:t>打磨抛光区、清洗区、质检区</w:t>
            </w:r>
            <w:r>
              <w:rPr>
                <w:rFonts w:hint="default"/>
                <w:color w:val="auto"/>
                <w:kern w:val="0"/>
                <w:sz w:val="24"/>
                <w:szCs w:val="20"/>
                <w:highlight w:val="none"/>
              </w:rPr>
              <w:t>，各功能区相对集中布置，做到布局紧凑，既满足生产工艺要求，又方便经营管理，平面布局基本合理，项目厂区具体平面布置见附图3。</w:t>
            </w:r>
          </w:p>
        </w:tc>
      </w:tr>
      <w:tr w14:paraId="04DC4A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15" w:hRule="atLeast"/>
          <w:jc w:val="center"/>
        </w:trPr>
        <w:tc>
          <w:tcPr>
            <w:tcW w:w="439" w:type="dxa"/>
            <w:vAlign w:val="center"/>
          </w:tcPr>
          <w:p w14:paraId="102FAA72">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105117C8">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BBCCEEB">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14CA144">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FA1EA30">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1118B072">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AF853D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3CD035A">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56681C8">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r>
              <w:rPr>
                <w:rFonts w:hint="default" w:ascii="Times New Roman" w:hAnsi="Times New Roman" w:eastAsia="宋体" w:cs="Times New Roman"/>
                <w:b/>
                <w:bCs/>
                <w:color w:val="auto"/>
                <w:kern w:val="0"/>
                <w:sz w:val="28"/>
                <w:szCs w:val="28"/>
                <w:highlight w:val="none"/>
              </w:rPr>
              <w:t>工艺流程和产排污环节</w:t>
            </w:r>
          </w:p>
          <w:p w14:paraId="5AFBE60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954E7BD">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4789A65">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139076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03897BB">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92352E9">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0A7055D">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9D795F5">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C2DFB1D">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391ABC5">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3F4A4E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79A4B9D">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2A6F990">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F438FE5">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22FEBD3">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0399155">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096FC8C">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4B38CC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59CBC64">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D1F4761">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0BA110CC">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76AFC93">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2F11DC2">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36D2943">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5663EAB0">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D25B0A0">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r>
              <w:rPr>
                <w:rFonts w:hint="default" w:ascii="Times New Roman" w:hAnsi="Times New Roman" w:eastAsia="宋体" w:cs="Times New Roman"/>
                <w:b/>
                <w:bCs/>
                <w:color w:val="auto"/>
                <w:kern w:val="0"/>
                <w:sz w:val="28"/>
                <w:szCs w:val="28"/>
                <w:highlight w:val="none"/>
              </w:rPr>
              <w:t>工艺流程和产排污环节</w:t>
            </w:r>
          </w:p>
          <w:p w14:paraId="43B4C40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8B126F8">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51952E0">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6FBAB53">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D14F164">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6DAD670">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1C85D60">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6E70E33B">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BBB4E9D">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421C6AFA">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76AB7D3">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7DED86FD">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2ADCE479">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p w14:paraId="3788B3EC">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tc>
        <w:tc>
          <w:tcPr>
            <w:tcW w:w="8621" w:type="dxa"/>
          </w:tcPr>
          <w:p w14:paraId="3F7D73D8">
            <w:pPr>
              <w:pStyle w:val="109"/>
              <w:keepNext w:val="0"/>
              <w:keepLines w:val="0"/>
              <w:suppressLineNumbers w:val="0"/>
              <w:spacing w:before="146" w:beforeAutospacing="0" w:after="0" w:afterAutospacing="0" w:line="360" w:lineRule="auto"/>
              <w:ind w:left="528" w:right="0"/>
              <w:rPr>
                <w:rFonts w:hint="default"/>
                <w:sz w:val="24"/>
                <w:szCs w:val="24"/>
                <w:highlight w:val="none"/>
              </w:rPr>
            </w:pPr>
            <w:r>
              <w:rPr>
                <w:rFonts w:hint="default"/>
                <w:b/>
                <w:bCs/>
                <w:spacing w:val="-12"/>
                <w:sz w:val="24"/>
                <w:szCs w:val="24"/>
                <w:highlight w:val="none"/>
              </w:rPr>
              <w:t>施工期：</w:t>
            </w:r>
          </w:p>
          <w:p w14:paraId="575926A6">
            <w:pPr>
              <w:pStyle w:val="13"/>
              <w:keepNext w:val="0"/>
              <w:keepLines w:val="0"/>
              <w:suppressLineNumbers w:val="0"/>
              <w:spacing w:before="0" w:beforeAutospacing="0" w:after="0" w:afterAutospacing="0" w:line="500" w:lineRule="exact"/>
              <w:ind w:left="0" w:right="0" w:firstLine="482"/>
              <w:rPr>
                <w:rFonts w:hint="default"/>
                <w:b/>
                <w:color w:val="000000"/>
                <w:highlight w:val="none"/>
              </w:rPr>
            </w:pPr>
            <w:r>
              <w:rPr>
                <w:rFonts w:hint="default"/>
                <w:b/>
                <w:color w:val="000000"/>
                <w:highlight w:val="none"/>
              </w:rPr>
              <w:t>1</w:t>
            </w:r>
            <w:r>
              <w:rPr>
                <w:rFonts w:hint="eastAsia"/>
                <w:b/>
                <w:color w:val="000000"/>
                <w:highlight w:val="none"/>
              </w:rPr>
              <w:t>、噪声</w:t>
            </w:r>
          </w:p>
          <w:p w14:paraId="32B335D7">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right="0" w:firstLine="482"/>
              <w:jc w:val="both"/>
              <w:textAlignment w:val="auto"/>
              <w:rPr>
                <w:rFonts w:hint="eastAsia" w:eastAsia="宋体"/>
                <w:color w:val="000000"/>
                <w:highlight w:val="none"/>
                <w:lang w:eastAsia="zh-CN"/>
              </w:rPr>
            </w:pPr>
            <w:r>
              <w:rPr>
                <w:rFonts w:hint="eastAsia"/>
                <w:color w:val="000000"/>
                <w:highlight w:val="none"/>
              </w:rPr>
              <w:t>施工期施工场界噪声执行《建筑施工场界环境噪声排放标准》（</w:t>
            </w:r>
            <w:r>
              <w:rPr>
                <w:rFonts w:hint="default"/>
                <w:color w:val="000000"/>
                <w:highlight w:val="none"/>
              </w:rPr>
              <w:t>GB12523-2011</w:t>
            </w:r>
            <w:r>
              <w:rPr>
                <w:rFonts w:hint="eastAsia"/>
                <w:color w:val="000000"/>
                <w:highlight w:val="none"/>
              </w:rPr>
              <w:t>）</w:t>
            </w:r>
            <w:r>
              <w:rPr>
                <w:rFonts w:hint="eastAsia"/>
                <w:color w:val="000000"/>
                <w:highlight w:val="none"/>
                <w:lang w:eastAsia="zh-CN"/>
              </w:rPr>
              <w:t>。</w:t>
            </w:r>
          </w:p>
          <w:p w14:paraId="025E4B6B">
            <w:pPr>
              <w:keepNext w:val="0"/>
              <w:keepLines w:val="0"/>
              <w:suppressLineNumbers w:val="0"/>
              <w:spacing w:before="0" w:beforeAutospacing="0" w:after="0" w:afterAutospacing="0" w:line="480" w:lineRule="exact"/>
              <w:ind w:left="0" w:right="0"/>
              <w:jc w:val="center"/>
              <w:rPr>
                <w:rFonts w:hint="default"/>
                <w:b/>
                <w:color w:val="000000"/>
                <w:sz w:val="24"/>
                <w:szCs w:val="24"/>
                <w:highlight w:val="none"/>
              </w:rPr>
            </w:pPr>
            <w:r>
              <w:rPr>
                <w:rFonts w:hint="eastAsia"/>
                <w:b/>
                <w:color w:val="000000"/>
                <w:sz w:val="24"/>
                <w:szCs w:val="24"/>
                <w:highlight w:val="none"/>
              </w:rPr>
              <w:t>表</w:t>
            </w:r>
            <w:r>
              <w:rPr>
                <w:rFonts w:hint="eastAsia"/>
                <w:b/>
                <w:color w:val="000000"/>
                <w:sz w:val="24"/>
                <w:szCs w:val="24"/>
                <w:highlight w:val="none"/>
                <w:lang w:val="en-US" w:eastAsia="zh-CN"/>
              </w:rPr>
              <w:t>2-7</w:t>
            </w:r>
            <w:r>
              <w:rPr>
                <w:rFonts w:hint="eastAsia"/>
                <w:b/>
                <w:color w:val="000000"/>
                <w:sz w:val="24"/>
                <w:szCs w:val="24"/>
                <w:highlight w:val="none"/>
              </w:rPr>
              <w:t xml:space="preserve">  </w:t>
            </w:r>
            <w:r>
              <w:rPr>
                <w:rFonts w:hint="eastAsia"/>
                <w:b/>
                <w:color w:val="000000"/>
                <w:sz w:val="24"/>
                <w:szCs w:val="24"/>
                <w:highlight w:val="none"/>
                <w:lang w:val="en-US" w:eastAsia="zh-CN"/>
              </w:rPr>
              <w:t xml:space="preserve"> </w:t>
            </w:r>
            <w:r>
              <w:rPr>
                <w:rFonts w:hint="eastAsia"/>
                <w:b/>
                <w:color w:val="000000"/>
                <w:sz w:val="24"/>
                <w:szCs w:val="24"/>
                <w:highlight w:val="none"/>
              </w:rPr>
              <w:t>建筑施工场界环境噪声排放标准</w:t>
            </w:r>
          </w:p>
          <w:tbl>
            <w:tblPr>
              <w:tblStyle w:val="3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95"/>
              <w:gridCol w:w="4198"/>
            </w:tblGrid>
            <w:tr w14:paraId="5C23A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499" w:type="pct"/>
                  <w:tcBorders>
                    <w:top w:val="single" w:color="auto" w:sz="4" w:space="0"/>
                    <w:left w:val="single" w:color="auto" w:sz="4" w:space="0"/>
                    <w:bottom w:val="single" w:color="auto" w:sz="4" w:space="0"/>
                    <w:right w:val="single" w:color="auto" w:sz="4" w:space="0"/>
                  </w:tcBorders>
                  <w:noWrap w:val="0"/>
                  <w:vAlign w:val="center"/>
                </w:tcPr>
                <w:p w14:paraId="2028D7A6">
                  <w:pPr>
                    <w:keepNext w:val="0"/>
                    <w:keepLines w:val="0"/>
                    <w:widowControl/>
                    <w:suppressLineNumbers w:val="0"/>
                    <w:spacing w:before="0" w:beforeAutospacing="0" w:after="0" w:afterAutospacing="0"/>
                    <w:ind w:left="0" w:right="0"/>
                    <w:jc w:val="center"/>
                    <w:rPr>
                      <w:rFonts w:hint="default" w:cs="宋体"/>
                      <w:color w:val="000000"/>
                      <w:kern w:val="0"/>
                      <w:szCs w:val="21"/>
                      <w:highlight w:val="none"/>
                    </w:rPr>
                  </w:pPr>
                  <w:r>
                    <w:rPr>
                      <w:rFonts w:hint="eastAsia" w:cs="宋体"/>
                      <w:color w:val="000000"/>
                      <w:kern w:val="0"/>
                      <w:szCs w:val="21"/>
                      <w:highlight w:val="none"/>
                    </w:rPr>
                    <w:t>昼间</w:t>
                  </w:r>
                  <w:r>
                    <w:rPr>
                      <w:rFonts w:hint="default" w:cs="宋体"/>
                      <w:color w:val="000000"/>
                      <w:kern w:val="0"/>
                      <w:szCs w:val="21"/>
                      <w:highlight w:val="none"/>
                    </w:rPr>
                    <w:t>dB(A)</w:t>
                  </w:r>
                </w:p>
              </w:tc>
              <w:tc>
                <w:tcPr>
                  <w:tcW w:w="2500" w:type="pct"/>
                  <w:tcBorders>
                    <w:top w:val="single" w:color="auto" w:sz="4" w:space="0"/>
                    <w:left w:val="single" w:color="auto" w:sz="4" w:space="0"/>
                    <w:bottom w:val="single" w:color="auto" w:sz="4" w:space="0"/>
                    <w:right w:val="single" w:color="auto" w:sz="4" w:space="0"/>
                  </w:tcBorders>
                  <w:noWrap w:val="0"/>
                  <w:vAlign w:val="center"/>
                </w:tcPr>
                <w:p w14:paraId="2414E12C">
                  <w:pPr>
                    <w:keepNext w:val="0"/>
                    <w:keepLines w:val="0"/>
                    <w:widowControl/>
                    <w:suppressLineNumbers w:val="0"/>
                    <w:spacing w:before="0" w:beforeAutospacing="0" w:after="0" w:afterAutospacing="0"/>
                    <w:ind w:left="0" w:right="0"/>
                    <w:jc w:val="center"/>
                    <w:rPr>
                      <w:rFonts w:hint="default" w:cs="宋体"/>
                      <w:color w:val="000000"/>
                      <w:kern w:val="0"/>
                      <w:szCs w:val="21"/>
                      <w:highlight w:val="none"/>
                    </w:rPr>
                  </w:pPr>
                  <w:r>
                    <w:rPr>
                      <w:rFonts w:hint="eastAsia" w:cs="宋体"/>
                      <w:color w:val="000000"/>
                      <w:kern w:val="0"/>
                      <w:szCs w:val="21"/>
                      <w:highlight w:val="none"/>
                    </w:rPr>
                    <w:t>夜间</w:t>
                  </w:r>
                  <w:r>
                    <w:rPr>
                      <w:rFonts w:hint="default" w:cs="宋体"/>
                      <w:color w:val="000000"/>
                      <w:kern w:val="0"/>
                      <w:szCs w:val="21"/>
                      <w:highlight w:val="none"/>
                    </w:rPr>
                    <w:t>dB(A)</w:t>
                  </w:r>
                </w:p>
              </w:tc>
            </w:tr>
            <w:tr w14:paraId="2798C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2499" w:type="pct"/>
                  <w:tcBorders>
                    <w:top w:val="single" w:color="auto" w:sz="4" w:space="0"/>
                    <w:left w:val="single" w:color="auto" w:sz="4" w:space="0"/>
                    <w:bottom w:val="single" w:color="auto" w:sz="4" w:space="0"/>
                    <w:right w:val="single" w:color="auto" w:sz="4" w:space="0"/>
                  </w:tcBorders>
                  <w:noWrap w:val="0"/>
                  <w:vAlign w:val="center"/>
                </w:tcPr>
                <w:p w14:paraId="03C2FCAC">
                  <w:pPr>
                    <w:keepNext w:val="0"/>
                    <w:keepLines w:val="0"/>
                    <w:widowControl/>
                    <w:suppressLineNumbers w:val="0"/>
                    <w:spacing w:before="0" w:beforeAutospacing="0" w:after="0" w:afterAutospacing="0"/>
                    <w:ind w:left="0" w:right="0"/>
                    <w:jc w:val="center"/>
                    <w:rPr>
                      <w:rFonts w:hint="default" w:cs="宋体"/>
                      <w:color w:val="000000"/>
                      <w:kern w:val="0"/>
                      <w:szCs w:val="21"/>
                      <w:highlight w:val="none"/>
                    </w:rPr>
                  </w:pPr>
                  <w:r>
                    <w:rPr>
                      <w:rFonts w:hint="default" w:cs="宋体"/>
                      <w:color w:val="000000"/>
                      <w:kern w:val="0"/>
                      <w:szCs w:val="21"/>
                      <w:highlight w:val="none"/>
                    </w:rPr>
                    <w:t>70</w:t>
                  </w:r>
                </w:p>
              </w:tc>
              <w:tc>
                <w:tcPr>
                  <w:tcW w:w="2500" w:type="pct"/>
                  <w:tcBorders>
                    <w:top w:val="single" w:color="auto" w:sz="4" w:space="0"/>
                    <w:left w:val="single" w:color="auto" w:sz="4" w:space="0"/>
                    <w:bottom w:val="single" w:color="auto" w:sz="4" w:space="0"/>
                    <w:right w:val="single" w:color="auto" w:sz="4" w:space="0"/>
                  </w:tcBorders>
                  <w:noWrap w:val="0"/>
                  <w:vAlign w:val="center"/>
                </w:tcPr>
                <w:p w14:paraId="13165EAF">
                  <w:pPr>
                    <w:keepNext w:val="0"/>
                    <w:keepLines w:val="0"/>
                    <w:widowControl/>
                    <w:suppressLineNumbers w:val="0"/>
                    <w:spacing w:before="0" w:beforeAutospacing="0" w:after="0" w:afterAutospacing="0"/>
                    <w:ind w:left="0" w:right="0"/>
                    <w:jc w:val="center"/>
                    <w:rPr>
                      <w:rFonts w:hint="default" w:cs="宋体"/>
                      <w:color w:val="000000"/>
                      <w:kern w:val="0"/>
                      <w:szCs w:val="21"/>
                      <w:highlight w:val="none"/>
                    </w:rPr>
                  </w:pPr>
                  <w:r>
                    <w:rPr>
                      <w:rFonts w:hint="default" w:cs="宋体"/>
                      <w:color w:val="000000"/>
                      <w:kern w:val="0"/>
                      <w:szCs w:val="21"/>
                      <w:highlight w:val="none"/>
                    </w:rPr>
                    <w:t>55</w:t>
                  </w:r>
                </w:p>
              </w:tc>
            </w:tr>
          </w:tbl>
          <w:p w14:paraId="2E172136">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482"/>
              <w:textAlignment w:val="auto"/>
              <w:rPr>
                <w:rFonts w:hint="default"/>
                <w:b/>
                <w:color w:val="000000"/>
                <w:highlight w:val="none"/>
              </w:rPr>
            </w:pPr>
            <w:r>
              <w:rPr>
                <w:rFonts w:hint="default"/>
                <w:b/>
                <w:color w:val="000000"/>
                <w:highlight w:val="none"/>
              </w:rPr>
              <w:t>2</w:t>
            </w:r>
            <w:r>
              <w:rPr>
                <w:rFonts w:hint="eastAsia"/>
                <w:b/>
                <w:color w:val="000000"/>
                <w:highlight w:val="none"/>
              </w:rPr>
              <w:t>、废气</w:t>
            </w:r>
          </w:p>
          <w:p w14:paraId="0BEB6CFC">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firstLine="482"/>
              <w:jc w:val="both"/>
              <w:textAlignment w:val="auto"/>
              <w:rPr>
                <w:rFonts w:hint="eastAsia" w:eastAsia="宋体"/>
                <w:color w:val="000000"/>
                <w:highlight w:val="none"/>
                <w:lang w:eastAsia="zh-CN"/>
              </w:rPr>
            </w:pPr>
            <w:r>
              <w:rPr>
                <w:rFonts w:hint="eastAsia"/>
                <w:color w:val="000000"/>
                <w:highlight w:val="none"/>
              </w:rPr>
              <w:t>施工期扬尘排放浓度限值执行《施工场地扬尘排放标准》（</w:t>
            </w:r>
            <w:r>
              <w:rPr>
                <w:rFonts w:hint="default"/>
                <w:color w:val="000000"/>
                <w:highlight w:val="none"/>
              </w:rPr>
              <w:t>DB13/2934-2019</w:t>
            </w:r>
            <w:r>
              <w:rPr>
                <w:rFonts w:hint="eastAsia"/>
                <w:color w:val="000000"/>
                <w:highlight w:val="none"/>
              </w:rPr>
              <w:t>）</w:t>
            </w:r>
            <w:r>
              <w:rPr>
                <w:rFonts w:hint="eastAsia"/>
                <w:color w:val="000000"/>
                <w:highlight w:val="none"/>
                <w:lang w:eastAsia="zh-CN"/>
              </w:rPr>
              <w:t>。</w:t>
            </w:r>
          </w:p>
          <w:p w14:paraId="3190A2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80" w:lineRule="exact"/>
              <w:ind w:left="0" w:right="0"/>
              <w:jc w:val="center"/>
              <w:textAlignment w:val="auto"/>
              <w:rPr>
                <w:rFonts w:hint="default"/>
                <w:b/>
                <w:color w:val="000000"/>
                <w:sz w:val="24"/>
                <w:szCs w:val="24"/>
                <w:highlight w:val="none"/>
              </w:rPr>
            </w:pPr>
            <w:r>
              <w:rPr>
                <w:rFonts w:hint="eastAsia"/>
                <w:b/>
                <w:color w:val="000000"/>
                <w:sz w:val="24"/>
                <w:szCs w:val="24"/>
                <w:highlight w:val="none"/>
              </w:rPr>
              <w:t>表</w:t>
            </w:r>
            <w:r>
              <w:rPr>
                <w:rFonts w:hint="eastAsia"/>
                <w:b/>
                <w:color w:val="000000"/>
                <w:sz w:val="24"/>
                <w:szCs w:val="24"/>
                <w:highlight w:val="none"/>
                <w:lang w:val="en-US" w:eastAsia="zh-CN"/>
              </w:rPr>
              <w:t>2-8</w:t>
            </w:r>
            <w:r>
              <w:rPr>
                <w:rFonts w:hint="eastAsia"/>
                <w:b/>
                <w:color w:val="000000"/>
                <w:sz w:val="24"/>
                <w:szCs w:val="24"/>
                <w:highlight w:val="none"/>
              </w:rPr>
              <w:t xml:space="preserve"> </w:t>
            </w:r>
            <w:r>
              <w:rPr>
                <w:rFonts w:hint="eastAsia"/>
                <w:b/>
                <w:color w:val="000000"/>
                <w:sz w:val="24"/>
                <w:szCs w:val="24"/>
                <w:highlight w:val="none"/>
                <w:lang w:val="en-US" w:eastAsia="zh-CN"/>
              </w:rPr>
              <w:t xml:space="preserve"> </w:t>
            </w:r>
            <w:r>
              <w:rPr>
                <w:rFonts w:hint="eastAsia"/>
                <w:b/>
                <w:color w:val="000000"/>
                <w:sz w:val="24"/>
                <w:szCs w:val="24"/>
                <w:highlight w:val="none"/>
              </w:rPr>
              <w:t xml:space="preserve"> 扬尘无组织排放监控浓度限值</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93"/>
              <w:gridCol w:w="2796"/>
              <w:gridCol w:w="2803"/>
            </w:tblGrid>
            <w:tr w14:paraId="3013B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64" w:type="pct"/>
                  <w:noWrap w:val="0"/>
                  <w:vAlign w:val="center"/>
                </w:tcPr>
                <w:p w14:paraId="2B15D241">
                  <w:pPr>
                    <w:keepNext w:val="0"/>
                    <w:keepLines w:val="0"/>
                    <w:widowControl/>
                    <w:suppressLineNumbers w:val="0"/>
                    <w:spacing w:before="0" w:beforeAutospacing="0" w:after="0" w:afterAutospacing="0"/>
                    <w:ind w:left="0" w:right="0"/>
                    <w:jc w:val="center"/>
                    <w:rPr>
                      <w:rFonts w:hint="default" w:cs="宋体"/>
                      <w:color w:val="000000"/>
                      <w:kern w:val="0"/>
                      <w:szCs w:val="21"/>
                      <w:highlight w:val="none"/>
                    </w:rPr>
                  </w:pPr>
                  <w:r>
                    <w:rPr>
                      <w:rFonts w:hint="eastAsia" w:cs="宋体"/>
                      <w:color w:val="000000"/>
                      <w:kern w:val="0"/>
                      <w:szCs w:val="21"/>
                      <w:highlight w:val="none"/>
                    </w:rPr>
                    <w:t>控制项目</w:t>
                  </w:r>
                </w:p>
              </w:tc>
              <w:tc>
                <w:tcPr>
                  <w:tcW w:w="1666" w:type="pct"/>
                  <w:noWrap w:val="0"/>
                  <w:vAlign w:val="center"/>
                </w:tcPr>
                <w:p w14:paraId="2209FEB7">
                  <w:pPr>
                    <w:keepNext w:val="0"/>
                    <w:keepLines w:val="0"/>
                    <w:widowControl/>
                    <w:suppressLineNumbers w:val="0"/>
                    <w:spacing w:before="0" w:beforeAutospacing="0" w:after="0" w:afterAutospacing="0"/>
                    <w:ind w:left="0" w:right="0"/>
                    <w:jc w:val="center"/>
                    <w:rPr>
                      <w:rFonts w:hint="default" w:cs="宋体"/>
                      <w:color w:val="000000"/>
                      <w:kern w:val="0"/>
                      <w:szCs w:val="21"/>
                      <w:highlight w:val="none"/>
                    </w:rPr>
                  </w:pPr>
                  <w:r>
                    <w:rPr>
                      <w:rFonts w:hint="eastAsia" w:cs="宋体"/>
                      <w:color w:val="000000"/>
                      <w:kern w:val="0"/>
                      <w:szCs w:val="21"/>
                      <w:highlight w:val="none"/>
                    </w:rPr>
                    <w:t>控点浓度限值（</w:t>
                  </w:r>
                  <w:r>
                    <w:rPr>
                      <w:rFonts w:hint="default" w:cs="宋体"/>
                      <w:color w:val="000000"/>
                      <w:kern w:val="0"/>
                      <w:szCs w:val="21"/>
                      <w:highlight w:val="none"/>
                    </w:rPr>
                    <w:t>μg/m</w:t>
                  </w:r>
                  <w:r>
                    <w:rPr>
                      <w:rFonts w:hint="default" w:cs="宋体"/>
                      <w:color w:val="000000"/>
                      <w:kern w:val="0"/>
                      <w:szCs w:val="21"/>
                      <w:highlight w:val="none"/>
                      <w:vertAlign w:val="superscript"/>
                    </w:rPr>
                    <w:t>3</w:t>
                  </w:r>
                  <w:r>
                    <w:rPr>
                      <w:rFonts w:hint="eastAsia" w:cs="宋体"/>
                      <w:color w:val="000000"/>
                      <w:kern w:val="0"/>
                      <w:szCs w:val="21"/>
                      <w:highlight w:val="none"/>
                    </w:rPr>
                    <w:t>）</w:t>
                  </w:r>
                </w:p>
              </w:tc>
              <w:tc>
                <w:tcPr>
                  <w:tcW w:w="1669" w:type="pct"/>
                  <w:noWrap w:val="0"/>
                  <w:vAlign w:val="center"/>
                </w:tcPr>
                <w:p w14:paraId="439BBEB0">
                  <w:pPr>
                    <w:keepNext w:val="0"/>
                    <w:keepLines w:val="0"/>
                    <w:widowControl/>
                    <w:suppressLineNumbers w:val="0"/>
                    <w:spacing w:before="0" w:beforeAutospacing="0" w:after="0" w:afterAutospacing="0"/>
                    <w:ind w:left="0" w:right="0"/>
                    <w:jc w:val="center"/>
                    <w:rPr>
                      <w:rFonts w:hint="default" w:cs="宋体"/>
                      <w:color w:val="000000"/>
                      <w:kern w:val="0"/>
                      <w:szCs w:val="21"/>
                      <w:highlight w:val="none"/>
                    </w:rPr>
                  </w:pPr>
                  <w:r>
                    <w:rPr>
                      <w:rFonts w:hint="eastAsia" w:cs="宋体"/>
                      <w:color w:val="000000"/>
                      <w:kern w:val="0"/>
                      <w:szCs w:val="21"/>
                      <w:highlight w:val="none"/>
                    </w:rPr>
                    <w:t>达标判定依据（次</w:t>
                  </w:r>
                  <w:r>
                    <w:rPr>
                      <w:rFonts w:hint="default" w:cs="宋体"/>
                      <w:color w:val="000000"/>
                      <w:kern w:val="0"/>
                      <w:szCs w:val="21"/>
                      <w:highlight w:val="none"/>
                    </w:rPr>
                    <w:t>/</w:t>
                  </w:r>
                  <w:r>
                    <w:rPr>
                      <w:rFonts w:hint="eastAsia" w:cs="宋体"/>
                      <w:color w:val="000000"/>
                      <w:kern w:val="0"/>
                      <w:szCs w:val="21"/>
                      <w:highlight w:val="none"/>
                    </w:rPr>
                    <w:t>天）</w:t>
                  </w:r>
                </w:p>
              </w:tc>
            </w:tr>
            <w:tr w14:paraId="085A0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664" w:type="pct"/>
                  <w:noWrap w:val="0"/>
                  <w:vAlign w:val="center"/>
                </w:tcPr>
                <w:p w14:paraId="2C2C6B3F">
                  <w:pPr>
                    <w:keepNext w:val="0"/>
                    <w:keepLines w:val="0"/>
                    <w:widowControl/>
                    <w:suppressLineNumbers w:val="0"/>
                    <w:spacing w:before="0" w:beforeAutospacing="0" w:after="0" w:afterAutospacing="0"/>
                    <w:ind w:left="0" w:right="0"/>
                    <w:jc w:val="center"/>
                    <w:rPr>
                      <w:rFonts w:hint="default" w:cs="宋体"/>
                      <w:color w:val="000000"/>
                      <w:kern w:val="0"/>
                      <w:szCs w:val="21"/>
                      <w:highlight w:val="none"/>
                    </w:rPr>
                  </w:pPr>
                  <w:r>
                    <w:rPr>
                      <w:rFonts w:hint="default" w:cs="宋体"/>
                      <w:color w:val="000000"/>
                      <w:kern w:val="0"/>
                      <w:szCs w:val="21"/>
                      <w:highlight w:val="none"/>
                    </w:rPr>
                    <w:t>PM</w:t>
                  </w:r>
                  <w:r>
                    <w:rPr>
                      <w:rFonts w:hint="default" w:cs="宋体"/>
                      <w:color w:val="000000"/>
                      <w:kern w:val="0"/>
                      <w:szCs w:val="21"/>
                      <w:highlight w:val="none"/>
                      <w:vertAlign w:val="subscript"/>
                    </w:rPr>
                    <w:t>10</w:t>
                  </w:r>
                </w:p>
              </w:tc>
              <w:tc>
                <w:tcPr>
                  <w:tcW w:w="1666" w:type="pct"/>
                  <w:noWrap w:val="0"/>
                  <w:vAlign w:val="center"/>
                </w:tcPr>
                <w:p w14:paraId="35C74003">
                  <w:pPr>
                    <w:keepNext w:val="0"/>
                    <w:keepLines w:val="0"/>
                    <w:widowControl/>
                    <w:suppressLineNumbers w:val="0"/>
                    <w:spacing w:before="0" w:beforeAutospacing="0" w:after="0" w:afterAutospacing="0"/>
                    <w:ind w:left="0" w:right="0"/>
                    <w:jc w:val="center"/>
                    <w:rPr>
                      <w:rFonts w:hint="default" w:cs="宋体"/>
                      <w:color w:val="000000"/>
                      <w:kern w:val="0"/>
                      <w:szCs w:val="21"/>
                      <w:highlight w:val="none"/>
                    </w:rPr>
                  </w:pPr>
                  <w:r>
                    <w:rPr>
                      <w:rFonts w:hint="default" w:cs="宋体"/>
                      <w:color w:val="000000"/>
                      <w:kern w:val="0"/>
                      <w:szCs w:val="21"/>
                      <w:highlight w:val="none"/>
                    </w:rPr>
                    <w:t>80</w:t>
                  </w:r>
                </w:p>
              </w:tc>
              <w:tc>
                <w:tcPr>
                  <w:tcW w:w="1669" w:type="pct"/>
                  <w:noWrap w:val="0"/>
                  <w:vAlign w:val="center"/>
                </w:tcPr>
                <w:p w14:paraId="69FD3BFE">
                  <w:pPr>
                    <w:keepNext w:val="0"/>
                    <w:keepLines w:val="0"/>
                    <w:widowControl/>
                    <w:suppressLineNumbers w:val="0"/>
                    <w:spacing w:before="0" w:beforeAutospacing="0" w:after="0" w:afterAutospacing="0"/>
                    <w:ind w:left="0" w:right="0"/>
                    <w:jc w:val="center"/>
                    <w:rPr>
                      <w:rFonts w:hint="default" w:cs="宋体"/>
                      <w:color w:val="000000"/>
                      <w:kern w:val="0"/>
                      <w:szCs w:val="21"/>
                      <w:highlight w:val="none"/>
                    </w:rPr>
                  </w:pPr>
                  <w:r>
                    <w:rPr>
                      <w:rFonts w:hint="default" w:cs="宋体"/>
                      <w:color w:val="000000"/>
                      <w:kern w:val="0"/>
                      <w:szCs w:val="21"/>
                      <w:highlight w:val="none"/>
                    </w:rPr>
                    <w:t>≤2</w:t>
                  </w:r>
                </w:p>
              </w:tc>
            </w:tr>
            <w:tr w14:paraId="3BA35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3"/>
                  <w:noWrap w:val="0"/>
                  <w:vAlign w:val="center"/>
                </w:tcPr>
                <w:p w14:paraId="452CE1A9">
                  <w:pPr>
                    <w:keepNext w:val="0"/>
                    <w:keepLines w:val="0"/>
                    <w:widowControl/>
                    <w:suppressLineNumbers w:val="0"/>
                    <w:spacing w:before="0" w:beforeAutospacing="0" w:after="0" w:afterAutospacing="0"/>
                    <w:ind w:left="0" w:right="0"/>
                    <w:jc w:val="center"/>
                    <w:rPr>
                      <w:rFonts w:hint="eastAsia" w:eastAsia="宋体"/>
                      <w:color w:val="000000"/>
                      <w:highlight w:val="none"/>
                      <w:lang w:eastAsia="zh-CN"/>
                    </w:rPr>
                  </w:pPr>
                  <w:r>
                    <w:rPr>
                      <w:rFonts w:hint="default" w:cs="宋体"/>
                      <w:color w:val="000000"/>
                      <w:kern w:val="0"/>
                      <w:szCs w:val="21"/>
                      <w:highlight w:val="none"/>
                    </w:rPr>
                    <w:t>*</w:t>
                  </w:r>
                  <w:r>
                    <w:rPr>
                      <w:rFonts w:hint="eastAsia" w:cs="宋体"/>
                      <w:color w:val="000000"/>
                      <w:kern w:val="0"/>
                      <w:szCs w:val="21"/>
                      <w:highlight w:val="none"/>
                    </w:rPr>
                    <w:t>指监测点</w:t>
                  </w:r>
                  <w:r>
                    <w:rPr>
                      <w:rFonts w:hint="default" w:cs="宋体"/>
                      <w:color w:val="000000"/>
                      <w:kern w:val="0"/>
                      <w:szCs w:val="21"/>
                      <w:highlight w:val="none"/>
                    </w:rPr>
                    <w:t>PM</w:t>
                  </w:r>
                  <w:r>
                    <w:rPr>
                      <w:rFonts w:hint="default" w:cs="宋体"/>
                      <w:color w:val="000000"/>
                      <w:kern w:val="0"/>
                      <w:szCs w:val="21"/>
                      <w:highlight w:val="none"/>
                      <w:vertAlign w:val="subscript"/>
                    </w:rPr>
                    <w:t>10</w:t>
                  </w:r>
                  <w:r>
                    <w:rPr>
                      <w:rFonts w:hint="eastAsia" w:cs="宋体"/>
                      <w:color w:val="000000"/>
                      <w:kern w:val="0"/>
                      <w:szCs w:val="21"/>
                      <w:highlight w:val="none"/>
                    </w:rPr>
                    <w:t>小时平均浓度实测值与同时段所属县（市、区）</w:t>
                  </w:r>
                  <w:r>
                    <w:rPr>
                      <w:rFonts w:hint="default" w:cs="宋体"/>
                      <w:color w:val="000000"/>
                      <w:kern w:val="0"/>
                      <w:szCs w:val="21"/>
                      <w:highlight w:val="none"/>
                    </w:rPr>
                    <w:t>PM</w:t>
                  </w:r>
                  <w:r>
                    <w:rPr>
                      <w:rFonts w:hint="default" w:cs="宋体"/>
                      <w:color w:val="000000"/>
                      <w:kern w:val="0"/>
                      <w:szCs w:val="21"/>
                      <w:highlight w:val="none"/>
                      <w:vertAlign w:val="subscript"/>
                    </w:rPr>
                    <w:t>10</w:t>
                  </w:r>
                  <w:r>
                    <w:rPr>
                      <w:rFonts w:hint="eastAsia" w:cs="宋体"/>
                      <w:color w:val="000000"/>
                      <w:kern w:val="0"/>
                      <w:szCs w:val="21"/>
                      <w:highlight w:val="none"/>
                    </w:rPr>
                    <w:t>小时平均浓度的差值，当县（市、区）</w:t>
                  </w:r>
                  <w:r>
                    <w:rPr>
                      <w:rFonts w:hint="default" w:cs="宋体"/>
                      <w:color w:val="000000"/>
                      <w:kern w:val="0"/>
                      <w:szCs w:val="21"/>
                      <w:highlight w:val="none"/>
                    </w:rPr>
                    <w:t>PM</w:t>
                  </w:r>
                  <w:r>
                    <w:rPr>
                      <w:rFonts w:hint="default" w:cs="宋体"/>
                      <w:color w:val="000000"/>
                      <w:kern w:val="0"/>
                      <w:szCs w:val="21"/>
                      <w:highlight w:val="none"/>
                      <w:vertAlign w:val="subscript"/>
                    </w:rPr>
                    <w:t>10</w:t>
                  </w:r>
                  <w:r>
                    <w:rPr>
                      <w:rFonts w:hint="eastAsia" w:cs="宋体"/>
                      <w:color w:val="000000"/>
                      <w:kern w:val="0"/>
                      <w:szCs w:val="21"/>
                      <w:highlight w:val="none"/>
                    </w:rPr>
                    <w:t>小时平均浓度值大于</w:t>
                  </w:r>
                  <w:r>
                    <w:rPr>
                      <w:rFonts w:hint="default" w:cs="宋体"/>
                      <w:color w:val="000000"/>
                      <w:kern w:val="0"/>
                      <w:szCs w:val="21"/>
                      <w:highlight w:val="none"/>
                    </w:rPr>
                    <w:t>150ug/m</w:t>
                  </w:r>
                  <w:r>
                    <w:rPr>
                      <w:rFonts w:hint="default" w:cs="宋体"/>
                      <w:color w:val="000000"/>
                      <w:kern w:val="0"/>
                      <w:szCs w:val="21"/>
                      <w:highlight w:val="none"/>
                      <w:vertAlign w:val="superscript"/>
                    </w:rPr>
                    <w:t>3</w:t>
                  </w:r>
                  <w:r>
                    <w:rPr>
                      <w:rFonts w:hint="eastAsia" w:cs="宋体"/>
                      <w:color w:val="000000"/>
                      <w:kern w:val="0"/>
                      <w:szCs w:val="21"/>
                      <w:highlight w:val="none"/>
                    </w:rPr>
                    <w:t>时，以</w:t>
                  </w:r>
                  <w:r>
                    <w:rPr>
                      <w:rFonts w:hint="default" w:cs="宋体"/>
                      <w:color w:val="000000"/>
                      <w:kern w:val="0"/>
                      <w:szCs w:val="21"/>
                      <w:highlight w:val="none"/>
                    </w:rPr>
                    <w:t>150ug/m</w:t>
                  </w:r>
                  <w:r>
                    <w:rPr>
                      <w:rFonts w:hint="default" w:cs="宋体"/>
                      <w:color w:val="000000"/>
                      <w:kern w:val="0"/>
                      <w:szCs w:val="21"/>
                      <w:highlight w:val="none"/>
                      <w:vertAlign w:val="superscript"/>
                    </w:rPr>
                    <w:t>3</w:t>
                  </w:r>
                  <w:r>
                    <w:rPr>
                      <w:rFonts w:hint="eastAsia" w:cs="宋体"/>
                      <w:color w:val="000000"/>
                      <w:kern w:val="0"/>
                      <w:szCs w:val="21"/>
                      <w:highlight w:val="none"/>
                    </w:rPr>
                    <w:t>计</w:t>
                  </w:r>
                  <w:r>
                    <w:rPr>
                      <w:rFonts w:hint="eastAsia" w:cs="宋体"/>
                      <w:color w:val="000000"/>
                      <w:kern w:val="0"/>
                      <w:szCs w:val="21"/>
                      <w:highlight w:val="none"/>
                      <w:lang w:eastAsia="zh-CN"/>
                    </w:rPr>
                    <w:t>。</w:t>
                  </w:r>
                </w:p>
              </w:tc>
            </w:tr>
          </w:tbl>
          <w:p w14:paraId="6D923FE7">
            <w:pPr>
              <w:pStyle w:val="13"/>
              <w:keepNext w:val="0"/>
              <w:keepLines w:val="0"/>
              <w:suppressLineNumbers w:val="0"/>
              <w:spacing w:before="0" w:beforeAutospacing="0" w:after="0" w:afterAutospacing="0" w:line="500" w:lineRule="exact"/>
              <w:ind w:left="0" w:right="0" w:firstLine="422"/>
              <w:rPr>
                <w:rFonts w:hint="default"/>
                <w:b/>
                <w:color w:val="000000"/>
                <w:highlight w:val="none"/>
              </w:rPr>
            </w:pPr>
            <w:r>
              <w:rPr>
                <w:rFonts w:hint="eastAsia"/>
                <w:b/>
                <w:color w:val="000000"/>
                <w:highlight w:val="none"/>
              </w:rPr>
              <w:t xml:space="preserve">3、固体废物 </w:t>
            </w:r>
          </w:p>
          <w:p w14:paraId="5074071F">
            <w:pPr>
              <w:pStyle w:val="13"/>
              <w:keepNext w:val="0"/>
              <w:keepLines w:val="0"/>
              <w:suppressLineNumbers w:val="0"/>
              <w:spacing w:before="0" w:beforeAutospacing="0" w:after="0" w:afterAutospacing="0" w:line="500" w:lineRule="exact"/>
              <w:ind w:left="0" w:right="0" w:firstLine="480"/>
              <w:rPr>
                <w:rFonts w:hint="default"/>
                <w:sz w:val="24"/>
                <w:szCs w:val="24"/>
                <w:highlight w:val="none"/>
              </w:rPr>
            </w:pPr>
            <w:r>
              <w:rPr>
                <w:rFonts w:hint="eastAsia"/>
                <w:color w:val="000000"/>
                <w:highlight w:val="none"/>
              </w:rPr>
              <w:t>施工期固体废物为建筑垃圾，执行《一般工业固体废物贮存和填埋污染控制标准》（GB18599-2020）中有关规定。</w:t>
            </w:r>
          </w:p>
          <w:p w14:paraId="2A961425">
            <w:pPr>
              <w:pStyle w:val="109"/>
              <w:keepNext w:val="0"/>
              <w:keepLines w:val="0"/>
              <w:suppressLineNumbers w:val="0"/>
              <w:spacing w:before="146" w:beforeAutospacing="0" w:after="0" w:afterAutospacing="0" w:line="360" w:lineRule="auto"/>
              <w:ind w:left="528" w:right="0"/>
              <w:rPr>
                <w:rFonts w:hint="default"/>
                <w:b/>
                <w:bCs/>
                <w:spacing w:val="-12"/>
                <w:sz w:val="24"/>
                <w:szCs w:val="24"/>
                <w:highlight w:val="none"/>
              </w:rPr>
            </w:pPr>
            <w:r>
              <w:rPr>
                <w:rFonts w:hint="default"/>
                <w:b/>
                <w:bCs/>
                <w:spacing w:val="-12"/>
                <w:sz w:val="24"/>
                <w:szCs w:val="24"/>
                <w:highlight w:val="none"/>
              </w:rPr>
              <w:t>运营期：</w:t>
            </w:r>
          </w:p>
          <w:p w14:paraId="488D84A3">
            <w:pPr>
              <w:pStyle w:val="34"/>
              <w:keepNext w:val="0"/>
              <w:keepLines w:val="0"/>
              <w:suppressLineNumbers w:val="0"/>
              <w:spacing w:before="0" w:beforeAutospacing="0" w:after="0" w:afterAutospacing="0" w:line="360" w:lineRule="auto"/>
              <w:ind w:left="0" w:leftChars="0" w:right="0" w:firstLine="480"/>
              <w:rPr>
                <w:rFonts w:hint="default"/>
                <w:color w:val="auto"/>
                <w:sz w:val="24"/>
                <w:szCs w:val="24"/>
                <w:highlight w:val="none"/>
              </w:rPr>
            </w:pPr>
            <w:r>
              <w:rPr>
                <w:rFonts w:hint="eastAsia"/>
                <w:color w:val="auto"/>
                <w:sz w:val="24"/>
                <w:szCs w:val="24"/>
                <w:highlight w:val="none"/>
              </w:rPr>
              <w:t>主要工艺流程说明：</w:t>
            </w:r>
          </w:p>
          <w:p w14:paraId="5070A916">
            <w:pPr>
              <w:pStyle w:val="34"/>
              <w:keepNext w:val="0"/>
              <w:keepLines w:val="0"/>
              <w:suppressLineNumbers w:val="0"/>
              <w:spacing w:before="0" w:beforeAutospacing="0" w:after="0" w:afterAutospacing="0" w:line="360" w:lineRule="auto"/>
              <w:ind w:left="0" w:leftChars="0" w:right="0" w:firstLine="480"/>
              <w:rPr>
                <w:rFonts w:hint="eastAsia" w:eastAsia="宋体"/>
                <w:color w:val="auto"/>
                <w:sz w:val="24"/>
                <w:szCs w:val="24"/>
                <w:highlight w:val="none"/>
                <w:lang w:val="en-US" w:eastAsia="zh-CN"/>
              </w:rPr>
            </w:pPr>
            <w:r>
              <w:rPr>
                <w:rFonts w:hint="eastAsia"/>
                <w:color w:val="auto"/>
                <w:sz w:val="24"/>
                <w:szCs w:val="24"/>
                <w:highlight w:val="none"/>
                <w:lang w:val="en-US" w:eastAsia="zh-CN"/>
              </w:rPr>
              <w:t>本项目不含</w:t>
            </w:r>
            <w:r>
              <w:rPr>
                <w:rFonts w:hint="eastAsia"/>
                <w:sz w:val="24"/>
                <w:szCs w:val="24"/>
                <w:highlight w:val="none"/>
              </w:rPr>
              <w:t>喷砂、酸洗、喷漆、喷涂、电镀等表面处理工序</w:t>
            </w:r>
            <w:r>
              <w:rPr>
                <w:rFonts w:hint="eastAsia"/>
                <w:sz w:val="24"/>
                <w:szCs w:val="24"/>
                <w:highlight w:val="none"/>
                <w:lang w:eastAsia="zh-CN"/>
              </w:rPr>
              <w:t>。</w:t>
            </w:r>
          </w:p>
          <w:p w14:paraId="2D36AD2D">
            <w:pPr>
              <w:pStyle w:val="34"/>
              <w:keepNext w:val="0"/>
              <w:keepLines w:val="0"/>
              <w:suppressLineNumbers w:val="0"/>
              <w:spacing w:before="0" w:beforeAutospacing="0" w:after="0" w:afterAutospacing="0" w:line="360" w:lineRule="auto"/>
              <w:ind w:left="0" w:leftChars="0" w:right="0" w:firstLine="480"/>
              <w:rPr>
                <w:rFonts w:hint="eastAsia" w:eastAsia="宋体"/>
                <w:color w:val="auto"/>
                <w:sz w:val="24"/>
                <w:szCs w:val="24"/>
                <w:highlight w:val="none"/>
                <w:lang w:val="en-US" w:eastAsia="zh-CN"/>
              </w:rPr>
            </w:pPr>
            <w:r>
              <w:rPr>
                <w:rFonts w:hint="eastAsia"/>
                <w:color w:val="auto"/>
                <w:sz w:val="24"/>
                <w:szCs w:val="24"/>
                <w:highlight w:val="none"/>
              </w:rPr>
              <w:t>（1）</w:t>
            </w:r>
            <w:r>
              <w:rPr>
                <w:rFonts w:hint="eastAsia"/>
                <w:color w:val="auto"/>
                <w:sz w:val="24"/>
                <w:szCs w:val="24"/>
                <w:highlight w:val="none"/>
                <w:lang w:eastAsia="zh-CN"/>
              </w:rPr>
              <w:t>来料外观检验</w:t>
            </w:r>
          </w:p>
          <w:p w14:paraId="259E5743">
            <w:pPr>
              <w:keepNext w:val="0"/>
              <w:keepLines w:val="0"/>
              <w:suppressLineNumbers w:val="0"/>
              <w:spacing w:before="0" w:beforeAutospacing="0" w:after="0" w:afterAutospacing="0" w:line="360" w:lineRule="auto"/>
              <w:ind w:left="0" w:right="0" w:firstLine="480" w:firstLineChars="200"/>
              <w:jc w:val="left"/>
              <w:rPr>
                <w:rFonts w:hint="default"/>
                <w:color w:val="auto"/>
                <w:sz w:val="24"/>
                <w:szCs w:val="24"/>
                <w:highlight w:val="none"/>
              </w:rPr>
            </w:pPr>
            <w:r>
              <w:rPr>
                <w:rFonts w:hint="default"/>
                <w:color w:val="auto"/>
                <w:kern w:val="0"/>
                <w:sz w:val="24"/>
                <w:szCs w:val="24"/>
                <w:highlight w:val="none"/>
              </w:rPr>
              <w:t>本项目来料为戴卡公司铸造、锻造的轮毂，首先进行来料检查，检查轮毂表面</w:t>
            </w:r>
            <w:r>
              <w:rPr>
                <w:rFonts w:hint="eastAsia"/>
                <w:color w:val="auto"/>
                <w:kern w:val="0"/>
                <w:sz w:val="24"/>
                <w:szCs w:val="24"/>
                <w:highlight w:val="none"/>
                <w:lang w:eastAsia="zh-CN"/>
              </w:rPr>
              <w:t>是否有划伤</w:t>
            </w:r>
            <w:r>
              <w:rPr>
                <w:rFonts w:hint="default"/>
                <w:color w:val="auto"/>
                <w:kern w:val="0"/>
                <w:sz w:val="24"/>
                <w:szCs w:val="24"/>
                <w:highlight w:val="none"/>
              </w:rPr>
              <w:t>等缺陷，良品即进入下一个工序，不良品退回甲方处理。不良品率小于 1%。</w:t>
            </w:r>
          </w:p>
          <w:p w14:paraId="46867CDB">
            <w:pPr>
              <w:keepNext w:val="0"/>
              <w:keepLines w:val="0"/>
              <w:suppressLineNumbers w:val="0"/>
              <w:spacing w:before="0" w:beforeAutospacing="0" w:after="0" w:afterAutospacing="0" w:line="360" w:lineRule="auto"/>
              <w:ind w:left="0" w:right="0" w:firstLine="480" w:firstLineChars="200"/>
              <w:jc w:val="left"/>
              <w:rPr>
                <w:rFonts w:hint="eastAsia"/>
                <w:color w:val="auto"/>
                <w:kern w:val="0"/>
                <w:sz w:val="24"/>
                <w:szCs w:val="24"/>
                <w:highlight w:val="none"/>
              </w:rPr>
            </w:pPr>
            <w:r>
              <w:rPr>
                <w:rFonts w:hint="default"/>
                <w:color w:val="auto"/>
                <w:kern w:val="0"/>
                <w:sz w:val="24"/>
                <w:szCs w:val="24"/>
                <w:highlight w:val="none"/>
              </w:rPr>
              <w:t>此工序</w:t>
            </w:r>
            <w:r>
              <w:rPr>
                <w:rFonts w:hint="eastAsia"/>
                <w:color w:val="auto"/>
                <w:kern w:val="0"/>
                <w:sz w:val="24"/>
                <w:szCs w:val="24"/>
                <w:highlight w:val="none"/>
                <w:lang w:eastAsia="zh-CN"/>
              </w:rPr>
              <w:t>无污染物产生</w:t>
            </w:r>
            <w:r>
              <w:rPr>
                <w:rFonts w:hint="eastAsia"/>
                <w:color w:val="auto"/>
                <w:kern w:val="0"/>
                <w:sz w:val="24"/>
                <w:szCs w:val="24"/>
                <w:highlight w:val="none"/>
              </w:rPr>
              <w:t>。</w:t>
            </w:r>
          </w:p>
          <w:p w14:paraId="3070BD65">
            <w:pPr>
              <w:pStyle w:val="34"/>
              <w:keepNext w:val="0"/>
              <w:keepLines w:val="0"/>
              <w:suppressLineNumbers w:val="0"/>
              <w:spacing w:before="0" w:beforeAutospacing="0" w:after="0" w:afterAutospacing="0" w:line="360" w:lineRule="auto"/>
              <w:ind w:left="0" w:leftChars="0" w:right="0" w:firstLine="480"/>
              <w:rPr>
                <w:rFonts w:hint="eastAsia" w:eastAsia="宋体"/>
                <w:color w:val="auto"/>
                <w:sz w:val="24"/>
                <w:szCs w:val="24"/>
                <w:highlight w:val="none"/>
                <w:lang w:eastAsia="zh-CN"/>
              </w:rPr>
            </w:pPr>
            <w:r>
              <w:rPr>
                <w:rFonts w:hint="eastAsia"/>
                <w:color w:val="auto"/>
                <w:sz w:val="24"/>
                <w:szCs w:val="24"/>
                <w:highlight w:val="none"/>
              </w:rPr>
              <w:t>（2）</w:t>
            </w:r>
            <w:r>
              <w:rPr>
                <w:rFonts w:hint="eastAsia"/>
                <w:color w:val="auto"/>
                <w:sz w:val="24"/>
                <w:szCs w:val="24"/>
                <w:highlight w:val="none"/>
                <w:lang w:eastAsia="zh-CN"/>
              </w:rPr>
              <w:t>角枪打磨</w:t>
            </w:r>
          </w:p>
          <w:p w14:paraId="7219DC29">
            <w:pPr>
              <w:pStyle w:val="34"/>
              <w:keepNext w:val="0"/>
              <w:keepLines w:val="0"/>
              <w:suppressLineNumbers w:val="0"/>
              <w:spacing w:before="0" w:beforeAutospacing="0" w:after="0" w:afterAutospacing="0" w:line="360" w:lineRule="auto"/>
              <w:ind w:left="0" w:leftChars="0" w:right="0" w:firstLine="480"/>
              <w:rPr>
                <w:rFonts w:hint="eastAsia"/>
                <w:color w:val="auto"/>
                <w:sz w:val="24"/>
                <w:szCs w:val="24"/>
                <w:highlight w:val="none"/>
                <w:lang w:eastAsia="zh-CN"/>
              </w:rPr>
            </w:pPr>
            <w:r>
              <w:rPr>
                <w:rFonts w:hint="eastAsia"/>
                <w:color w:val="auto"/>
                <w:sz w:val="24"/>
                <w:szCs w:val="24"/>
                <w:highlight w:val="none"/>
                <w:lang w:eastAsia="zh-CN"/>
              </w:rPr>
              <w:t>使用角磨机或砂纸对轮毂</w:t>
            </w:r>
            <w:r>
              <w:rPr>
                <w:rFonts w:hint="eastAsia"/>
                <w:color w:val="auto"/>
                <w:sz w:val="24"/>
                <w:szCs w:val="24"/>
                <w:highlight w:val="none"/>
                <w:lang w:val="en-US" w:eastAsia="zh-CN"/>
              </w:rPr>
              <w:t>窗口</w:t>
            </w:r>
            <w:r>
              <w:rPr>
                <w:rFonts w:hint="eastAsia"/>
                <w:color w:val="auto"/>
                <w:sz w:val="24"/>
                <w:szCs w:val="24"/>
                <w:highlight w:val="none"/>
                <w:lang w:eastAsia="zh-CN"/>
              </w:rPr>
              <w:t>进行粗打磨，去除表面金属毛刺凸点凹坑。</w:t>
            </w:r>
          </w:p>
          <w:p w14:paraId="6F74E6D8">
            <w:pPr>
              <w:pStyle w:val="34"/>
              <w:keepNext w:val="0"/>
              <w:keepLines w:val="0"/>
              <w:suppressLineNumbers w:val="0"/>
              <w:spacing w:before="0" w:beforeAutospacing="0" w:after="0" w:afterAutospacing="0" w:line="360" w:lineRule="auto"/>
              <w:ind w:left="0" w:leftChars="0" w:right="0" w:firstLine="480"/>
              <w:rPr>
                <w:rFonts w:hint="default"/>
                <w:color w:val="auto"/>
                <w:sz w:val="24"/>
                <w:szCs w:val="24"/>
                <w:highlight w:val="none"/>
                <w:lang w:val="en-US" w:eastAsia="zh-CN"/>
              </w:rPr>
            </w:pPr>
            <w:r>
              <w:rPr>
                <w:rFonts w:hint="eastAsia" w:cs="Times New Roman"/>
                <w:color w:val="auto"/>
                <w:kern w:val="0"/>
                <w:sz w:val="24"/>
                <w:szCs w:val="24"/>
                <w:highlight w:val="none"/>
                <w:lang w:val="en-US" w:eastAsia="zh-CN" w:bidi="ar-SA"/>
              </w:rPr>
              <w:t>此工序会产生粉尘、噪声和固废</w:t>
            </w:r>
            <w:r>
              <w:rPr>
                <w:rFonts w:hint="eastAsia"/>
                <w:color w:val="auto"/>
                <w:sz w:val="24"/>
                <w:szCs w:val="24"/>
                <w:highlight w:val="none"/>
                <w:lang w:val="en-US" w:eastAsia="zh-CN"/>
              </w:rPr>
              <w:t>。</w:t>
            </w:r>
          </w:p>
          <w:p w14:paraId="5C6E6EDB">
            <w:pPr>
              <w:pStyle w:val="34"/>
              <w:keepNext w:val="0"/>
              <w:keepLines w:val="0"/>
              <w:suppressLineNumbers w:val="0"/>
              <w:spacing w:before="0" w:beforeAutospacing="0" w:after="0" w:afterAutospacing="0" w:line="360" w:lineRule="auto"/>
              <w:ind w:left="0" w:leftChars="0" w:right="0" w:firstLine="480"/>
              <w:rPr>
                <w:rFonts w:hint="default"/>
                <w:color w:val="auto"/>
                <w:sz w:val="24"/>
                <w:szCs w:val="24"/>
                <w:highlight w:val="none"/>
                <w:lang w:val="en-US" w:eastAsia="zh-CN"/>
              </w:rPr>
            </w:pPr>
            <w:r>
              <w:rPr>
                <w:rFonts w:hint="eastAsia"/>
                <w:color w:val="auto"/>
                <w:sz w:val="24"/>
                <w:szCs w:val="24"/>
                <w:highlight w:val="none"/>
                <w:lang w:eastAsia="zh-CN"/>
              </w:rPr>
              <w:t>（</w:t>
            </w:r>
            <w:r>
              <w:rPr>
                <w:rFonts w:hint="eastAsia"/>
                <w:color w:val="auto"/>
                <w:sz w:val="24"/>
                <w:szCs w:val="24"/>
                <w:highlight w:val="none"/>
                <w:lang w:val="en-US" w:eastAsia="zh-CN"/>
              </w:rPr>
              <w:t>3</w:t>
            </w:r>
            <w:r>
              <w:rPr>
                <w:rFonts w:hint="eastAsia"/>
                <w:color w:val="auto"/>
                <w:sz w:val="24"/>
                <w:szCs w:val="24"/>
                <w:highlight w:val="none"/>
                <w:lang w:eastAsia="zh-CN"/>
              </w:rPr>
              <w:t>）</w:t>
            </w:r>
            <w:r>
              <w:rPr>
                <w:rFonts w:hint="eastAsia"/>
                <w:color w:val="auto"/>
                <w:sz w:val="24"/>
                <w:szCs w:val="24"/>
                <w:highlight w:val="none"/>
                <w:lang w:val="en-US" w:eastAsia="zh-CN"/>
              </w:rPr>
              <w:t>电动开砂</w:t>
            </w:r>
          </w:p>
          <w:p w14:paraId="166068BF">
            <w:pPr>
              <w:pStyle w:val="34"/>
              <w:keepNext w:val="0"/>
              <w:keepLines w:val="0"/>
              <w:suppressLineNumbers w:val="0"/>
              <w:spacing w:before="0" w:beforeAutospacing="0" w:after="0" w:afterAutospacing="0" w:line="360" w:lineRule="auto"/>
              <w:ind w:left="0" w:leftChars="0" w:right="0" w:firstLine="480"/>
              <w:rPr>
                <w:rFonts w:hint="default"/>
                <w:color w:val="auto"/>
                <w:sz w:val="24"/>
                <w:szCs w:val="24"/>
                <w:highlight w:val="none"/>
                <w:lang w:val="en-US" w:eastAsia="zh-CN"/>
              </w:rPr>
            </w:pPr>
            <w:r>
              <w:rPr>
                <w:rFonts w:hint="eastAsia"/>
                <w:color w:val="auto"/>
                <w:sz w:val="24"/>
                <w:szCs w:val="24"/>
                <w:highlight w:val="none"/>
                <w:lang w:val="en-US" w:eastAsia="zh-CN"/>
              </w:rPr>
              <w:t>使用电动研磨机配合砂轮片在去除毛刺凸点的基础上进行表面平整。砂轮片转速13000r/ min，打磨时间5-8分钟。抛光膏在13000转速的时候，温度在50℃左右，不会挥发有机废气，成分比较稳定。</w:t>
            </w:r>
          </w:p>
          <w:p w14:paraId="4DBABC7B">
            <w:pPr>
              <w:pStyle w:val="34"/>
              <w:keepNext w:val="0"/>
              <w:keepLines w:val="0"/>
              <w:suppressLineNumbers w:val="0"/>
              <w:spacing w:before="0" w:beforeAutospacing="0" w:after="0" w:afterAutospacing="0" w:line="360" w:lineRule="auto"/>
              <w:ind w:left="0" w:leftChars="0" w:right="0" w:firstLine="480"/>
              <w:rPr>
                <w:rFonts w:hint="default" w:ascii="Times New Roman" w:hAnsi="Times New Roman" w:eastAsia="宋体" w:cs="Times New Roman"/>
                <w:color w:val="1D41D5"/>
                <w:kern w:val="0"/>
                <w:sz w:val="24"/>
                <w:szCs w:val="24"/>
                <w:highlight w:val="none"/>
                <w:lang w:val="en-US" w:eastAsia="zh-CN" w:bidi="ar-SA"/>
              </w:rPr>
            </w:pPr>
            <w:r>
              <w:rPr>
                <w:rFonts w:hint="eastAsia" w:cs="Times New Roman"/>
                <w:color w:val="auto"/>
                <w:kern w:val="0"/>
                <w:sz w:val="24"/>
                <w:szCs w:val="24"/>
                <w:highlight w:val="none"/>
                <w:lang w:val="en-US" w:eastAsia="zh-CN" w:bidi="ar-SA"/>
              </w:rPr>
              <w:t>此工序会产生粉尘、噪声和固废</w:t>
            </w:r>
            <w:r>
              <w:rPr>
                <w:rFonts w:hint="eastAsia"/>
                <w:color w:val="auto"/>
                <w:sz w:val="24"/>
                <w:szCs w:val="24"/>
                <w:highlight w:val="none"/>
                <w:lang w:val="en-US" w:eastAsia="zh-CN"/>
              </w:rPr>
              <w:t>。</w:t>
            </w:r>
          </w:p>
          <w:p w14:paraId="23ABA40B">
            <w:pPr>
              <w:pStyle w:val="34"/>
              <w:keepNext w:val="0"/>
              <w:keepLines w:val="0"/>
              <w:suppressLineNumbers w:val="0"/>
              <w:spacing w:before="0" w:beforeAutospacing="0" w:after="0" w:afterAutospacing="0" w:line="360" w:lineRule="auto"/>
              <w:ind w:left="0" w:leftChars="0" w:right="0" w:firstLine="480"/>
              <w:rPr>
                <w:rFonts w:hint="eastAsia"/>
                <w:color w:val="auto"/>
                <w:sz w:val="24"/>
                <w:szCs w:val="24"/>
                <w:highlight w:val="none"/>
                <w:lang w:val="en-US" w:eastAsia="zh-CN"/>
              </w:rPr>
            </w:pPr>
            <w:r>
              <w:rPr>
                <w:rFonts w:hint="eastAsia"/>
                <w:color w:val="auto"/>
                <w:sz w:val="24"/>
                <w:szCs w:val="24"/>
                <w:highlight w:val="none"/>
                <w:lang w:eastAsia="zh-CN"/>
              </w:rPr>
              <w:t>（</w:t>
            </w:r>
            <w:r>
              <w:rPr>
                <w:rFonts w:hint="eastAsia"/>
                <w:color w:val="auto"/>
                <w:sz w:val="24"/>
                <w:szCs w:val="24"/>
                <w:highlight w:val="none"/>
                <w:lang w:val="en-US" w:eastAsia="zh-CN"/>
              </w:rPr>
              <w:t>4</w:t>
            </w:r>
            <w:r>
              <w:rPr>
                <w:rFonts w:hint="eastAsia"/>
                <w:color w:val="auto"/>
                <w:sz w:val="24"/>
                <w:szCs w:val="24"/>
                <w:highlight w:val="none"/>
                <w:lang w:eastAsia="zh-CN"/>
              </w:rPr>
              <w:t>）</w:t>
            </w:r>
            <w:r>
              <w:rPr>
                <w:rFonts w:hint="eastAsia"/>
                <w:color w:val="auto"/>
                <w:sz w:val="24"/>
                <w:szCs w:val="24"/>
                <w:highlight w:val="none"/>
                <w:lang w:val="en-US" w:eastAsia="zh-CN"/>
              </w:rPr>
              <w:t>研磨</w:t>
            </w:r>
          </w:p>
          <w:p w14:paraId="701E8B61">
            <w:pPr>
              <w:pStyle w:val="34"/>
              <w:keepNext w:val="0"/>
              <w:keepLines w:val="0"/>
              <w:suppressLineNumbers w:val="0"/>
              <w:spacing w:before="0" w:beforeAutospacing="0" w:after="0" w:afterAutospacing="0" w:line="360" w:lineRule="auto"/>
              <w:ind w:left="0" w:leftChars="0" w:right="0" w:firstLine="480"/>
              <w:rPr>
                <w:rFonts w:hint="default"/>
                <w:color w:val="auto"/>
                <w:sz w:val="24"/>
                <w:szCs w:val="24"/>
                <w:highlight w:val="none"/>
              </w:rPr>
            </w:pPr>
            <w:r>
              <w:rPr>
                <w:rFonts w:hint="eastAsia"/>
                <w:color w:val="auto"/>
                <w:sz w:val="24"/>
                <w:szCs w:val="24"/>
                <w:highlight w:val="none"/>
                <w:lang w:eastAsia="zh-CN"/>
              </w:rPr>
              <w:t>使用</w:t>
            </w:r>
            <w:r>
              <w:rPr>
                <w:rFonts w:hint="eastAsia"/>
                <w:color w:val="auto"/>
                <w:sz w:val="24"/>
                <w:szCs w:val="24"/>
                <w:highlight w:val="none"/>
                <w:lang w:val="en-US" w:eastAsia="zh-CN"/>
              </w:rPr>
              <w:t>气动</w:t>
            </w:r>
            <w:r>
              <w:rPr>
                <w:rFonts w:hint="eastAsia"/>
                <w:color w:val="auto"/>
                <w:sz w:val="24"/>
                <w:szCs w:val="24"/>
                <w:highlight w:val="none"/>
                <w:lang w:eastAsia="zh-CN"/>
              </w:rPr>
              <w:t>研磨</w:t>
            </w:r>
            <w:r>
              <w:rPr>
                <w:rFonts w:hint="eastAsia"/>
                <w:color w:val="auto"/>
                <w:sz w:val="24"/>
                <w:szCs w:val="24"/>
                <w:highlight w:val="none"/>
                <w:lang w:val="en-US" w:eastAsia="zh-CN"/>
              </w:rPr>
              <w:t>机配合砂轮片</w:t>
            </w:r>
            <w:r>
              <w:rPr>
                <w:rFonts w:hint="eastAsia"/>
                <w:color w:val="auto"/>
                <w:sz w:val="24"/>
                <w:szCs w:val="24"/>
                <w:highlight w:val="none"/>
                <w:lang w:eastAsia="zh-CN"/>
              </w:rPr>
              <w:t>对轮毂进行</w:t>
            </w:r>
            <w:r>
              <w:rPr>
                <w:rFonts w:hint="eastAsia"/>
                <w:color w:val="auto"/>
                <w:sz w:val="24"/>
                <w:szCs w:val="24"/>
                <w:highlight w:val="none"/>
                <w:lang w:val="en-US" w:eastAsia="zh-CN"/>
              </w:rPr>
              <w:t>粗抛光</w:t>
            </w:r>
            <w:r>
              <w:rPr>
                <w:rFonts w:hint="default"/>
                <w:color w:val="auto"/>
                <w:sz w:val="24"/>
                <w:szCs w:val="24"/>
                <w:highlight w:val="none"/>
              </w:rPr>
              <w:t>。</w:t>
            </w:r>
          </w:p>
          <w:p w14:paraId="07F4F79E">
            <w:pPr>
              <w:pStyle w:val="34"/>
              <w:keepNext w:val="0"/>
              <w:keepLines w:val="0"/>
              <w:suppressLineNumbers w:val="0"/>
              <w:spacing w:before="0" w:beforeAutospacing="0" w:after="0" w:afterAutospacing="0" w:line="360" w:lineRule="auto"/>
              <w:ind w:left="0" w:leftChars="0" w:right="0" w:firstLine="480"/>
              <w:rPr>
                <w:rFonts w:hint="eastAsia"/>
                <w:color w:val="auto"/>
                <w:sz w:val="24"/>
                <w:szCs w:val="24"/>
                <w:highlight w:val="none"/>
              </w:rPr>
            </w:pPr>
            <w:r>
              <w:rPr>
                <w:rFonts w:hint="eastAsia" w:cs="Times New Roman"/>
                <w:color w:val="auto"/>
                <w:kern w:val="0"/>
                <w:sz w:val="24"/>
                <w:szCs w:val="24"/>
                <w:highlight w:val="none"/>
                <w:lang w:val="en-US" w:eastAsia="zh-CN" w:bidi="ar-SA"/>
              </w:rPr>
              <w:t>此工序会产生粉尘、噪声和固废</w:t>
            </w:r>
            <w:r>
              <w:rPr>
                <w:rFonts w:hint="eastAsia"/>
                <w:color w:val="auto"/>
                <w:sz w:val="24"/>
                <w:szCs w:val="24"/>
                <w:highlight w:val="none"/>
                <w:lang w:val="en-US" w:eastAsia="zh-CN"/>
              </w:rPr>
              <w:t>。</w:t>
            </w:r>
          </w:p>
          <w:p w14:paraId="2C90AE41">
            <w:pPr>
              <w:pStyle w:val="34"/>
              <w:keepNext w:val="0"/>
              <w:keepLines w:val="0"/>
              <w:numPr>
                <w:ilvl w:val="0"/>
                <w:numId w:val="0"/>
              </w:numPr>
              <w:suppressLineNumbers w:val="0"/>
              <w:spacing w:before="0" w:beforeAutospacing="0" w:after="0" w:afterAutospacing="0" w:line="360" w:lineRule="auto"/>
              <w:ind w:left="420" w:leftChars="200" w:right="0" w:rightChars="0"/>
              <w:rPr>
                <w:rFonts w:hint="default"/>
                <w:color w:val="auto"/>
                <w:sz w:val="24"/>
                <w:szCs w:val="24"/>
                <w:highlight w:val="none"/>
                <w:lang w:val="en-US" w:eastAsia="zh-CN"/>
              </w:rPr>
            </w:pPr>
            <w:r>
              <w:rPr>
                <w:rFonts w:hint="eastAsia"/>
                <w:color w:val="auto"/>
                <w:sz w:val="24"/>
                <w:szCs w:val="24"/>
                <w:highlight w:val="none"/>
                <w:lang w:eastAsia="zh-CN"/>
              </w:rPr>
              <w:t>（</w:t>
            </w:r>
            <w:r>
              <w:rPr>
                <w:rFonts w:hint="eastAsia"/>
                <w:color w:val="auto"/>
                <w:sz w:val="24"/>
                <w:szCs w:val="24"/>
                <w:highlight w:val="none"/>
                <w:lang w:val="en-US" w:eastAsia="zh-CN"/>
              </w:rPr>
              <w:t>5</w:t>
            </w:r>
            <w:r>
              <w:rPr>
                <w:rFonts w:hint="eastAsia"/>
                <w:color w:val="auto"/>
                <w:sz w:val="24"/>
                <w:szCs w:val="24"/>
                <w:highlight w:val="none"/>
                <w:lang w:eastAsia="zh-CN"/>
              </w:rPr>
              <w:t>）</w:t>
            </w:r>
            <w:r>
              <w:rPr>
                <w:rFonts w:hint="eastAsia"/>
                <w:color w:val="auto"/>
                <w:sz w:val="24"/>
                <w:szCs w:val="24"/>
                <w:highlight w:val="none"/>
                <w:lang w:val="en-US" w:eastAsia="zh-CN"/>
              </w:rPr>
              <w:t>麻轮</w:t>
            </w:r>
          </w:p>
          <w:p w14:paraId="7D24FF18">
            <w:pPr>
              <w:pStyle w:val="34"/>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textAlignment w:val="auto"/>
              <w:rPr>
                <w:rFonts w:hint="default"/>
                <w:color w:val="auto"/>
                <w:sz w:val="24"/>
                <w:szCs w:val="24"/>
                <w:highlight w:val="none"/>
                <w:lang w:val="en-US" w:eastAsia="zh-CN"/>
              </w:rPr>
            </w:pPr>
            <w:r>
              <w:rPr>
                <w:rFonts w:hint="eastAsia"/>
                <w:color w:val="auto"/>
                <w:sz w:val="24"/>
                <w:szCs w:val="24"/>
                <w:highlight w:val="none"/>
                <w:lang w:val="en-US" w:eastAsia="zh-CN"/>
              </w:rPr>
              <w:t>麻轮均匀地涂抹抛光膏，调整转速使涂好绿色抛光膏的麻轮平稳、均匀地接触轮毂表面，有效去除轮毂表面的划痕和膜痕。</w:t>
            </w:r>
          </w:p>
          <w:p w14:paraId="7B7CFA2B">
            <w:pPr>
              <w:pStyle w:val="34"/>
              <w:keepNext w:val="0"/>
              <w:keepLines w:val="0"/>
              <w:suppressLineNumbers w:val="0"/>
              <w:spacing w:before="0" w:beforeAutospacing="0" w:after="0" w:afterAutospacing="0" w:line="360" w:lineRule="auto"/>
              <w:ind w:left="0" w:leftChars="0" w:right="0" w:firstLine="480"/>
              <w:rPr>
                <w:rFonts w:hint="eastAsia"/>
                <w:color w:val="auto"/>
                <w:sz w:val="24"/>
                <w:szCs w:val="24"/>
                <w:highlight w:val="none"/>
              </w:rPr>
            </w:pPr>
            <w:r>
              <w:rPr>
                <w:rFonts w:hint="eastAsia" w:cs="Times New Roman"/>
                <w:color w:val="auto"/>
                <w:kern w:val="0"/>
                <w:sz w:val="24"/>
                <w:szCs w:val="24"/>
                <w:highlight w:val="none"/>
                <w:lang w:val="en-US" w:eastAsia="zh-CN" w:bidi="ar-SA"/>
              </w:rPr>
              <w:t>此工序会产生粉尘、噪声和固废</w:t>
            </w:r>
            <w:r>
              <w:rPr>
                <w:rFonts w:hint="eastAsia"/>
                <w:color w:val="auto"/>
                <w:sz w:val="24"/>
                <w:szCs w:val="24"/>
                <w:highlight w:val="none"/>
                <w:lang w:val="en-US" w:eastAsia="zh-CN"/>
              </w:rPr>
              <w:t>。</w:t>
            </w:r>
          </w:p>
          <w:p w14:paraId="18AF2893">
            <w:pPr>
              <w:pStyle w:val="34"/>
              <w:keepNext w:val="0"/>
              <w:keepLines w:val="0"/>
              <w:numPr>
                <w:ilvl w:val="0"/>
                <w:numId w:val="0"/>
              </w:numPr>
              <w:suppressLineNumbers w:val="0"/>
              <w:spacing w:before="0" w:beforeAutospacing="0" w:after="0" w:afterAutospacing="0" w:line="360" w:lineRule="auto"/>
              <w:ind w:left="420" w:leftChars="200" w:right="0" w:rightChars="0"/>
              <w:rPr>
                <w:rFonts w:hint="default"/>
                <w:color w:val="auto"/>
                <w:sz w:val="24"/>
                <w:szCs w:val="24"/>
                <w:highlight w:val="none"/>
                <w:lang w:val="en-US" w:eastAsia="zh-CN"/>
              </w:rPr>
            </w:pPr>
            <w:r>
              <w:rPr>
                <w:rFonts w:hint="eastAsia"/>
                <w:color w:val="auto"/>
                <w:sz w:val="24"/>
                <w:szCs w:val="24"/>
                <w:highlight w:val="none"/>
                <w:lang w:eastAsia="zh-CN"/>
              </w:rPr>
              <w:t>（</w:t>
            </w:r>
            <w:r>
              <w:rPr>
                <w:rFonts w:hint="eastAsia"/>
                <w:color w:val="auto"/>
                <w:sz w:val="24"/>
                <w:szCs w:val="24"/>
                <w:highlight w:val="none"/>
                <w:lang w:val="en-US" w:eastAsia="zh-CN"/>
              </w:rPr>
              <w:t>6</w:t>
            </w:r>
            <w:r>
              <w:rPr>
                <w:rFonts w:hint="eastAsia"/>
                <w:color w:val="auto"/>
                <w:sz w:val="24"/>
                <w:szCs w:val="24"/>
                <w:highlight w:val="none"/>
                <w:lang w:eastAsia="zh-CN"/>
              </w:rPr>
              <w:t>）</w:t>
            </w:r>
            <w:r>
              <w:rPr>
                <w:rFonts w:hint="eastAsia"/>
                <w:color w:val="auto"/>
                <w:sz w:val="24"/>
                <w:szCs w:val="24"/>
                <w:highlight w:val="none"/>
                <w:lang w:val="en-US" w:eastAsia="zh-CN"/>
              </w:rPr>
              <w:t>硬布轮</w:t>
            </w:r>
          </w:p>
          <w:p w14:paraId="2BFF5437">
            <w:pPr>
              <w:pStyle w:val="34"/>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textAlignment w:val="auto"/>
              <w:rPr>
                <w:rFonts w:hint="default"/>
                <w:color w:val="auto"/>
                <w:sz w:val="24"/>
                <w:szCs w:val="24"/>
                <w:highlight w:val="none"/>
                <w:lang w:val="en-US" w:eastAsia="zh-CN"/>
              </w:rPr>
            </w:pPr>
            <w:r>
              <w:rPr>
                <w:rFonts w:hint="eastAsia"/>
                <w:color w:val="auto"/>
                <w:sz w:val="24"/>
                <w:szCs w:val="24"/>
                <w:highlight w:val="none"/>
                <w:lang w:val="en-US" w:eastAsia="zh-CN"/>
              </w:rPr>
              <w:t>硬布轮均匀地涂抹抛光膏，调整转速使涂好抛光膏的硬布轮平稳、均匀地接触轮毂表面，有效去除残留的细微划痕和磨痕。</w:t>
            </w:r>
          </w:p>
          <w:p w14:paraId="0A5E6C04">
            <w:pPr>
              <w:pStyle w:val="34"/>
              <w:keepNext w:val="0"/>
              <w:keepLines w:val="0"/>
              <w:suppressLineNumbers w:val="0"/>
              <w:spacing w:before="0" w:beforeAutospacing="0" w:after="0" w:afterAutospacing="0" w:line="360" w:lineRule="auto"/>
              <w:ind w:left="0" w:leftChars="0" w:right="0" w:firstLine="480"/>
              <w:rPr>
                <w:rFonts w:hint="eastAsia"/>
                <w:color w:val="auto"/>
                <w:sz w:val="24"/>
                <w:szCs w:val="24"/>
                <w:highlight w:val="none"/>
              </w:rPr>
            </w:pPr>
            <w:r>
              <w:rPr>
                <w:rFonts w:hint="eastAsia" w:cs="Times New Roman"/>
                <w:color w:val="auto"/>
                <w:kern w:val="0"/>
                <w:sz w:val="24"/>
                <w:szCs w:val="24"/>
                <w:highlight w:val="none"/>
                <w:lang w:val="en-US" w:eastAsia="zh-CN" w:bidi="ar-SA"/>
              </w:rPr>
              <w:t>此工序会产生粉尘、噪声和固废</w:t>
            </w:r>
            <w:r>
              <w:rPr>
                <w:rFonts w:hint="eastAsia"/>
                <w:color w:val="auto"/>
                <w:sz w:val="24"/>
                <w:szCs w:val="24"/>
                <w:highlight w:val="none"/>
                <w:lang w:val="en-US" w:eastAsia="zh-CN"/>
              </w:rPr>
              <w:t>。</w:t>
            </w:r>
          </w:p>
          <w:p w14:paraId="57BF8E6B">
            <w:pPr>
              <w:pStyle w:val="34"/>
              <w:keepNext w:val="0"/>
              <w:keepLines w:val="0"/>
              <w:numPr>
                <w:ilvl w:val="0"/>
                <w:numId w:val="0"/>
              </w:numPr>
              <w:suppressLineNumbers w:val="0"/>
              <w:spacing w:before="0" w:beforeAutospacing="0" w:after="0" w:afterAutospacing="0" w:line="360" w:lineRule="auto"/>
              <w:ind w:left="420" w:leftChars="200" w:right="0" w:rightChars="0"/>
              <w:rPr>
                <w:rFonts w:hint="default"/>
                <w:color w:val="auto"/>
                <w:sz w:val="24"/>
                <w:szCs w:val="24"/>
                <w:highlight w:val="none"/>
                <w:lang w:val="en-US" w:eastAsia="zh-CN"/>
              </w:rPr>
            </w:pPr>
            <w:r>
              <w:rPr>
                <w:rFonts w:hint="eastAsia"/>
                <w:color w:val="auto"/>
                <w:sz w:val="24"/>
                <w:szCs w:val="24"/>
                <w:highlight w:val="none"/>
                <w:lang w:eastAsia="zh-CN"/>
              </w:rPr>
              <w:t>（</w:t>
            </w:r>
            <w:r>
              <w:rPr>
                <w:rFonts w:hint="eastAsia"/>
                <w:color w:val="auto"/>
                <w:sz w:val="24"/>
                <w:szCs w:val="24"/>
                <w:highlight w:val="none"/>
                <w:lang w:val="en-US" w:eastAsia="zh-CN"/>
              </w:rPr>
              <w:t>7</w:t>
            </w:r>
            <w:r>
              <w:rPr>
                <w:rFonts w:hint="eastAsia"/>
                <w:color w:val="auto"/>
                <w:sz w:val="24"/>
                <w:szCs w:val="24"/>
                <w:highlight w:val="none"/>
                <w:lang w:eastAsia="zh-CN"/>
              </w:rPr>
              <w:t>）</w:t>
            </w:r>
            <w:r>
              <w:rPr>
                <w:rFonts w:hint="eastAsia"/>
                <w:color w:val="auto"/>
                <w:sz w:val="24"/>
                <w:szCs w:val="24"/>
                <w:highlight w:val="none"/>
                <w:lang w:val="en-US" w:eastAsia="zh-CN"/>
              </w:rPr>
              <w:t>软抛</w:t>
            </w:r>
          </w:p>
          <w:p w14:paraId="4DFF8453">
            <w:pPr>
              <w:pStyle w:val="34"/>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textAlignment w:val="auto"/>
              <w:rPr>
                <w:rFonts w:hint="default"/>
                <w:color w:val="auto"/>
                <w:sz w:val="24"/>
                <w:szCs w:val="24"/>
                <w:highlight w:val="none"/>
                <w:lang w:val="en-US" w:eastAsia="zh-CN"/>
              </w:rPr>
            </w:pPr>
            <w:r>
              <w:rPr>
                <w:rFonts w:hint="eastAsia"/>
                <w:color w:val="auto"/>
                <w:sz w:val="24"/>
                <w:szCs w:val="24"/>
                <w:highlight w:val="none"/>
                <w:lang w:val="en-US" w:eastAsia="zh-CN"/>
              </w:rPr>
              <w:t>软布轮均匀地涂抹抛光膏，调整转速使涂好抛光膏的硬布轮平稳、均匀地接触轮毂表面，可完全去除硬抛后可能残留的任何细微细微痕迹、雾感或光圈，属于精抛光。</w:t>
            </w:r>
          </w:p>
          <w:p w14:paraId="379815EC">
            <w:pPr>
              <w:pStyle w:val="34"/>
              <w:keepNext w:val="0"/>
              <w:keepLines w:val="0"/>
              <w:suppressLineNumbers w:val="0"/>
              <w:spacing w:before="0" w:beforeAutospacing="0" w:after="0" w:afterAutospacing="0" w:line="360" w:lineRule="auto"/>
              <w:ind w:left="0" w:leftChars="0" w:right="0" w:firstLine="480"/>
              <w:rPr>
                <w:rFonts w:hint="eastAsia"/>
                <w:color w:val="auto"/>
                <w:sz w:val="24"/>
                <w:szCs w:val="24"/>
                <w:highlight w:val="none"/>
              </w:rPr>
            </w:pPr>
            <w:r>
              <w:rPr>
                <w:rFonts w:hint="eastAsia" w:cs="Times New Roman"/>
                <w:color w:val="auto"/>
                <w:kern w:val="0"/>
                <w:sz w:val="24"/>
                <w:szCs w:val="24"/>
                <w:highlight w:val="none"/>
                <w:lang w:val="en-US" w:eastAsia="zh-CN" w:bidi="ar-SA"/>
              </w:rPr>
              <w:t>此工序会产生粉尘、噪声和固废</w:t>
            </w:r>
            <w:r>
              <w:rPr>
                <w:rFonts w:hint="eastAsia"/>
                <w:color w:val="auto"/>
                <w:sz w:val="24"/>
                <w:szCs w:val="24"/>
                <w:highlight w:val="none"/>
                <w:lang w:val="en-US" w:eastAsia="zh-CN"/>
              </w:rPr>
              <w:t>。</w:t>
            </w:r>
          </w:p>
          <w:p w14:paraId="394E68DC">
            <w:pPr>
              <w:pStyle w:val="34"/>
              <w:keepNext w:val="0"/>
              <w:keepLines w:val="0"/>
              <w:numPr>
                <w:ilvl w:val="0"/>
                <w:numId w:val="0"/>
              </w:numPr>
              <w:suppressLineNumbers w:val="0"/>
              <w:spacing w:before="0" w:beforeAutospacing="0" w:after="0" w:afterAutospacing="0" w:line="360" w:lineRule="auto"/>
              <w:ind w:left="420" w:leftChars="200" w:right="0" w:rightChars="0"/>
              <w:rPr>
                <w:rFonts w:hint="default"/>
                <w:color w:val="auto"/>
                <w:sz w:val="24"/>
                <w:szCs w:val="24"/>
                <w:highlight w:val="none"/>
                <w:lang w:val="en-US" w:eastAsia="zh-CN"/>
              </w:rPr>
            </w:pPr>
            <w:r>
              <w:rPr>
                <w:rFonts w:hint="eastAsia"/>
                <w:color w:val="auto"/>
                <w:sz w:val="24"/>
                <w:szCs w:val="24"/>
                <w:highlight w:val="none"/>
                <w:lang w:eastAsia="zh-CN"/>
              </w:rPr>
              <w:t>（</w:t>
            </w:r>
            <w:r>
              <w:rPr>
                <w:rFonts w:hint="eastAsia"/>
                <w:color w:val="auto"/>
                <w:sz w:val="24"/>
                <w:szCs w:val="24"/>
                <w:highlight w:val="none"/>
                <w:lang w:val="en-US" w:eastAsia="zh-CN"/>
              </w:rPr>
              <w:t>8</w:t>
            </w:r>
            <w:r>
              <w:rPr>
                <w:rFonts w:hint="eastAsia"/>
                <w:color w:val="auto"/>
                <w:sz w:val="24"/>
                <w:szCs w:val="24"/>
                <w:highlight w:val="none"/>
                <w:lang w:eastAsia="zh-CN"/>
              </w:rPr>
              <w:t>）</w:t>
            </w:r>
            <w:r>
              <w:rPr>
                <w:rFonts w:hint="eastAsia"/>
                <w:color w:val="auto"/>
                <w:sz w:val="24"/>
                <w:szCs w:val="24"/>
                <w:highlight w:val="none"/>
                <w:lang w:val="en-US" w:eastAsia="zh-CN"/>
              </w:rPr>
              <w:t>水磨</w:t>
            </w:r>
          </w:p>
          <w:p w14:paraId="5EEECB69">
            <w:pPr>
              <w:pStyle w:val="34"/>
              <w:keepNext w:val="0"/>
              <w:keepLines w:val="0"/>
              <w:suppressLineNumbers w:val="0"/>
              <w:spacing w:before="0" w:beforeAutospacing="0" w:after="0" w:afterAutospacing="0" w:line="360" w:lineRule="auto"/>
              <w:ind w:left="0" w:leftChars="0" w:right="0" w:firstLine="480"/>
              <w:rPr>
                <w:rFonts w:hint="default"/>
                <w:color w:val="auto"/>
                <w:sz w:val="24"/>
                <w:szCs w:val="24"/>
                <w:highlight w:val="none"/>
                <w:lang w:val="en-US" w:eastAsia="zh-CN"/>
              </w:rPr>
            </w:pPr>
            <w:r>
              <w:rPr>
                <w:rFonts w:hint="eastAsia"/>
                <w:color w:val="auto"/>
                <w:sz w:val="24"/>
                <w:szCs w:val="24"/>
                <w:highlight w:val="none"/>
                <w:lang w:val="en-US" w:eastAsia="zh-CN"/>
              </w:rPr>
              <w:t>水磨机中加入锆球，利用锆球通过悬浮液渗透至轮毂表面微孔进行精密切削，使轮毂表面呈现镜面反射的效果。</w:t>
            </w:r>
          </w:p>
          <w:p w14:paraId="46C76C00">
            <w:pPr>
              <w:pStyle w:val="34"/>
              <w:keepNext w:val="0"/>
              <w:keepLines w:val="0"/>
              <w:suppressLineNumbers w:val="0"/>
              <w:spacing w:before="0" w:beforeAutospacing="0" w:after="0" w:afterAutospacing="0" w:line="360" w:lineRule="auto"/>
              <w:ind w:left="0" w:leftChars="0" w:right="0" w:firstLine="480"/>
              <w:rPr>
                <w:rFonts w:hint="eastAsia"/>
                <w:color w:val="auto"/>
                <w:sz w:val="24"/>
                <w:szCs w:val="24"/>
                <w:highlight w:val="none"/>
              </w:rPr>
            </w:pPr>
            <w:r>
              <w:rPr>
                <w:rFonts w:hint="eastAsia" w:cs="Times New Roman"/>
                <w:color w:val="auto"/>
                <w:kern w:val="0"/>
                <w:sz w:val="24"/>
                <w:szCs w:val="24"/>
                <w:highlight w:val="none"/>
                <w:lang w:val="en-US" w:eastAsia="zh-CN" w:bidi="ar-SA"/>
              </w:rPr>
              <w:t>此工序会产生噪声</w:t>
            </w:r>
            <w:r>
              <w:rPr>
                <w:rFonts w:hint="eastAsia"/>
                <w:color w:val="auto"/>
                <w:sz w:val="24"/>
                <w:szCs w:val="24"/>
                <w:highlight w:val="none"/>
                <w:lang w:val="en-US" w:eastAsia="zh-CN"/>
              </w:rPr>
              <w:t>。</w:t>
            </w:r>
          </w:p>
          <w:p w14:paraId="7445007A">
            <w:pPr>
              <w:pStyle w:val="34"/>
              <w:keepNext w:val="0"/>
              <w:keepLines w:val="0"/>
              <w:numPr>
                <w:ilvl w:val="0"/>
                <w:numId w:val="0"/>
              </w:numPr>
              <w:suppressLineNumbers w:val="0"/>
              <w:spacing w:before="0" w:beforeAutospacing="0" w:after="0" w:afterAutospacing="0" w:line="360" w:lineRule="auto"/>
              <w:ind w:left="420" w:leftChars="200" w:right="0" w:rightChars="0"/>
              <w:rPr>
                <w:rFonts w:hint="default"/>
                <w:color w:val="auto"/>
                <w:sz w:val="24"/>
                <w:szCs w:val="24"/>
                <w:highlight w:val="none"/>
              </w:rPr>
            </w:pPr>
            <w:r>
              <w:rPr>
                <w:rFonts w:hint="eastAsia"/>
                <w:color w:val="auto"/>
                <w:sz w:val="24"/>
                <w:szCs w:val="24"/>
                <w:highlight w:val="none"/>
                <w:lang w:eastAsia="zh-CN"/>
              </w:rPr>
              <w:t>（</w:t>
            </w:r>
            <w:r>
              <w:rPr>
                <w:rFonts w:hint="eastAsia"/>
                <w:color w:val="auto"/>
                <w:sz w:val="24"/>
                <w:szCs w:val="24"/>
                <w:highlight w:val="none"/>
                <w:lang w:val="en-US" w:eastAsia="zh-CN"/>
              </w:rPr>
              <w:t>9</w:t>
            </w:r>
            <w:r>
              <w:rPr>
                <w:rFonts w:hint="eastAsia"/>
                <w:color w:val="auto"/>
                <w:sz w:val="24"/>
                <w:szCs w:val="24"/>
                <w:highlight w:val="none"/>
                <w:lang w:eastAsia="zh-CN"/>
              </w:rPr>
              <w:t>）清洗</w:t>
            </w:r>
          </w:p>
          <w:p w14:paraId="6E4386C6">
            <w:pPr>
              <w:pStyle w:val="34"/>
              <w:keepNext w:val="0"/>
              <w:keepLines w:val="0"/>
              <w:suppressLineNumbers w:val="0"/>
              <w:spacing w:before="0" w:beforeAutospacing="0" w:after="0" w:afterAutospacing="0" w:line="360" w:lineRule="auto"/>
              <w:ind w:left="0" w:leftChars="0" w:right="0" w:firstLine="480"/>
              <w:rPr>
                <w:rFonts w:hint="eastAsia"/>
                <w:color w:val="auto"/>
                <w:sz w:val="24"/>
                <w:szCs w:val="24"/>
                <w:highlight w:val="none"/>
                <w:lang w:eastAsia="zh-CN"/>
              </w:rPr>
            </w:pPr>
            <w:r>
              <w:rPr>
                <w:rFonts w:hint="eastAsia"/>
                <w:color w:val="auto"/>
                <w:sz w:val="24"/>
                <w:szCs w:val="24"/>
                <w:highlight w:val="none"/>
                <w:lang w:eastAsia="zh-CN"/>
              </w:rPr>
              <w:t>清洗池中加入洗洁精，用浸透洗洁精水的海绵</w:t>
            </w:r>
            <w:r>
              <w:rPr>
                <w:rFonts w:hint="eastAsia"/>
                <w:color w:val="auto"/>
                <w:sz w:val="24"/>
                <w:szCs w:val="24"/>
                <w:highlight w:val="none"/>
                <w:lang w:val="en-US" w:eastAsia="zh-CN"/>
              </w:rPr>
              <w:t>或</w:t>
            </w:r>
            <w:r>
              <w:rPr>
                <w:rFonts w:hint="eastAsia"/>
                <w:color w:val="auto"/>
                <w:sz w:val="24"/>
                <w:szCs w:val="24"/>
                <w:highlight w:val="none"/>
                <w:lang w:eastAsia="zh-CN"/>
              </w:rPr>
              <w:t>软毛刷对轮毂进行清洗，用清水冲洗干净后，并用干净的纤维布擦干即可。</w:t>
            </w:r>
          </w:p>
          <w:p w14:paraId="229D470C">
            <w:pPr>
              <w:pStyle w:val="34"/>
              <w:keepNext w:val="0"/>
              <w:keepLines w:val="0"/>
              <w:suppressLineNumbers w:val="0"/>
              <w:spacing w:before="0" w:beforeAutospacing="0" w:after="0" w:afterAutospacing="0" w:line="360" w:lineRule="auto"/>
              <w:ind w:left="0" w:leftChars="0" w:right="0" w:firstLine="480"/>
              <w:rPr>
                <w:rFonts w:hint="eastAsia" w:eastAsia="宋体"/>
                <w:color w:val="auto"/>
                <w:sz w:val="24"/>
                <w:szCs w:val="24"/>
                <w:highlight w:val="none"/>
                <w:lang w:eastAsia="zh-CN"/>
              </w:rPr>
            </w:pPr>
            <w:r>
              <w:rPr>
                <w:rFonts w:hint="default"/>
                <w:color w:val="auto"/>
                <w:sz w:val="24"/>
                <w:szCs w:val="24"/>
                <w:highlight w:val="none"/>
              </w:rPr>
              <w:t>此工序产生</w:t>
            </w:r>
            <w:r>
              <w:rPr>
                <w:rFonts w:hint="eastAsia"/>
                <w:color w:val="auto"/>
                <w:sz w:val="24"/>
                <w:szCs w:val="24"/>
                <w:highlight w:val="none"/>
                <w:lang w:eastAsia="zh-CN"/>
              </w:rPr>
              <w:t>生产废水。</w:t>
            </w:r>
          </w:p>
          <w:p w14:paraId="6B389BC7">
            <w:pPr>
              <w:pStyle w:val="34"/>
              <w:keepNext w:val="0"/>
              <w:keepLines w:val="0"/>
              <w:numPr>
                <w:ilvl w:val="0"/>
                <w:numId w:val="0"/>
              </w:numPr>
              <w:suppressLineNumbers w:val="0"/>
              <w:spacing w:before="0" w:beforeAutospacing="0" w:after="0" w:afterAutospacing="0" w:line="360" w:lineRule="auto"/>
              <w:ind w:left="420" w:leftChars="200" w:right="0" w:rightChars="0"/>
              <w:rPr>
                <w:rFonts w:hint="default"/>
                <w:color w:val="auto"/>
                <w:sz w:val="24"/>
                <w:szCs w:val="24"/>
                <w:highlight w:val="none"/>
              </w:rPr>
            </w:pPr>
            <w:r>
              <w:rPr>
                <w:rFonts w:hint="eastAsia"/>
                <w:color w:val="auto"/>
                <w:sz w:val="24"/>
                <w:szCs w:val="24"/>
                <w:highlight w:val="none"/>
                <w:lang w:eastAsia="zh-CN"/>
              </w:rPr>
              <w:t>（</w:t>
            </w:r>
            <w:r>
              <w:rPr>
                <w:rFonts w:hint="eastAsia"/>
                <w:color w:val="auto"/>
                <w:sz w:val="24"/>
                <w:szCs w:val="24"/>
                <w:highlight w:val="none"/>
                <w:lang w:val="en-US" w:eastAsia="zh-CN"/>
              </w:rPr>
              <w:t>10</w:t>
            </w:r>
            <w:r>
              <w:rPr>
                <w:rFonts w:hint="eastAsia"/>
                <w:color w:val="auto"/>
                <w:sz w:val="24"/>
                <w:szCs w:val="24"/>
                <w:highlight w:val="none"/>
                <w:lang w:eastAsia="zh-CN"/>
              </w:rPr>
              <w:t>）</w:t>
            </w:r>
            <w:r>
              <w:rPr>
                <w:rFonts w:hint="default"/>
                <w:color w:val="auto"/>
                <w:sz w:val="24"/>
                <w:szCs w:val="24"/>
                <w:highlight w:val="none"/>
              </w:rPr>
              <w:t>检验</w:t>
            </w:r>
          </w:p>
          <w:p w14:paraId="6D333D8D">
            <w:pPr>
              <w:pStyle w:val="34"/>
              <w:keepNext w:val="0"/>
              <w:keepLines w:val="0"/>
              <w:suppressLineNumbers w:val="0"/>
              <w:spacing w:before="0" w:beforeAutospacing="0" w:after="0" w:afterAutospacing="0" w:line="360" w:lineRule="auto"/>
              <w:ind w:left="0" w:leftChars="0" w:right="0" w:firstLine="480"/>
              <w:rPr>
                <w:rFonts w:hint="eastAsia" w:eastAsia="宋体"/>
                <w:color w:val="auto"/>
                <w:sz w:val="24"/>
                <w:szCs w:val="24"/>
                <w:highlight w:val="none"/>
                <w:lang w:eastAsia="zh-CN"/>
              </w:rPr>
            </w:pPr>
            <w:r>
              <w:rPr>
                <w:rFonts w:hint="default"/>
                <w:color w:val="auto"/>
                <w:sz w:val="24"/>
                <w:szCs w:val="24"/>
                <w:highlight w:val="none"/>
              </w:rPr>
              <w:t>对</w:t>
            </w:r>
            <w:r>
              <w:rPr>
                <w:rFonts w:hint="eastAsia"/>
                <w:color w:val="auto"/>
                <w:sz w:val="24"/>
                <w:szCs w:val="24"/>
                <w:highlight w:val="none"/>
                <w:lang w:eastAsia="zh-CN"/>
              </w:rPr>
              <w:t>轮毂</w:t>
            </w:r>
            <w:r>
              <w:rPr>
                <w:rFonts w:hint="default"/>
                <w:color w:val="auto"/>
                <w:sz w:val="24"/>
                <w:szCs w:val="24"/>
                <w:highlight w:val="none"/>
              </w:rPr>
              <w:t>的外观、尺寸进行检验，确保产品符合质量标准。</w:t>
            </w:r>
          </w:p>
          <w:p w14:paraId="1CC1002A">
            <w:pPr>
              <w:pStyle w:val="15"/>
              <w:keepNext w:val="0"/>
              <w:keepLines w:val="0"/>
              <w:suppressLineNumbers w:val="0"/>
              <w:spacing w:before="0" w:beforeAutospacing="0" w:after="0" w:afterAutospacing="0" w:line="360" w:lineRule="auto"/>
              <w:ind w:left="0" w:leftChars="0" w:right="0" w:rightChars="0" w:firstLine="480" w:firstLineChars="200"/>
              <w:jc w:val="left"/>
              <w:rPr>
                <w:rFonts w:hint="eastAsia" w:eastAsia="宋体"/>
                <w:color w:val="auto"/>
                <w:sz w:val="24"/>
                <w:szCs w:val="24"/>
                <w:highlight w:val="none"/>
                <w:lang w:eastAsia="zh-CN"/>
              </w:rPr>
            </w:pPr>
            <w:r>
              <w:rPr>
                <w:rFonts w:hint="eastAsia"/>
                <w:color w:val="auto"/>
                <w:sz w:val="24"/>
                <w:szCs w:val="24"/>
                <w:highlight w:val="none"/>
                <w:lang w:eastAsia="zh-CN"/>
              </w:rPr>
              <w:t>（</w:t>
            </w:r>
            <w:r>
              <w:rPr>
                <w:rFonts w:hint="eastAsia"/>
                <w:color w:val="auto"/>
                <w:sz w:val="24"/>
                <w:szCs w:val="24"/>
                <w:highlight w:val="none"/>
                <w:lang w:val="en-US" w:eastAsia="zh-CN"/>
              </w:rPr>
              <w:t>11</w:t>
            </w:r>
            <w:r>
              <w:rPr>
                <w:rFonts w:hint="eastAsia"/>
                <w:color w:val="auto"/>
                <w:sz w:val="24"/>
                <w:szCs w:val="24"/>
                <w:highlight w:val="none"/>
                <w:lang w:eastAsia="zh-CN"/>
              </w:rPr>
              <w:t>）包装</w:t>
            </w:r>
          </w:p>
          <w:p w14:paraId="64B74D96">
            <w:pPr>
              <w:pStyle w:val="34"/>
              <w:keepNext w:val="0"/>
              <w:keepLines w:val="0"/>
              <w:suppressLineNumbers w:val="0"/>
              <w:spacing w:before="0" w:beforeAutospacing="0" w:after="0" w:afterAutospacing="0" w:line="360" w:lineRule="auto"/>
              <w:ind w:left="0" w:leftChars="0" w:right="0" w:firstLine="480"/>
              <w:rPr>
                <w:rFonts w:hint="eastAsia"/>
                <w:color w:val="auto"/>
                <w:sz w:val="24"/>
                <w:szCs w:val="24"/>
                <w:highlight w:val="none"/>
                <w:lang w:eastAsia="zh-CN"/>
              </w:rPr>
            </w:pPr>
            <w:r>
              <w:rPr>
                <w:rFonts w:hint="default"/>
                <w:sz w:val="24"/>
                <w:highlight w:val="none"/>
              </w:rPr>
              <mc:AlternateContent>
                <mc:Choice Requires="wps">
                  <w:drawing>
                    <wp:anchor distT="0" distB="0" distL="114300" distR="114300" simplePos="0" relativeHeight="251667456" behindDoc="0" locked="0" layoutInCell="1" allowOverlap="1">
                      <wp:simplePos x="0" y="0"/>
                      <wp:positionH relativeFrom="column">
                        <wp:posOffset>2206625</wp:posOffset>
                      </wp:positionH>
                      <wp:positionV relativeFrom="paragraph">
                        <wp:posOffset>219710</wp:posOffset>
                      </wp:positionV>
                      <wp:extent cx="2915920" cy="267970"/>
                      <wp:effectExtent l="0" t="0" r="17780" b="17780"/>
                      <wp:wrapNone/>
                      <wp:docPr id="17" name="文本框 17"/>
                      <wp:cNvGraphicFramePr/>
                      <a:graphic xmlns:a="http://schemas.openxmlformats.org/drawingml/2006/main">
                        <a:graphicData uri="http://schemas.microsoft.com/office/word/2010/wordprocessingShape">
                          <wps:wsp>
                            <wps:cNvSpPr txBox="1"/>
                            <wps:spPr>
                              <a:xfrm>
                                <a:off x="2970530" y="4592955"/>
                                <a:ext cx="2915920" cy="2679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273C591">
                                  <w:pPr>
                                    <w:jc w:val="center"/>
                                    <w:rPr>
                                      <w:rFonts w:hint="default" w:eastAsia="宋体"/>
                                      <w:lang w:val="en-US" w:eastAsia="zh-CN"/>
                                    </w:rPr>
                                  </w:pPr>
                                  <w:r>
                                    <w:rPr>
                                      <w:rFonts w:hint="eastAsia"/>
                                      <w:lang w:val="en-US" w:eastAsia="zh-CN"/>
                                    </w:rPr>
                                    <w:t>此工序在</w:t>
                                  </w:r>
                                  <w:r>
                                    <w:rPr>
                                      <w:rFonts w:hint="eastAsia"/>
                                      <w:bCs/>
                                      <w:color w:val="auto"/>
                                      <w:kern w:val="2"/>
                                      <w:sz w:val="21"/>
                                      <w:szCs w:val="21"/>
                                      <w:highlight w:val="none"/>
                                      <w:lang w:val="en-US" w:eastAsia="zh-CN"/>
                                    </w:rPr>
                                    <w:t>环保抛光打磨湿式一体机装置上进行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3.75pt;margin-top:17.3pt;height:21.1pt;width:229.6pt;z-index:251667456;mso-width-relative:page;mso-height-relative:page;" fillcolor="#C7EDCC [3201]" filled="t" stroked="f" coordsize="21600,21600" o:gfxdata="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q&#10;P8ZS2gAAAAkBAAAPAAAAAAAAAAEAIAAAACIAAABkcnMvZG93bnJldi54bWxQSwECFAAUAAAACACH&#10;TuJAGkcmbVsCAACdBAAADgAAAAAAAAABACAAAAApAQAAZHJzL2Uyb0RvYy54bWxQSwUGAAAAAAYA&#10;BgBZAQAA9gUAAAAA&#10;">
                      <v:fill on="t" focussize="0,0"/>
                      <v:stroke on="f" weight="0.5pt"/>
                      <v:imagedata o:title=""/>
                      <o:lock v:ext="edit" aspectratio="f"/>
                      <v:textbox>
                        <w:txbxContent>
                          <w:p w14:paraId="4273C591">
                            <w:pPr>
                              <w:jc w:val="center"/>
                              <w:rPr>
                                <w:rFonts w:hint="default" w:eastAsia="宋体"/>
                                <w:lang w:val="en-US" w:eastAsia="zh-CN"/>
                              </w:rPr>
                            </w:pPr>
                            <w:r>
                              <w:rPr>
                                <w:rFonts w:hint="eastAsia"/>
                                <w:lang w:val="en-US" w:eastAsia="zh-CN"/>
                              </w:rPr>
                              <w:t>此工序在</w:t>
                            </w:r>
                            <w:r>
                              <w:rPr>
                                <w:rFonts w:hint="eastAsia"/>
                                <w:bCs/>
                                <w:color w:val="auto"/>
                                <w:kern w:val="2"/>
                                <w:sz w:val="21"/>
                                <w:szCs w:val="21"/>
                                <w:highlight w:val="none"/>
                                <w:lang w:val="en-US" w:eastAsia="zh-CN"/>
                              </w:rPr>
                              <w:t>环保抛光打磨湿式一体机装置上进行</w:t>
                            </w:r>
                          </w:p>
                        </w:txbxContent>
                      </v:textbox>
                    </v:shape>
                  </w:pict>
                </mc:Fallback>
              </mc:AlternateContent>
            </w:r>
            <w:r>
              <w:rPr>
                <w:rFonts w:hint="default"/>
                <w:color w:val="auto"/>
                <w:sz w:val="24"/>
                <w:szCs w:val="24"/>
                <w:highlight w:val="none"/>
              </w:rPr>
              <w:t>检验合格的产品按照规定的包装要求进行包装</w:t>
            </w:r>
            <w:r>
              <w:rPr>
                <w:rFonts w:hint="eastAsia"/>
                <w:color w:val="auto"/>
                <w:sz w:val="24"/>
                <w:szCs w:val="24"/>
                <w:highlight w:val="none"/>
                <w:lang w:eastAsia="zh-CN"/>
              </w:rPr>
              <w:t>，</w:t>
            </w:r>
            <w:r>
              <w:rPr>
                <w:rFonts w:hint="default"/>
                <w:color w:val="auto"/>
                <w:sz w:val="24"/>
                <w:szCs w:val="24"/>
                <w:highlight w:val="none"/>
              </w:rPr>
              <w:t>以便储存和运输</w:t>
            </w:r>
            <w:r>
              <w:rPr>
                <w:rFonts w:hint="eastAsia"/>
                <w:color w:val="auto"/>
                <w:sz w:val="24"/>
                <w:szCs w:val="24"/>
                <w:highlight w:val="none"/>
                <w:lang w:eastAsia="zh-CN"/>
              </w:rPr>
              <w:t>。</w:t>
            </w:r>
          </w:p>
          <w:p w14:paraId="10E141D6">
            <w:pPr>
              <w:pStyle w:val="34"/>
              <w:keepNext w:val="0"/>
              <w:keepLines w:val="0"/>
              <w:suppressLineNumbers w:val="0"/>
              <w:spacing w:before="0" w:beforeAutospacing="0" w:after="0" w:afterAutospacing="0" w:line="360" w:lineRule="auto"/>
              <w:ind w:left="0" w:leftChars="0" w:right="0" w:firstLine="480"/>
              <w:rPr>
                <w:rFonts w:hint="default"/>
                <w:color w:val="auto"/>
                <w:sz w:val="24"/>
                <w:szCs w:val="24"/>
                <w:highlight w:val="none"/>
                <w:lang w:eastAsia="zh-CN"/>
              </w:rPr>
            </w:pPr>
            <w:r>
              <w:rPr>
                <w:rFonts w:hint="default"/>
                <w:sz w:val="24"/>
              </w:rPr>
              <mc:AlternateContent>
                <mc:Choice Requires="wps">
                  <w:drawing>
                    <wp:anchor distT="0" distB="0" distL="114300" distR="114300" simplePos="0" relativeHeight="251670528" behindDoc="0" locked="0" layoutInCell="1" allowOverlap="1">
                      <wp:simplePos x="0" y="0"/>
                      <wp:positionH relativeFrom="column">
                        <wp:posOffset>4765040</wp:posOffset>
                      </wp:positionH>
                      <wp:positionV relativeFrom="paragraph">
                        <wp:posOffset>118110</wp:posOffset>
                      </wp:positionV>
                      <wp:extent cx="7620" cy="301625"/>
                      <wp:effectExtent l="48895" t="0" r="57785" b="3175"/>
                      <wp:wrapNone/>
                      <wp:docPr id="23" name="直接箭头连接符 23"/>
                      <wp:cNvGraphicFramePr/>
                      <a:graphic xmlns:a="http://schemas.openxmlformats.org/drawingml/2006/main">
                        <a:graphicData uri="http://schemas.microsoft.com/office/word/2010/wordprocessingShape">
                          <wps:wsp>
                            <wps:cNvCnPr/>
                            <wps:spPr>
                              <a:xfrm flipV="1">
                                <a:off x="0" y="0"/>
                                <a:ext cx="7620" cy="301625"/>
                              </a:xfrm>
                              <a:prstGeom prst="straightConnector1">
                                <a:avLst/>
                              </a:prstGeom>
                              <a:ln w="190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75.2pt;margin-top:9.3pt;height:23.75pt;width:0.6pt;z-index:251670528;mso-width-relative:page;mso-height-relative:page;" filled="f" stroked="t" coordsize="21600,21600" o:gfxdata="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VSf/CdcAAAAJAQAADwAAAAAAAAABACAAAAAiAAAAZHJzL2Rv&#10;d25yZXYueG1sUEsBAhQAFAAAAAgAh07iQIUMyUECAgAA1gMAAA4AAAAAAAAAAQAgAAAAJgEAAGRy&#10;cy9lMm9Eb2MueG1sUEsFBgAAAAAGAAYAWQEAAJoFAAAAAA==&#10;">
                      <v:fill on="f" focussize="0,0"/>
                      <v:stroke weight="1.5pt" color="#000000 [3213]" joinstyle="round" endarrow="open"/>
                      <v:imagedata o:title=""/>
                      <o:lock v:ext="edit" aspectratio="f"/>
                    </v:shape>
                  </w:pict>
                </mc:Fallback>
              </mc:AlternateContent>
            </w:r>
            <w:r>
              <w:rPr>
                <w:rFonts w:hint="default"/>
                <w:sz w:val="24"/>
              </w:rPr>
              <mc:AlternateContent>
                <mc:Choice Requires="wps">
                  <w:drawing>
                    <wp:anchor distT="0" distB="0" distL="114300" distR="114300" simplePos="0" relativeHeight="251669504" behindDoc="0" locked="0" layoutInCell="1" allowOverlap="1">
                      <wp:simplePos x="0" y="0"/>
                      <wp:positionH relativeFrom="column">
                        <wp:posOffset>3446145</wp:posOffset>
                      </wp:positionH>
                      <wp:positionV relativeFrom="paragraph">
                        <wp:posOffset>148590</wp:posOffset>
                      </wp:positionV>
                      <wp:extent cx="7620" cy="301625"/>
                      <wp:effectExtent l="48895" t="0" r="57785" b="3175"/>
                      <wp:wrapNone/>
                      <wp:docPr id="22" name="直接箭头连接符 22"/>
                      <wp:cNvGraphicFramePr/>
                      <a:graphic xmlns:a="http://schemas.openxmlformats.org/drawingml/2006/main">
                        <a:graphicData uri="http://schemas.microsoft.com/office/word/2010/wordprocessingShape">
                          <wps:wsp>
                            <wps:cNvCnPr/>
                            <wps:spPr>
                              <a:xfrm flipV="1">
                                <a:off x="4697095" y="4752975"/>
                                <a:ext cx="7620" cy="301625"/>
                              </a:xfrm>
                              <a:prstGeom prst="straightConnector1">
                                <a:avLst/>
                              </a:prstGeom>
                              <a:ln w="190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71.35pt;margin-top:11.7pt;height:23.75pt;width:0.6pt;z-index:251669504;mso-width-relative:page;mso-height-relative:page;" filled="f" stroked="t" coordsize="21600,21600" o:gfxdata="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t//xm2AAAAAkBAAAPAAAAAAAAAAEA&#10;IAAAACIAAABkcnMvZG93bnJldi54bWxQSwECFAAUAAAACACHTuJAgNqyKg8CAADiAwAADgAAAAAA&#10;AAABACAAAAAnAQAAZHJzL2Uyb0RvYy54bWxQSwUGAAAAAAYABgBZAQAAqAUAAAAA&#10;">
                      <v:fill on="f" focussize="0,0"/>
                      <v:stroke weight="1.5pt" color="#000000 [3213]" joinstyle="round" endarrow="open"/>
                      <v:imagedata o:title=""/>
                      <o:lock v:ext="edit" aspectratio="f"/>
                    </v:shape>
                  </w:pict>
                </mc:Fallback>
              </mc:AlternateContent>
            </w:r>
          </w:p>
          <w:p w14:paraId="4B62AEA1">
            <w:pPr>
              <w:pStyle w:val="1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eastAsia" w:eastAsia="宋体"/>
                <w:b/>
                <w:bCs w:val="0"/>
                <w:color w:val="auto"/>
                <w:sz w:val="24"/>
                <w:highlight w:val="none"/>
                <w:lang w:eastAsia="zh-CN"/>
              </w:rPr>
            </w:pPr>
            <w:r>
              <w:rPr>
                <w:rFonts w:hint="default"/>
                <w:sz w:val="24"/>
                <w:highlight w:val="none"/>
              </w:rPr>
              <mc:AlternateContent>
                <mc:Choice Requires="wps">
                  <w:drawing>
                    <wp:anchor distT="0" distB="0" distL="114300" distR="114300" simplePos="0" relativeHeight="251668480" behindDoc="0" locked="0" layoutInCell="1" allowOverlap="1">
                      <wp:simplePos x="0" y="0"/>
                      <wp:positionH relativeFrom="column">
                        <wp:posOffset>4404995</wp:posOffset>
                      </wp:positionH>
                      <wp:positionV relativeFrom="paragraph">
                        <wp:posOffset>161925</wp:posOffset>
                      </wp:positionV>
                      <wp:extent cx="742950" cy="2468245"/>
                      <wp:effectExtent l="9525" t="9525" r="9525" b="17780"/>
                      <wp:wrapNone/>
                      <wp:docPr id="6" name="文本框 6"/>
                      <wp:cNvGraphicFramePr/>
                      <a:graphic xmlns:a="http://schemas.openxmlformats.org/drawingml/2006/main">
                        <a:graphicData uri="http://schemas.microsoft.com/office/word/2010/wordprocessingShape">
                          <wps:wsp>
                            <wps:cNvSpPr txBox="1"/>
                            <wps:spPr>
                              <a:xfrm>
                                <a:off x="0" y="0"/>
                                <a:ext cx="742950" cy="2468245"/>
                              </a:xfrm>
                              <a:prstGeom prst="rect">
                                <a:avLst/>
                              </a:prstGeom>
                              <a:noFill/>
                              <a:ln w="19050">
                                <a:solidFill>
                                  <a:srgbClr val="FF0000"/>
                                </a:solidFill>
                                <a:prstDash val="sysDot"/>
                              </a:ln>
                            </wps:spPr>
                            <wps:style>
                              <a:lnRef idx="0">
                                <a:schemeClr val="accent1"/>
                              </a:lnRef>
                              <a:fillRef idx="0">
                                <a:schemeClr val="accent1"/>
                              </a:fillRef>
                              <a:effectRef idx="0">
                                <a:schemeClr val="accent1"/>
                              </a:effectRef>
                              <a:fontRef idx="minor">
                                <a:schemeClr val="dk1"/>
                              </a:fontRef>
                            </wps:style>
                            <wps:txbx>
                              <w:txbxContent>
                                <w:p w14:paraId="37126088"/>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6.85pt;margin-top:12.75pt;height:194.35pt;width:58.5pt;z-index:251668480;mso-width-relative:page;mso-height-relative:page;" filled="f" stroked="t" coordsize="21600,21600" o:gfxdata="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Nn/EDtoAAAAKAQAADwAAAAAAAAABACAAAAAiAAAAZHJzL2Rvd25yZXYueG1sUEsBAhQAFAAAAAgA&#10;h07iQAReZHRcAgAAqgQAAA4AAAAAAAAAAQAgAAAAKQEAAGRycy9lMm9Eb2MueG1sUEsFBgAAAAAG&#10;AAYAWQEAAPcFAAAAAA==&#10;">
                      <v:fill on="f" focussize="0,0"/>
                      <v:stroke weight="1.5pt" color="#FF0000 [3204]" joinstyle="round" dashstyle="1 1"/>
                      <v:imagedata o:title=""/>
                      <o:lock v:ext="edit" aspectratio="f"/>
                      <v:textbox>
                        <w:txbxContent>
                          <w:p w14:paraId="37126088"/>
                        </w:txbxContent>
                      </v:textbox>
                    </v:shape>
                  </w:pict>
                </mc:Fallback>
              </mc:AlternateContent>
            </w:r>
            <w:r>
              <w:rPr>
                <w:rFonts w:hint="default"/>
                <w:sz w:val="24"/>
                <w:highlight w:val="none"/>
              </w:rPr>
              <mc:AlternateContent>
                <mc:Choice Requires="wps">
                  <w:drawing>
                    <wp:anchor distT="0" distB="0" distL="114300" distR="114300" simplePos="0" relativeHeight="251666432" behindDoc="0" locked="0" layoutInCell="1" allowOverlap="1">
                      <wp:simplePos x="0" y="0"/>
                      <wp:positionH relativeFrom="column">
                        <wp:posOffset>1411605</wp:posOffset>
                      </wp:positionH>
                      <wp:positionV relativeFrom="paragraph">
                        <wp:posOffset>191770</wp:posOffset>
                      </wp:positionV>
                      <wp:extent cx="2901315" cy="849630"/>
                      <wp:effectExtent l="9525" t="9525" r="22860" b="17145"/>
                      <wp:wrapNone/>
                      <wp:docPr id="11" name="文本框 11"/>
                      <wp:cNvGraphicFramePr/>
                      <a:graphic xmlns:a="http://schemas.openxmlformats.org/drawingml/2006/main">
                        <a:graphicData uri="http://schemas.microsoft.com/office/word/2010/wordprocessingShape">
                          <wps:wsp>
                            <wps:cNvSpPr txBox="1"/>
                            <wps:spPr>
                              <a:xfrm>
                                <a:off x="2618740" y="4688205"/>
                                <a:ext cx="2901315" cy="849630"/>
                              </a:xfrm>
                              <a:prstGeom prst="rect">
                                <a:avLst/>
                              </a:prstGeom>
                              <a:noFill/>
                              <a:ln w="19050">
                                <a:solidFill>
                                  <a:srgbClr val="FF0000"/>
                                </a:solidFill>
                                <a:prstDash val="sysDot"/>
                              </a:ln>
                            </wps:spPr>
                            <wps:style>
                              <a:lnRef idx="0">
                                <a:schemeClr val="accent1"/>
                              </a:lnRef>
                              <a:fillRef idx="0">
                                <a:schemeClr val="accent1"/>
                              </a:fillRef>
                              <a:effectRef idx="0">
                                <a:schemeClr val="accent1"/>
                              </a:effectRef>
                              <a:fontRef idx="minor">
                                <a:schemeClr val="dk1"/>
                              </a:fontRef>
                            </wps:style>
                            <wps:txbx>
                              <w:txbxContent>
                                <w:p w14:paraId="1964692B"/>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1.15pt;margin-top:15.1pt;height:66.9pt;width:228.45pt;z-index:251666432;mso-width-relative:page;mso-height-relative:page;" filled="f" stroked="t" coordsize="21600,21600" o:gfxdata="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JMhtytkAAAAKAQAADwAAAAAAAAABACAAAAAiAAAAZHJzL2Rvd25yZXYu&#10;eG1sUEsBAhQAFAAAAAgAh07iQIYl1VxsAgAAuAQAAA4AAAAAAAAAAQAgAAAAKAEAAGRycy9lMm9E&#10;b2MueG1sUEsFBgAAAAAGAAYAWQEAAAYGAAAAAA==&#10;">
                      <v:fill on="f" focussize="0,0"/>
                      <v:stroke weight="1.5pt" color="#FF0000 [3204]" joinstyle="round" dashstyle="1 1"/>
                      <v:imagedata o:title=""/>
                      <o:lock v:ext="edit" aspectratio="f"/>
                      <v:textbox>
                        <w:txbxContent>
                          <w:p w14:paraId="1964692B"/>
                        </w:txbxContent>
                      </v:textbox>
                    </v:shape>
                  </w:pict>
                </mc:Fallback>
              </mc:AlternateContent>
            </w:r>
            <w:r>
              <w:rPr>
                <w:rFonts w:hint="eastAsia" w:eastAsia="宋体"/>
                <w:b/>
                <w:bCs w:val="0"/>
                <w:color w:val="auto"/>
                <w:sz w:val="24"/>
                <w:highlight w:val="none"/>
                <w:lang w:eastAsia="zh-CN"/>
              </w:rPr>
              <w:drawing>
                <wp:inline distT="0" distB="0" distL="114300" distR="114300">
                  <wp:extent cx="5204460" cy="2701925"/>
                  <wp:effectExtent l="0" t="0" r="15240" b="3175"/>
                  <wp:docPr id="9" name="图片 9" descr="175135640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751356402541"/>
                          <pic:cNvPicPr>
                            <a:picLocks noChangeAspect="1"/>
                          </pic:cNvPicPr>
                        </pic:nvPicPr>
                        <pic:blipFill>
                          <a:blip r:embed="rId25"/>
                          <a:stretch>
                            <a:fillRect/>
                          </a:stretch>
                        </pic:blipFill>
                        <pic:spPr>
                          <a:xfrm>
                            <a:off x="0" y="0"/>
                            <a:ext cx="5204460" cy="2701925"/>
                          </a:xfrm>
                          <a:prstGeom prst="rect">
                            <a:avLst/>
                          </a:prstGeom>
                        </pic:spPr>
                      </pic:pic>
                    </a:graphicData>
                  </a:graphic>
                </wp:inline>
              </w:drawing>
            </w:r>
          </w:p>
          <w:p w14:paraId="34E96E06">
            <w:pPr>
              <w:pStyle w:val="1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left"/>
              <w:textAlignment w:val="auto"/>
              <w:rPr>
                <w:rFonts w:hint="default" w:eastAsia="宋体"/>
                <w:b/>
                <w:bCs w:val="0"/>
                <w:color w:val="auto"/>
                <w:sz w:val="24"/>
                <w:highlight w:val="none"/>
                <w:lang w:val="en-US" w:eastAsia="zh-CN"/>
              </w:rPr>
            </w:pPr>
            <w:r>
              <w:rPr>
                <w:rFonts w:hint="eastAsia"/>
                <w:b/>
                <w:bCs w:val="0"/>
                <w:color w:val="auto"/>
                <w:sz w:val="24"/>
                <w:highlight w:val="none"/>
                <w:lang w:val="en-US" w:eastAsia="zh-CN"/>
              </w:rPr>
              <w:t>G:废气 W:废水 S:固废 N:噪声</w:t>
            </w:r>
          </w:p>
          <w:p w14:paraId="4D11AD5F">
            <w:pPr>
              <w:pStyle w:val="1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0" w:firstLineChars="0"/>
              <w:jc w:val="center"/>
              <w:textAlignment w:val="auto"/>
              <w:rPr>
                <w:rFonts w:hint="default"/>
                <w:color w:val="auto"/>
                <w:sz w:val="24"/>
                <w:highlight w:val="none"/>
              </w:rPr>
            </w:pPr>
            <w:r>
              <w:rPr>
                <w:rFonts w:hint="default" w:eastAsia="宋体"/>
                <w:b/>
                <w:bCs w:val="0"/>
                <w:color w:val="auto"/>
                <w:sz w:val="24"/>
                <w:highlight w:val="none"/>
              </w:rPr>
              <w:t>图2-</w:t>
            </w:r>
            <w:r>
              <w:rPr>
                <w:rFonts w:hint="eastAsia"/>
                <w:b/>
                <w:bCs w:val="0"/>
                <w:color w:val="auto"/>
                <w:sz w:val="24"/>
                <w:highlight w:val="none"/>
                <w:lang w:val="en-US" w:eastAsia="zh-CN"/>
              </w:rPr>
              <w:t>2</w:t>
            </w:r>
            <w:r>
              <w:rPr>
                <w:rFonts w:hint="default" w:eastAsia="宋体"/>
                <w:b/>
                <w:bCs w:val="0"/>
                <w:color w:val="auto"/>
                <w:sz w:val="24"/>
                <w:highlight w:val="none"/>
              </w:rPr>
              <w:t xml:space="preserve"> </w:t>
            </w:r>
            <w:r>
              <w:rPr>
                <w:rFonts w:hint="eastAsia"/>
                <w:b/>
                <w:bCs w:val="0"/>
                <w:color w:val="auto"/>
                <w:sz w:val="24"/>
                <w:highlight w:val="none"/>
                <w:lang w:eastAsia="zh-CN"/>
              </w:rPr>
              <w:t>工艺流程及排污节点</w:t>
            </w:r>
            <w:r>
              <w:rPr>
                <w:rFonts w:hint="default" w:eastAsia="宋体"/>
                <w:b/>
                <w:bCs w:val="0"/>
                <w:color w:val="auto"/>
                <w:sz w:val="24"/>
                <w:highlight w:val="none"/>
              </w:rPr>
              <w:t>图</w:t>
            </w:r>
          </w:p>
          <w:p w14:paraId="46CF85D0">
            <w:pPr>
              <w:pStyle w:val="1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left"/>
              <w:textAlignment w:val="auto"/>
              <w:rPr>
                <w:rFonts w:hint="eastAsia"/>
                <w:b/>
                <w:color w:val="auto"/>
                <w:sz w:val="24"/>
                <w:szCs w:val="36"/>
                <w:highlight w:val="none"/>
              </w:rPr>
            </w:pPr>
            <w:r>
              <w:rPr>
                <w:rFonts w:hint="eastAsia"/>
                <w:color w:val="auto"/>
                <w:sz w:val="24"/>
                <w:highlight w:val="none"/>
              </w:rPr>
              <w:t>本项目排污节点详见下表：</w:t>
            </w:r>
          </w:p>
          <w:p w14:paraId="54C4D307">
            <w:pPr>
              <w:keepNext w:val="0"/>
              <w:keepLines w:val="0"/>
              <w:suppressLineNumbers w:val="0"/>
              <w:adjustRightInd w:val="0"/>
              <w:snapToGrid w:val="0"/>
              <w:spacing w:before="0" w:beforeAutospacing="0" w:after="0" w:afterAutospacing="0"/>
              <w:ind w:left="0" w:right="0" w:firstLine="422"/>
              <w:jc w:val="center"/>
              <w:rPr>
                <w:rFonts w:hint="default"/>
                <w:b/>
                <w:color w:val="auto"/>
                <w:sz w:val="24"/>
                <w:szCs w:val="36"/>
                <w:highlight w:val="none"/>
              </w:rPr>
            </w:pPr>
            <w:r>
              <w:rPr>
                <w:rFonts w:hint="eastAsia"/>
                <w:b/>
                <w:color w:val="auto"/>
                <w:sz w:val="24"/>
                <w:szCs w:val="36"/>
                <w:highlight w:val="none"/>
              </w:rPr>
              <w:t>表2-</w:t>
            </w:r>
            <w:r>
              <w:rPr>
                <w:rFonts w:hint="eastAsia"/>
                <w:b/>
                <w:color w:val="auto"/>
                <w:sz w:val="24"/>
                <w:szCs w:val="36"/>
                <w:highlight w:val="none"/>
                <w:lang w:val="en-US" w:eastAsia="zh-CN"/>
              </w:rPr>
              <w:t>9</w:t>
            </w:r>
            <w:r>
              <w:rPr>
                <w:rFonts w:hint="eastAsia"/>
                <w:b/>
                <w:color w:val="auto"/>
                <w:sz w:val="24"/>
                <w:szCs w:val="36"/>
                <w:highlight w:val="none"/>
              </w:rPr>
              <w:t xml:space="preserve">  本项目排污节点一览表</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1"/>
              <w:gridCol w:w="705"/>
              <w:gridCol w:w="1412"/>
              <w:gridCol w:w="1548"/>
              <w:gridCol w:w="4046"/>
            </w:tblGrid>
            <w:tr w14:paraId="4DC5F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05" w:type="pct"/>
                  <w:tcBorders>
                    <w:bottom w:val="single" w:color="auto" w:sz="4" w:space="0"/>
                  </w:tcBorders>
                  <w:vAlign w:val="center"/>
                </w:tcPr>
                <w:p w14:paraId="1DE08A2A">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类别</w:t>
                  </w:r>
                </w:p>
              </w:tc>
              <w:tc>
                <w:tcPr>
                  <w:tcW w:w="1261" w:type="pct"/>
                  <w:gridSpan w:val="2"/>
                  <w:tcBorders>
                    <w:bottom w:val="single" w:color="auto" w:sz="4" w:space="0"/>
                  </w:tcBorders>
                  <w:vAlign w:val="center"/>
                </w:tcPr>
                <w:p w14:paraId="4A211FD6">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污染源名称</w:t>
                  </w:r>
                </w:p>
              </w:tc>
              <w:tc>
                <w:tcPr>
                  <w:tcW w:w="922" w:type="pct"/>
                  <w:tcBorders>
                    <w:bottom w:val="single" w:color="auto" w:sz="4" w:space="0"/>
                  </w:tcBorders>
                  <w:vAlign w:val="center"/>
                </w:tcPr>
                <w:p w14:paraId="73CF1F85">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污染物</w:t>
                  </w:r>
                </w:p>
              </w:tc>
              <w:tc>
                <w:tcPr>
                  <w:tcW w:w="2410" w:type="pct"/>
                  <w:tcBorders>
                    <w:bottom w:val="single" w:color="auto" w:sz="4" w:space="0"/>
                  </w:tcBorders>
                  <w:vAlign w:val="center"/>
                </w:tcPr>
                <w:p w14:paraId="6BF915CB">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治理措施</w:t>
                  </w:r>
                </w:p>
              </w:tc>
            </w:tr>
            <w:tr w14:paraId="50874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405" w:type="pct"/>
                  <w:tcBorders>
                    <w:top w:val="nil"/>
                  </w:tcBorders>
                  <w:vAlign w:val="center"/>
                </w:tcPr>
                <w:p w14:paraId="3F8473B3">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废气</w:t>
                  </w:r>
                </w:p>
              </w:tc>
              <w:tc>
                <w:tcPr>
                  <w:tcW w:w="1261" w:type="pct"/>
                  <w:gridSpan w:val="2"/>
                  <w:tcBorders>
                    <w:top w:val="nil"/>
                    <w:bottom w:val="single" w:color="auto" w:sz="4" w:space="0"/>
                  </w:tcBorders>
                  <w:vAlign w:val="center"/>
                </w:tcPr>
                <w:p w14:paraId="575779EF">
                  <w:pPr>
                    <w:keepNext w:val="0"/>
                    <w:keepLines w:val="0"/>
                    <w:suppressLineNumbers w:val="0"/>
                    <w:adjustRightInd w:val="0"/>
                    <w:snapToGrid w:val="0"/>
                    <w:spacing w:before="0" w:beforeAutospacing="0" w:after="0" w:afterAutospacing="0"/>
                    <w:ind w:left="0" w:right="0"/>
                    <w:jc w:val="center"/>
                    <w:rPr>
                      <w:rFonts w:hint="eastAsia" w:eastAsia="宋体"/>
                      <w:color w:val="auto"/>
                      <w:szCs w:val="21"/>
                      <w:highlight w:val="none"/>
                      <w:lang w:eastAsia="zh-CN"/>
                    </w:rPr>
                  </w:pPr>
                  <w:r>
                    <w:rPr>
                      <w:rFonts w:hint="eastAsia"/>
                      <w:color w:val="auto"/>
                      <w:szCs w:val="21"/>
                      <w:highlight w:val="none"/>
                      <w:lang w:eastAsia="zh-CN"/>
                    </w:rPr>
                    <w:t>打磨抛光</w:t>
                  </w:r>
                </w:p>
              </w:tc>
              <w:tc>
                <w:tcPr>
                  <w:tcW w:w="922" w:type="pct"/>
                  <w:tcBorders>
                    <w:top w:val="nil"/>
                    <w:bottom w:val="single" w:color="auto" w:sz="4" w:space="0"/>
                  </w:tcBorders>
                  <w:vAlign w:val="center"/>
                </w:tcPr>
                <w:p w14:paraId="51EDB2D8">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颗粒物</w:t>
                  </w:r>
                </w:p>
              </w:tc>
              <w:tc>
                <w:tcPr>
                  <w:tcW w:w="2410" w:type="pct"/>
                  <w:tcBorders>
                    <w:top w:val="nil"/>
                    <w:bottom w:val="single" w:color="auto" w:sz="4" w:space="0"/>
                  </w:tcBorders>
                  <w:vAlign w:val="center"/>
                </w:tcPr>
                <w:p w14:paraId="26F2ED53">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lang w:val="en-US"/>
                    </w:rPr>
                  </w:pPr>
                  <w:r>
                    <w:rPr>
                      <w:rFonts w:hint="eastAsia"/>
                      <w:color w:val="auto"/>
                      <w:szCs w:val="21"/>
                      <w:highlight w:val="none"/>
                      <w:lang w:eastAsia="zh-CN"/>
                    </w:rPr>
                    <w:t>打磨抛光</w:t>
                  </w:r>
                  <w:r>
                    <w:rPr>
                      <w:rFonts w:hint="eastAsia"/>
                      <w:color w:val="auto"/>
                      <w:szCs w:val="21"/>
                      <w:highlight w:val="none"/>
                      <w:lang w:val="en-US" w:eastAsia="zh-CN"/>
                    </w:rPr>
                    <w:t>产生的</w:t>
                  </w:r>
                  <w:r>
                    <w:rPr>
                      <w:rFonts w:hint="eastAsia"/>
                      <w:bCs/>
                      <w:color w:val="auto"/>
                      <w:kern w:val="2"/>
                      <w:sz w:val="21"/>
                      <w:szCs w:val="21"/>
                      <w:highlight w:val="none"/>
                      <w:lang w:val="en-US" w:eastAsia="zh-CN"/>
                    </w:rPr>
                    <w:t>粉尘采用负压收集后送至环保抛光打磨湿式一体机“多层水帘幕”过滤处理</w:t>
                  </w:r>
                </w:p>
              </w:tc>
            </w:tr>
            <w:tr w14:paraId="6A77F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5" w:type="pct"/>
                  <w:vAlign w:val="center"/>
                </w:tcPr>
                <w:p w14:paraId="211BCD2E">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废水</w:t>
                  </w:r>
                </w:p>
              </w:tc>
              <w:tc>
                <w:tcPr>
                  <w:tcW w:w="1261" w:type="pct"/>
                  <w:gridSpan w:val="2"/>
                  <w:vAlign w:val="center"/>
                </w:tcPr>
                <w:p w14:paraId="429B1E13">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lang w:eastAsia="zh-CN"/>
                    </w:rPr>
                    <w:t>生产废水、</w:t>
                  </w:r>
                  <w:r>
                    <w:rPr>
                      <w:rFonts w:hint="default"/>
                      <w:color w:val="auto"/>
                      <w:szCs w:val="21"/>
                      <w:highlight w:val="none"/>
                    </w:rPr>
                    <w:t>职工生活</w:t>
                  </w:r>
                </w:p>
              </w:tc>
              <w:tc>
                <w:tcPr>
                  <w:tcW w:w="922" w:type="pct"/>
                  <w:vAlign w:val="center"/>
                </w:tcPr>
                <w:p w14:paraId="53DD99DD">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lang w:val="en-US" w:eastAsia="zh-CN"/>
                    </w:rPr>
                  </w:pPr>
                  <w:r>
                    <w:rPr>
                      <w:rFonts w:hint="default"/>
                      <w:color w:val="auto"/>
                      <w:kern w:val="0"/>
                      <w:szCs w:val="21"/>
                      <w:highlight w:val="none"/>
                    </w:rPr>
                    <w:t>pH、COD、SS、氨氮</w:t>
                  </w:r>
                  <w:r>
                    <w:rPr>
                      <w:rFonts w:hint="eastAsia"/>
                      <w:color w:val="auto"/>
                      <w:kern w:val="0"/>
                      <w:szCs w:val="21"/>
                      <w:highlight w:val="none"/>
                      <w:lang w:eastAsia="zh-CN"/>
                    </w:rPr>
                    <w:t>、</w:t>
                  </w:r>
                  <w:r>
                    <w:rPr>
                      <w:rFonts w:hint="eastAsia"/>
                      <w:color w:val="auto"/>
                      <w:kern w:val="0"/>
                      <w:szCs w:val="21"/>
                      <w:highlight w:val="none"/>
                      <w:lang w:val="en-US" w:eastAsia="zh-CN"/>
                    </w:rPr>
                    <w:t>BOD</w:t>
                  </w:r>
                  <w:r>
                    <w:rPr>
                      <w:rFonts w:hint="eastAsia"/>
                      <w:color w:val="auto"/>
                      <w:kern w:val="0"/>
                      <w:szCs w:val="21"/>
                      <w:highlight w:val="none"/>
                      <w:vertAlign w:val="subscript"/>
                      <w:lang w:val="en-US" w:eastAsia="zh-CN"/>
                    </w:rPr>
                    <w:t>5</w:t>
                  </w:r>
                  <w:r>
                    <w:rPr>
                      <w:rFonts w:hint="eastAsia"/>
                      <w:color w:val="auto"/>
                      <w:kern w:val="0"/>
                      <w:szCs w:val="21"/>
                      <w:highlight w:val="none"/>
                      <w:vertAlign w:val="baseline"/>
                      <w:lang w:val="en-US" w:eastAsia="zh-CN"/>
                    </w:rPr>
                    <w:t>、动植物油、石油类</w:t>
                  </w:r>
                </w:p>
              </w:tc>
              <w:tc>
                <w:tcPr>
                  <w:tcW w:w="2410" w:type="pct"/>
                  <w:vAlign w:val="center"/>
                </w:tcPr>
                <w:p w14:paraId="7764A0C1">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lang w:eastAsia="zh-CN"/>
                    </w:rPr>
                    <w:t>生产废水经“</w:t>
                  </w:r>
                  <w:r>
                    <w:rPr>
                      <w:rFonts w:hint="eastAsia"/>
                      <w:color w:val="auto"/>
                      <w:szCs w:val="21"/>
                      <w:highlight w:val="none"/>
                      <w:lang w:val="en-US" w:eastAsia="zh-CN"/>
                    </w:rPr>
                    <w:t>破乳-絮凝-沉淀</w:t>
                  </w:r>
                  <w:r>
                    <w:rPr>
                      <w:rFonts w:hint="eastAsia"/>
                      <w:color w:val="auto"/>
                      <w:szCs w:val="21"/>
                      <w:highlight w:val="none"/>
                      <w:lang w:eastAsia="zh-CN"/>
                    </w:rPr>
                    <w:t>”处理后经污水管网排入</w:t>
                  </w:r>
                  <w:r>
                    <w:rPr>
                      <w:rFonts w:hint="eastAsia" w:ascii="Times New Roman" w:hAnsi="Times New Roman" w:cs="Times New Roman"/>
                      <w:bCs/>
                      <w:color w:val="auto"/>
                      <w:kern w:val="21"/>
                      <w:highlight w:val="none"/>
                      <w:lang w:val="en-US" w:eastAsia="zh-CN"/>
                    </w:rPr>
                    <w:t>秦皇岛市第三</w:t>
                  </w:r>
                  <w:r>
                    <w:rPr>
                      <w:rFonts w:hint="eastAsia"/>
                      <w:color w:val="auto"/>
                      <w:szCs w:val="21"/>
                      <w:highlight w:val="none"/>
                      <w:lang w:eastAsia="zh-CN"/>
                    </w:rPr>
                    <w:t>污水处理厂；生活污水</w:t>
                  </w:r>
                  <w:r>
                    <w:rPr>
                      <w:rFonts w:hint="default"/>
                      <w:color w:val="auto"/>
                      <w:szCs w:val="21"/>
                      <w:highlight w:val="none"/>
                    </w:rPr>
                    <w:t>经化粪池进入市政污水管网，最终进入</w:t>
                  </w:r>
                  <w:r>
                    <w:rPr>
                      <w:rFonts w:hint="eastAsia" w:ascii="Times New Roman" w:hAnsi="Times New Roman" w:cs="Times New Roman"/>
                      <w:bCs/>
                      <w:color w:val="auto"/>
                      <w:kern w:val="21"/>
                      <w:highlight w:val="none"/>
                      <w:lang w:val="en-US" w:eastAsia="zh-CN"/>
                    </w:rPr>
                    <w:t>秦皇岛市第三</w:t>
                  </w:r>
                  <w:r>
                    <w:rPr>
                      <w:rFonts w:hint="eastAsia"/>
                      <w:color w:val="auto"/>
                      <w:szCs w:val="21"/>
                      <w:highlight w:val="none"/>
                    </w:rPr>
                    <w:t>污水处理厂</w:t>
                  </w:r>
                </w:p>
              </w:tc>
            </w:tr>
            <w:tr w14:paraId="502E5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405" w:type="pct"/>
                  <w:tcBorders>
                    <w:bottom w:val="single" w:color="auto" w:sz="4" w:space="0"/>
                    <w:right w:val="single" w:color="auto" w:sz="4" w:space="0"/>
                  </w:tcBorders>
                  <w:vAlign w:val="center"/>
                </w:tcPr>
                <w:p w14:paraId="16E85A5B">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噪声</w:t>
                  </w:r>
                </w:p>
              </w:tc>
              <w:tc>
                <w:tcPr>
                  <w:tcW w:w="1261" w:type="pct"/>
                  <w:gridSpan w:val="2"/>
                  <w:tcBorders>
                    <w:left w:val="single" w:color="auto" w:sz="4" w:space="0"/>
                    <w:bottom w:val="single" w:color="auto" w:sz="4" w:space="0"/>
                    <w:right w:val="single" w:color="auto" w:sz="4" w:space="0"/>
                  </w:tcBorders>
                  <w:vAlign w:val="center"/>
                </w:tcPr>
                <w:p w14:paraId="6ADF1259">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生产设备</w:t>
                  </w:r>
                </w:p>
              </w:tc>
              <w:tc>
                <w:tcPr>
                  <w:tcW w:w="922" w:type="pct"/>
                  <w:tcBorders>
                    <w:left w:val="single" w:color="auto" w:sz="4" w:space="0"/>
                    <w:bottom w:val="single" w:color="auto" w:sz="4" w:space="0"/>
                    <w:right w:val="single" w:color="auto" w:sz="4" w:space="0"/>
                  </w:tcBorders>
                  <w:vAlign w:val="center"/>
                </w:tcPr>
                <w:p w14:paraId="0ACFD081">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L</w:t>
                  </w:r>
                  <w:r>
                    <w:rPr>
                      <w:rFonts w:hint="default"/>
                      <w:color w:val="auto"/>
                      <w:szCs w:val="21"/>
                      <w:highlight w:val="none"/>
                      <w:vertAlign w:val="subscript"/>
                    </w:rPr>
                    <w:t>eq</w:t>
                  </w:r>
                </w:p>
              </w:tc>
              <w:tc>
                <w:tcPr>
                  <w:tcW w:w="2410" w:type="pct"/>
                  <w:tcBorders>
                    <w:left w:val="single" w:color="auto" w:sz="4" w:space="0"/>
                    <w:bottom w:val="single" w:color="auto" w:sz="4" w:space="0"/>
                  </w:tcBorders>
                  <w:vAlign w:val="center"/>
                </w:tcPr>
                <w:p w14:paraId="617E9531">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减震基础+厂房隔声</w:t>
                  </w:r>
                </w:p>
              </w:tc>
            </w:tr>
            <w:tr w14:paraId="34432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405" w:type="pct"/>
                  <w:vMerge w:val="restart"/>
                  <w:tcBorders>
                    <w:top w:val="single" w:color="auto" w:sz="4" w:space="0"/>
                  </w:tcBorders>
                  <w:vAlign w:val="center"/>
                </w:tcPr>
                <w:p w14:paraId="1D0E04C7">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固体废物</w:t>
                  </w:r>
                </w:p>
              </w:tc>
              <w:tc>
                <w:tcPr>
                  <w:tcW w:w="1261" w:type="pct"/>
                  <w:gridSpan w:val="2"/>
                  <w:tcBorders>
                    <w:top w:val="single" w:color="auto" w:sz="4" w:space="0"/>
                  </w:tcBorders>
                  <w:vAlign w:val="center"/>
                </w:tcPr>
                <w:p w14:paraId="6FF6593A">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rPr>
                    <w:t>职工生活</w:t>
                  </w:r>
                </w:p>
              </w:tc>
              <w:tc>
                <w:tcPr>
                  <w:tcW w:w="922" w:type="pct"/>
                  <w:tcBorders>
                    <w:top w:val="single" w:color="auto" w:sz="4" w:space="0"/>
                  </w:tcBorders>
                  <w:shd w:val="clear" w:color="auto" w:fill="auto"/>
                  <w:vAlign w:val="center"/>
                </w:tcPr>
                <w:p w14:paraId="58C9E77A">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生活垃圾</w:t>
                  </w:r>
                </w:p>
              </w:tc>
              <w:tc>
                <w:tcPr>
                  <w:tcW w:w="2410" w:type="pct"/>
                  <w:tcBorders>
                    <w:top w:val="single" w:color="auto" w:sz="4" w:space="0"/>
                  </w:tcBorders>
                  <w:shd w:val="clear" w:color="auto" w:fill="auto"/>
                  <w:vAlign w:val="center"/>
                </w:tcPr>
                <w:p w14:paraId="54C2124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集中存放，由环卫部门统一处理</w:t>
                  </w:r>
                </w:p>
              </w:tc>
            </w:tr>
            <w:tr w14:paraId="74455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405" w:type="pct"/>
                  <w:vMerge w:val="continue"/>
                  <w:vAlign w:val="center"/>
                </w:tcPr>
                <w:p w14:paraId="0F3347A2">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420" w:type="pct"/>
                  <w:vMerge w:val="restart"/>
                  <w:vAlign w:val="center"/>
                </w:tcPr>
                <w:p w14:paraId="2F6778F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b w:val="0"/>
                      <w:bCs w:val="0"/>
                      <w:color w:val="auto"/>
                      <w:sz w:val="21"/>
                      <w:szCs w:val="21"/>
                      <w:highlight w:val="none"/>
                    </w:rPr>
                  </w:pPr>
                  <w:r>
                    <w:rPr>
                      <w:rFonts w:hint="eastAsia" w:ascii="Times New Roman"/>
                      <w:b w:val="0"/>
                      <w:bCs w:val="0"/>
                      <w:color w:val="auto"/>
                      <w:sz w:val="21"/>
                      <w:szCs w:val="21"/>
                      <w:highlight w:val="none"/>
                    </w:rPr>
                    <w:t>一般固废</w:t>
                  </w:r>
                </w:p>
              </w:tc>
              <w:tc>
                <w:tcPr>
                  <w:tcW w:w="841" w:type="pct"/>
                  <w:vMerge w:val="restart"/>
                  <w:shd w:val="clear" w:color="auto" w:fill="auto"/>
                  <w:vAlign w:val="center"/>
                </w:tcPr>
                <w:p w14:paraId="57B0828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b w:val="0"/>
                      <w:bCs w:val="0"/>
                      <w:color w:val="auto"/>
                      <w:sz w:val="21"/>
                      <w:szCs w:val="21"/>
                      <w:highlight w:val="none"/>
                    </w:rPr>
                  </w:pPr>
                  <w:r>
                    <w:rPr>
                      <w:rFonts w:hint="eastAsia" w:ascii="Times New Roman"/>
                      <w:b w:val="0"/>
                      <w:bCs w:val="0"/>
                      <w:color w:val="auto"/>
                      <w:sz w:val="21"/>
                      <w:szCs w:val="21"/>
                      <w:highlight w:val="none"/>
                    </w:rPr>
                    <w:t>生产活动</w:t>
                  </w:r>
                </w:p>
              </w:tc>
              <w:tc>
                <w:tcPr>
                  <w:tcW w:w="922" w:type="pct"/>
                  <w:shd w:val="clear" w:color="auto" w:fill="auto"/>
                  <w:vAlign w:val="center"/>
                </w:tcPr>
                <w:p w14:paraId="7C3C3795">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eastAsia="zh-CN"/>
                    </w:rPr>
                    <w:t>废砂布</w:t>
                  </w:r>
                </w:p>
              </w:tc>
              <w:tc>
                <w:tcPr>
                  <w:tcW w:w="2410" w:type="pct"/>
                  <w:vMerge w:val="restart"/>
                  <w:shd w:val="clear" w:color="auto" w:fill="auto"/>
                  <w:vAlign w:val="center"/>
                </w:tcPr>
                <w:p w14:paraId="4FE2FD16">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集中存放，由环卫部门统一处理</w:t>
                  </w:r>
                </w:p>
              </w:tc>
            </w:tr>
            <w:tr w14:paraId="18680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405" w:type="pct"/>
                  <w:vMerge w:val="continue"/>
                  <w:vAlign w:val="center"/>
                </w:tcPr>
                <w:p w14:paraId="5EB36484">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420" w:type="pct"/>
                  <w:vMerge w:val="continue"/>
                  <w:vAlign w:val="center"/>
                </w:tcPr>
                <w:p w14:paraId="4E3BEFE3">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b w:val="0"/>
                      <w:bCs w:val="0"/>
                      <w:color w:val="auto"/>
                      <w:sz w:val="21"/>
                      <w:szCs w:val="21"/>
                      <w:highlight w:val="none"/>
                    </w:rPr>
                  </w:pPr>
                </w:p>
              </w:tc>
              <w:tc>
                <w:tcPr>
                  <w:tcW w:w="841" w:type="pct"/>
                  <w:vMerge w:val="continue"/>
                  <w:shd w:val="clear" w:color="auto" w:fill="auto"/>
                  <w:vAlign w:val="center"/>
                </w:tcPr>
                <w:p w14:paraId="3A1C3AFC">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b w:val="0"/>
                      <w:bCs w:val="0"/>
                      <w:color w:val="auto"/>
                      <w:sz w:val="21"/>
                      <w:szCs w:val="21"/>
                      <w:highlight w:val="none"/>
                      <w:lang w:eastAsia="zh-CN"/>
                    </w:rPr>
                  </w:pPr>
                </w:p>
              </w:tc>
              <w:tc>
                <w:tcPr>
                  <w:tcW w:w="922" w:type="pct"/>
                  <w:shd w:val="clear" w:color="auto" w:fill="auto"/>
                  <w:vAlign w:val="center"/>
                </w:tcPr>
                <w:p w14:paraId="5D632F70">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eastAsia="zh-CN"/>
                    </w:rPr>
                    <w:t>废麻轮</w:t>
                  </w:r>
                </w:p>
              </w:tc>
              <w:tc>
                <w:tcPr>
                  <w:tcW w:w="2410" w:type="pct"/>
                  <w:vMerge w:val="continue"/>
                  <w:shd w:val="clear" w:color="auto" w:fill="auto"/>
                  <w:vAlign w:val="center"/>
                </w:tcPr>
                <w:p w14:paraId="785BA4A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r w14:paraId="2DE13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405" w:type="pct"/>
                  <w:vMerge w:val="continue"/>
                  <w:vAlign w:val="center"/>
                </w:tcPr>
                <w:p w14:paraId="2F6E4C62">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420" w:type="pct"/>
                  <w:vMerge w:val="continue"/>
                  <w:vAlign w:val="center"/>
                </w:tcPr>
                <w:p w14:paraId="751C0A9A">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b w:val="0"/>
                      <w:bCs w:val="0"/>
                      <w:color w:val="auto"/>
                      <w:sz w:val="21"/>
                      <w:szCs w:val="21"/>
                      <w:highlight w:val="none"/>
                    </w:rPr>
                  </w:pPr>
                </w:p>
              </w:tc>
              <w:tc>
                <w:tcPr>
                  <w:tcW w:w="841" w:type="pct"/>
                  <w:vMerge w:val="continue"/>
                  <w:shd w:val="clear" w:color="auto" w:fill="auto"/>
                  <w:vAlign w:val="center"/>
                </w:tcPr>
                <w:p w14:paraId="6B7C6F61">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b w:val="0"/>
                      <w:bCs w:val="0"/>
                      <w:color w:val="auto"/>
                      <w:sz w:val="21"/>
                      <w:szCs w:val="21"/>
                      <w:highlight w:val="none"/>
                      <w:lang w:eastAsia="zh-CN"/>
                    </w:rPr>
                  </w:pPr>
                </w:p>
              </w:tc>
              <w:tc>
                <w:tcPr>
                  <w:tcW w:w="922" w:type="pct"/>
                  <w:shd w:val="clear" w:color="auto" w:fill="auto"/>
                  <w:vAlign w:val="center"/>
                </w:tcPr>
                <w:p w14:paraId="0E4E1B46">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eastAsia="zh-CN"/>
                    </w:rPr>
                    <w:t>废布轮</w:t>
                  </w:r>
                </w:p>
              </w:tc>
              <w:tc>
                <w:tcPr>
                  <w:tcW w:w="2410" w:type="pct"/>
                  <w:vMerge w:val="continue"/>
                  <w:shd w:val="clear" w:color="auto" w:fill="auto"/>
                  <w:vAlign w:val="center"/>
                </w:tcPr>
                <w:p w14:paraId="40580F12">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r w14:paraId="5A57E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405" w:type="pct"/>
                  <w:vMerge w:val="continue"/>
                  <w:vAlign w:val="center"/>
                </w:tcPr>
                <w:p w14:paraId="752D9483">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420" w:type="pct"/>
                  <w:vMerge w:val="continue"/>
                  <w:vAlign w:val="center"/>
                </w:tcPr>
                <w:p w14:paraId="69451026">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b w:val="0"/>
                      <w:bCs w:val="0"/>
                      <w:color w:val="auto"/>
                      <w:sz w:val="21"/>
                      <w:szCs w:val="21"/>
                      <w:highlight w:val="none"/>
                    </w:rPr>
                  </w:pPr>
                </w:p>
              </w:tc>
              <w:tc>
                <w:tcPr>
                  <w:tcW w:w="841" w:type="pct"/>
                  <w:vMerge w:val="continue"/>
                  <w:shd w:val="clear" w:color="auto" w:fill="auto"/>
                  <w:vAlign w:val="center"/>
                </w:tcPr>
                <w:p w14:paraId="2FB42FAB">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b w:val="0"/>
                      <w:bCs w:val="0"/>
                      <w:color w:val="auto"/>
                      <w:sz w:val="21"/>
                      <w:szCs w:val="21"/>
                      <w:highlight w:val="none"/>
                      <w:lang w:eastAsia="zh-CN"/>
                    </w:rPr>
                  </w:pPr>
                </w:p>
              </w:tc>
              <w:tc>
                <w:tcPr>
                  <w:tcW w:w="922" w:type="pct"/>
                  <w:shd w:val="clear" w:color="auto" w:fill="auto"/>
                  <w:vAlign w:val="center"/>
                </w:tcPr>
                <w:p w14:paraId="285A7F8E">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color w:val="auto"/>
                      <w:sz w:val="21"/>
                      <w:szCs w:val="21"/>
                      <w:highlight w:val="none"/>
                      <w:lang w:eastAsia="zh-CN"/>
                    </w:rPr>
                  </w:pPr>
                  <w:r>
                    <w:rPr>
                      <w:rFonts w:hint="eastAsia" w:ascii="Times New Roman"/>
                      <w:color w:val="auto"/>
                      <w:sz w:val="21"/>
                      <w:szCs w:val="21"/>
                      <w:highlight w:val="none"/>
                      <w:lang w:eastAsia="zh-CN"/>
                    </w:rPr>
                    <w:t>废研磨片</w:t>
                  </w:r>
                </w:p>
              </w:tc>
              <w:tc>
                <w:tcPr>
                  <w:tcW w:w="2410" w:type="pct"/>
                  <w:vMerge w:val="continue"/>
                  <w:shd w:val="clear" w:color="auto" w:fill="auto"/>
                  <w:vAlign w:val="center"/>
                </w:tcPr>
                <w:p w14:paraId="7626AEC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r w14:paraId="17B2C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405" w:type="pct"/>
                  <w:vMerge w:val="continue"/>
                  <w:vAlign w:val="center"/>
                </w:tcPr>
                <w:p w14:paraId="4CD72802">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420" w:type="pct"/>
                  <w:vMerge w:val="continue"/>
                  <w:vAlign w:val="center"/>
                </w:tcPr>
                <w:p w14:paraId="773AE59E">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b w:val="0"/>
                      <w:bCs w:val="0"/>
                      <w:color w:val="auto"/>
                      <w:sz w:val="21"/>
                      <w:szCs w:val="21"/>
                      <w:highlight w:val="none"/>
                    </w:rPr>
                  </w:pPr>
                </w:p>
              </w:tc>
              <w:tc>
                <w:tcPr>
                  <w:tcW w:w="841" w:type="pct"/>
                  <w:vMerge w:val="continue"/>
                  <w:shd w:val="clear" w:color="auto" w:fill="auto"/>
                  <w:vAlign w:val="center"/>
                </w:tcPr>
                <w:p w14:paraId="1F69E958">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b w:val="0"/>
                      <w:bCs w:val="0"/>
                      <w:color w:val="auto"/>
                      <w:sz w:val="21"/>
                      <w:szCs w:val="21"/>
                      <w:highlight w:val="none"/>
                      <w:lang w:eastAsia="zh-CN"/>
                    </w:rPr>
                  </w:pPr>
                </w:p>
              </w:tc>
              <w:tc>
                <w:tcPr>
                  <w:tcW w:w="922" w:type="pct"/>
                  <w:shd w:val="clear" w:color="auto" w:fill="auto"/>
                  <w:vAlign w:val="center"/>
                </w:tcPr>
                <w:p w14:paraId="10681CCB">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废包装物</w:t>
                  </w:r>
                </w:p>
              </w:tc>
              <w:tc>
                <w:tcPr>
                  <w:tcW w:w="2410" w:type="pct"/>
                  <w:vMerge w:val="continue"/>
                  <w:shd w:val="clear" w:color="auto" w:fill="auto"/>
                  <w:vAlign w:val="center"/>
                </w:tcPr>
                <w:p w14:paraId="4FD2D6B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r w14:paraId="6E87F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405" w:type="pct"/>
                  <w:vMerge w:val="continue"/>
                  <w:vAlign w:val="center"/>
                </w:tcPr>
                <w:p w14:paraId="6C012A76">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420" w:type="pct"/>
                  <w:vMerge w:val="continue"/>
                  <w:vAlign w:val="center"/>
                </w:tcPr>
                <w:p w14:paraId="7F956291">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b w:val="0"/>
                      <w:bCs w:val="0"/>
                      <w:color w:val="auto"/>
                      <w:sz w:val="21"/>
                      <w:szCs w:val="21"/>
                      <w:highlight w:val="none"/>
                    </w:rPr>
                  </w:pPr>
                </w:p>
              </w:tc>
              <w:tc>
                <w:tcPr>
                  <w:tcW w:w="841" w:type="pct"/>
                  <w:vMerge w:val="continue"/>
                  <w:shd w:val="clear" w:color="auto" w:fill="auto"/>
                  <w:vAlign w:val="center"/>
                </w:tcPr>
                <w:p w14:paraId="6B791333">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b w:val="0"/>
                      <w:bCs w:val="0"/>
                      <w:color w:val="auto"/>
                      <w:sz w:val="21"/>
                      <w:szCs w:val="21"/>
                      <w:highlight w:val="none"/>
                      <w:lang w:eastAsia="zh-CN"/>
                    </w:rPr>
                  </w:pPr>
                </w:p>
              </w:tc>
              <w:tc>
                <w:tcPr>
                  <w:tcW w:w="922" w:type="pct"/>
                  <w:shd w:val="clear" w:color="auto" w:fill="auto"/>
                  <w:vAlign w:val="center"/>
                </w:tcPr>
                <w:p w14:paraId="0D589B30">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废滤布</w:t>
                  </w:r>
                </w:p>
              </w:tc>
              <w:tc>
                <w:tcPr>
                  <w:tcW w:w="2410" w:type="pct"/>
                  <w:vMerge w:val="continue"/>
                  <w:shd w:val="clear" w:color="auto" w:fill="auto"/>
                  <w:vAlign w:val="center"/>
                </w:tcPr>
                <w:p w14:paraId="6A897267">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r w14:paraId="6776D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405" w:type="pct"/>
                  <w:vMerge w:val="continue"/>
                  <w:vAlign w:val="center"/>
                </w:tcPr>
                <w:p w14:paraId="7A3326DC">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420" w:type="pct"/>
                  <w:vMerge w:val="continue"/>
                  <w:vAlign w:val="center"/>
                </w:tcPr>
                <w:p w14:paraId="7591624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b w:val="0"/>
                      <w:bCs w:val="0"/>
                      <w:color w:val="auto"/>
                      <w:sz w:val="21"/>
                      <w:szCs w:val="21"/>
                      <w:highlight w:val="none"/>
                    </w:rPr>
                  </w:pPr>
                </w:p>
              </w:tc>
              <w:tc>
                <w:tcPr>
                  <w:tcW w:w="841" w:type="pct"/>
                  <w:vMerge w:val="continue"/>
                  <w:shd w:val="clear" w:color="auto" w:fill="auto"/>
                  <w:vAlign w:val="center"/>
                </w:tcPr>
                <w:p w14:paraId="1261C2E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b w:val="0"/>
                      <w:bCs w:val="0"/>
                      <w:color w:val="auto"/>
                      <w:sz w:val="21"/>
                      <w:szCs w:val="21"/>
                      <w:highlight w:val="none"/>
                    </w:rPr>
                  </w:pPr>
                </w:p>
              </w:tc>
              <w:tc>
                <w:tcPr>
                  <w:tcW w:w="922" w:type="pct"/>
                  <w:shd w:val="clear" w:color="auto" w:fill="auto"/>
                  <w:vAlign w:val="center"/>
                </w:tcPr>
                <w:p w14:paraId="64A77DA2">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除尘灰</w:t>
                  </w:r>
                </w:p>
              </w:tc>
              <w:tc>
                <w:tcPr>
                  <w:tcW w:w="2410" w:type="pct"/>
                  <w:vMerge w:val="restart"/>
                  <w:shd w:val="clear" w:color="auto" w:fill="auto"/>
                  <w:vAlign w:val="center"/>
                </w:tcPr>
                <w:p w14:paraId="53EFB49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lang w:eastAsia="zh-CN"/>
                    </w:rPr>
                    <w:t>统一收集后</w:t>
                  </w:r>
                  <w:r>
                    <w:rPr>
                      <w:rFonts w:hint="eastAsia" w:ascii="Times New Roman"/>
                      <w:color w:val="auto"/>
                      <w:sz w:val="21"/>
                      <w:szCs w:val="21"/>
                      <w:highlight w:val="none"/>
                      <w:lang w:val="en-US" w:eastAsia="zh-CN"/>
                    </w:rPr>
                    <w:t>外售</w:t>
                  </w:r>
                </w:p>
              </w:tc>
            </w:tr>
            <w:tr w14:paraId="4594D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405" w:type="pct"/>
                  <w:vMerge w:val="continue"/>
                  <w:vAlign w:val="center"/>
                </w:tcPr>
                <w:p w14:paraId="2F9C9DB7">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420" w:type="pct"/>
                  <w:vMerge w:val="continue"/>
                  <w:vAlign w:val="center"/>
                </w:tcPr>
                <w:p w14:paraId="3D4FD33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b w:val="0"/>
                      <w:bCs w:val="0"/>
                      <w:color w:val="auto"/>
                      <w:sz w:val="21"/>
                      <w:szCs w:val="21"/>
                      <w:highlight w:val="none"/>
                    </w:rPr>
                  </w:pPr>
                </w:p>
              </w:tc>
              <w:tc>
                <w:tcPr>
                  <w:tcW w:w="841" w:type="pct"/>
                  <w:vMerge w:val="continue"/>
                  <w:shd w:val="clear" w:color="auto" w:fill="auto"/>
                  <w:vAlign w:val="center"/>
                </w:tcPr>
                <w:p w14:paraId="3A65C14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b w:val="0"/>
                      <w:bCs w:val="0"/>
                      <w:color w:val="auto"/>
                      <w:sz w:val="21"/>
                      <w:szCs w:val="21"/>
                      <w:highlight w:val="none"/>
                    </w:rPr>
                  </w:pPr>
                </w:p>
              </w:tc>
              <w:tc>
                <w:tcPr>
                  <w:tcW w:w="922" w:type="pct"/>
                  <w:shd w:val="clear" w:color="auto" w:fill="auto"/>
                  <w:vAlign w:val="center"/>
                </w:tcPr>
                <w:p w14:paraId="6CB4059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沉泥</w:t>
                  </w:r>
                </w:p>
              </w:tc>
              <w:tc>
                <w:tcPr>
                  <w:tcW w:w="2410" w:type="pct"/>
                  <w:vMerge w:val="continue"/>
                  <w:shd w:val="clear" w:color="auto" w:fill="auto"/>
                  <w:vAlign w:val="center"/>
                </w:tcPr>
                <w:p w14:paraId="38EC10D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r w14:paraId="76362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5" w:type="pct"/>
                  <w:vMerge w:val="continue"/>
                  <w:vAlign w:val="center"/>
                </w:tcPr>
                <w:p w14:paraId="13553BD5">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420" w:type="pct"/>
                  <w:vMerge w:val="restart"/>
                  <w:vAlign w:val="center"/>
                </w:tcPr>
                <w:p w14:paraId="08D688BE">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b w:val="0"/>
                      <w:bCs w:val="0"/>
                      <w:color w:val="auto"/>
                      <w:sz w:val="21"/>
                      <w:szCs w:val="21"/>
                      <w:highlight w:val="none"/>
                      <w:lang w:val="en-US" w:eastAsia="zh-CN"/>
                    </w:rPr>
                  </w:pPr>
                  <w:r>
                    <w:rPr>
                      <w:rFonts w:hint="eastAsia" w:ascii="Times New Roman"/>
                      <w:b w:val="0"/>
                      <w:bCs w:val="0"/>
                      <w:color w:val="auto"/>
                      <w:sz w:val="21"/>
                      <w:szCs w:val="21"/>
                      <w:highlight w:val="none"/>
                      <w:lang w:val="en-US" w:eastAsia="zh-CN"/>
                    </w:rPr>
                    <w:t>危险废物</w:t>
                  </w:r>
                </w:p>
              </w:tc>
              <w:tc>
                <w:tcPr>
                  <w:tcW w:w="841" w:type="pct"/>
                  <w:vMerge w:val="restart"/>
                  <w:vAlign w:val="center"/>
                </w:tcPr>
                <w:p w14:paraId="47661FB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b w:val="0"/>
                      <w:bCs w:val="0"/>
                      <w:color w:val="auto"/>
                      <w:sz w:val="21"/>
                      <w:szCs w:val="21"/>
                      <w:highlight w:val="none"/>
                      <w:lang w:val="en-US" w:eastAsia="zh-CN"/>
                    </w:rPr>
                  </w:pPr>
                  <w:r>
                    <w:rPr>
                      <w:rFonts w:hint="eastAsia" w:ascii="Times New Roman"/>
                      <w:b w:val="0"/>
                      <w:bCs w:val="0"/>
                      <w:color w:val="auto"/>
                      <w:sz w:val="21"/>
                      <w:szCs w:val="21"/>
                      <w:highlight w:val="none"/>
                    </w:rPr>
                    <w:t>生产活动</w:t>
                  </w:r>
                </w:p>
              </w:tc>
              <w:tc>
                <w:tcPr>
                  <w:tcW w:w="922" w:type="pct"/>
                  <w:shd w:val="clear" w:color="auto" w:fill="auto"/>
                  <w:vAlign w:val="center"/>
                </w:tcPr>
                <w:p w14:paraId="676A4707">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b w:val="0"/>
                      <w:bCs w:val="0"/>
                      <w:color w:val="auto"/>
                      <w:sz w:val="21"/>
                      <w:szCs w:val="21"/>
                      <w:highlight w:val="none"/>
                      <w:lang w:val="en-US" w:eastAsia="zh-CN"/>
                    </w:rPr>
                  </w:pPr>
                  <w:r>
                    <w:rPr>
                      <w:rFonts w:hint="eastAsia" w:ascii="Times New Roman"/>
                      <w:b w:val="0"/>
                      <w:bCs w:val="0"/>
                      <w:color w:val="auto"/>
                      <w:sz w:val="21"/>
                      <w:szCs w:val="21"/>
                      <w:highlight w:val="none"/>
                      <w:lang w:val="en-US" w:eastAsia="zh-CN"/>
                    </w:rPr>
                    <w:t>废润滑油</w:t>
                  </w:r>
                </w:p>
              </w:tc>
              <w:tc>
                <w:tcPr>
                  <w:tcW w:w="2410" w:type="pct"/>
                  <w:vMerge w:val="restart"/>
                  <w:shd w:val="clear" w:color="auto" w:fill="auto"/>
                  <w:vAlign w:val="center"/>
                </w:tcPr>
                <w:p w14:paraId="6300CD4E">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统一收集后暂存于危废间，定期委托有资质单位处置</w:t>
                  </w:r>
                </w:p>
              </w:tc>
            </w:tr>
            <w:tr w14:paraId="2D542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5" w:type="pct"/>
                  <w:vMerge w:val="continue"/>
                  <w:vAlign w:val="center"/>
                </w:tcPr>
                <w:p w14:paraId="74925563">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420" w:type="pct"/>
                  <w:vMerge w:val="continue"/>
                  <w:vAlign w:val="center"/>
                </w:tcPr>
                <w:p w14:paraId="55F0533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b w:val="0"/>
                      <w:bCs w:val="0"/>
                      <w:color w:val="auto"/>
                      <w:sz w:val="21"/>
                      <w:szCs w:val="21"/>
                      <w:highlight w:val="none"/>
                      <w:lang w:val="en-US" w:eastAsia="zh-CN"/>
                    </w:rPr>
                  </w:pPr>
                </w:p>
              </w:tc>
              <w:tc>
                <w:tcPr>
                  <w:tcW w:w="841" w:type="pct"/>
                  <w:vMerge w:val="continue"/>
                  <w:vAlign w:val="center"/>
                </w:tcPr>
                <w:p w14:paraId="262AF01E">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b w:val="0"/>
                      <w:bCs w:val="0"/>
                      <w:color w:val="auto"/>
                      <w:sz w:val="21"/>
                      <w:szCs w:val="21"/>
                      <w:highlight w:val="none"/>
                      <w:lang w:val="en-US" w:eastAsia="zh-CN"/>
                    </w:rPr>
                  </w:pPr>
                </w:p>
              </w:tc>
              <w:tc>
                <w:tcPr>
                  <w:tcW w:w="922" w:type="pct"/>
                  <w:shd w:val="clear" w:color="auto" w:fill="auto"/>
                  <w:vAlign w:val="center"/>
                </w:tcPr>
                <w:p w14:paraId="57CCEDDA">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b w:val="0"/>
                      <w:bCs w:val="0"/>
                      <w:color w:val="auto"/>
                      <w:sz w:val="21"/>
                      <w:szCs w:val="21"/>
                      <w:highlight w:val="none"/>
                      <w:lang w:val="en-US" w:eastAsia="zh-CN"/>
                    </w:rPr>
                    <w:t>废润滑油桶</w:t>
                  </w:r>
                </w:p>
              </w:tc>
              <w:tc>
                <w:tcPr>
                  <w:tcW w:w="2410" w:type="pct"/>
                  <w:vMerge w:val="continue"/>
                  <w:shd w:val="clear" w:color="auto" w:fill="auto"/>
                  <w:vAlign w:val="center"/>
                </w:tcPr>
                <w:p w14:paraId="1407E1DA">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p>
              </w:tc>
            </w:tr>
            <w:tr w14:paraId="285C8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5" w:type="pct"/>
                  <w:vMerge w:val="continue"/>
                  <w:vAlign w:val="center"/>
                </w:tcPr>
                <w:p w14:paraId="1601DEFF">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420" w:type="pct"/>
                  <w:vMerge w:val="continue"/>
                  <w:vAlign w:val="center"/>
                </w:tcPr>
                <w:p w14:paraId="2C86EA9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b w:val="0"/>
                      <w:bCs w:val="0"/>
                      <w:color w:val="auto"/>
                      <w:sz w:val="21"/>
                      <w:szCs w:val="21"/>
                      <w:highlight w:val="none"/>
                      <w:lang w:val="en-US" w:eastAsia="zh-CN"/>
                    </w:rPr>
                  </w:pPr>
                </w:p>
              </w:tc>
              <w:tc>
                <w:tcPr>
                  <w:tcW w:w="841" w:type="pct"/>
                  <w:vMerge w:val="continue"/>
                  <w:vAlign w:val="center"/>
                </w:tcPr>
                <w:p w14:paraId="0236CD6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b w:val="0"/>
                      <w:bCs w:val="0"/>
                      <w:color w:val="auto"/>
                      <w:sz w:val="21"/>
                      <w:szCs w:val="21"/>
                      <w:highlight w:val="none"/>
                      <w:lang w:val="en-US" w:eastAsia="zh-CN"/>
                    </w:rPr>
                  </w:pPr>
                </w:p>
              </w:tc>
              <w:tc>
                <w:tcPr>
                  <w:tcW w:w="922" w:type="pct"/>
                  <w:shd w:val="clear" w:color="auto" w:fill="auto"/>
                  <w:vAlign w:val="center"/>
                </w:tcPr>
                <w:p w14:paraId="47A26048">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b w:val="0"/>
                      <w:bCs w:val="0"/>
                      <w:color w:val="auto"/>
                      <w:sz w:val="21"/>
                      <w:szCs w:val="21"/>
                      <w:highlight w:val="none"/>
                      <w:lang w:val="en-US" w:eastAsia="zh-CN"/>
                    </w:rPr>
                  </w:pPr>
                  <w:r>
                    <w:rPr>
                      <w:rFonts w:hint="eastAsia" w:ascii="Times New Roman"/>
                      <w:b w:val="0"/>
                      <w:bCs w:val="0"/>
                      <w:color w:val="auto"/>
                      <w:sz w:val="21"/>
                      <w:szCs w:val="21"/>
                      <w:highlight w:val="none"/>
                      <w:lang w:val="en-US" w:eastAsia="zh-CN"/>
                    </w:rPr>
                    <w:t>废机油</w:t>
                  </w:r>
                </w:p>
              </w:tc>
              <w:tc>
                <w:tcPr>
                  <w:tcW w:w="2410" w:type="pct"/>
                  <w:vMerge w:val="continue"/>
                  <w:shd w:val="clear" w:color="auto" w:fill="auto"/>
                  <w:vAlign w:val="center"/>
                </w:tcPr>
                <w:p w14:paraId="7CEE23A7">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p>
              </w:tc>
            </w:tr>
            <w:tr w14:paraId="3A691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5" w:type="pct"/>
                  <w:vMerge w:val="continue"/>
                  <w:vAlign w:val="center"/>
                </w:tcPr>
                <w:p w14:paraId="36818141">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420" w:type="pct"/>
                  <w:vMerge w:val="continue"/>
                  <w:vAlign w:val="center"/>
                </w:tcPr>
                <w:p w14:paraId="32C4321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b w:val="0"/>
                      <w:bCs w:val="0"/>
                      <w:color w:val="auto"/>
                      <w:sz w:val="21"/>
                      <w:szCs w:val="21"/>
                      <w:highlight w:val="none"/>
                      <w:lang w:val="en-US" w:eastAsia="zh-CN"/>
                    </w:rPr>
                  </w:pPr>
                </w:p>
              </w:tc>
              <w:tc>
                <w:tcPr>
                  <w:tcW w:w="841" w:type="pct"/>
                  <w:vMerge w:val="continue"/>
                  <w:vAlign w:val="center"/>
                </w:tcPr>
                <w:p w14:paraId="354C2AC6">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b w:val="0"/>
                      <w:bCs w:val="0"/>
                      <w:color w:val="auto"/>
                      <w:sz w:val="21"/>
                      <w:szCs w:val="21"/>
                      <w:highlight w:val="none"/>
                      <w:lang w:val="en-US" w:eastAsia="zh-CN"/>
                    </w:rPr>
                  </w:pPr>
                </w:p>
              </w:tc>
              <w:tc>
                <w:tcPr>
                  <w:tcW w:w="922" w:type="pct"/>
                  <w:shd w:val="clear" w:color="auto" w:fill="auto"/>
                  <w:vAlign w:val="center"/>
                </w:tcPr>
                <w:p w14:paraId="6E9BCF31">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b w:val="0"/>
                      <w:bCs w:val="0"/>
                      <w:color w:val="auto"/>
                      <w:sz w:val="21"/>
                      <w:szCs w:val="21"/>
                      <w:highlight w:val="none"/>
                      <w:lang w:val="en-US" w:eastAsia="zh-CN"/>
                    </w:rPr>
                  </w:pPr>
                  <w:r>
                    <w:rPr>
                      <w:rFonts w:hint="eastAsia" w:ascii="Times New Roman"/>
                      <w:b w:val="0"/>
                      <w:bCs w:val="0"/>
                      <w:color w:val="auto"/>
                      <w:sz w:val="21"/>
                      <w:szCs w:val="21"/>
                      <w:highlight w:val="none"/>
                      <w:lang w:val="en-US" w:eastAsia="zh-CN"/>
                    </w:rPr>
                    <w:t>废机油桶</w:t>
                  </w:r>
                </w:p>
              </w:tc>
              <w:tc>
                <w:tcPr>
                  <w:tcW w:w="2410" w:type="pct"/>
                  <w:vMerge w:val="continue"/>
                  <w:shd w:val="clear" w:color="auto" w:fill="auto"/>
                  <w:vAlign w:val="center"/>
                </w:tcPr>
                <w:p w14:paraId="471721A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p>
              </w:tc>
            </w:tr>
            <w:tr w14:paraId="09F94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5" w:type="pct"/>
                  <w:vMerge w:val="continue"/>
                  <w:vAlign w:val="center"/>
                </w:tcPr>
                <w:p w14:paraId="29A4EFC7">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420" w:type="pct"/>
                  <w:vMerge w:val="continue"/>
                  <w:vAlign w:val="center"/>
                </w:tcPr>
                <w:p w14:paraId="787E6C4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b w:val="0"/>
                      <w:bCs w:val="0"/>
                      <w:color w:val="auto"/>
                      <w:sz w:val="21"/>
                      <w:szCs w:val="21"/>
                      <w:highlight w:val="none"/>
                    </w:rPr>
                  </w:pPr>
                </w:p>
              </w:tc>
              <w:tc>
                <w:tcPr>
                  <w:tcW w:w="841" w:type="pct"/>
                  <w:vAlign w:val="center"/>
                </w:tcPr>
                <w:p w14:paraId="6C46FC2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b w:val="0"/>
                      <w:bCs w:val="0"/>
                      <w:color w:val="auto"/>
                      <w:sz w:val="21"/>
                      <w:szCs w:val="21"/>
                      <w:highlight w:val="none"/>
                      <w:lang w:val="en-US" w:eastAsia="zh-CN"/>
                    </w:rPr>
                  </w:pPr>
                  <w:r>
                    <w:rPr>
                      <w:rFonts w:hint="eastAsia" w:ascii="Times New Roman"/>
                      <w:b w:val="0"/>
                      <w:bCs w:val="0"/>
                      <w:color w:val="auto"/>
                      <w:sz w:val="21"/>
                      <w:szCs w:val="21"/>
                      <w:highlight w:val="none"/>
                      <w:lang w:val="en-US" w:eastAsia="zh-CN"/>
                    </w:rPr>
                    <w:t>运输</w:t>
                  </w:r>
                </w:p>
              </w:tc>
              <w:tc>
                <w:tcPr>
                  <w:tcW w:w="922" w:type="pct"/>
                  <w:shd w:val="clear" w:color="auto" w:fill="auto"/>
                  <w:vAlign w:val="center"/>
                </w:tcPr>
                <w:p w14:paraId="7295B1AF">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b w:val="0"/>
                      <w:bCs w:val="0"/>
                      <w:color w:val="auto"/>
                      <w:sz w:val="21"/>
                      <w:szCs w:val="21"/>
                      <w:highlight w:val="none"/>
                      <w:lang w:val="en-US" w:eastAsia="zh-CN"/>
                    </w:rPr>
                    <w:t>废铅酸电池</w:t>
                  </w:r>
                </w:p>
              </w:tc>
              <w:tc>
                <w:tcPr>
                  <w:tcW w:w="2410" w:type="pct"/>
                  <w:vMerge w:val="continue"/>
                  <w:shd w:val="clear" w:color="auto" w:fill="auto"/>
                  <w:vAlign w:val="center"/>
                </w:tcPr>
                <w:p w14:paraId="23AB7392">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bl>
          <w:p w14:paraId="2C6E6E6A">
            <w:pPr>
              <w:pStyle w:val="11"/>
              <w:keepNext w:val="0"/>
              <w:keepLines w:val="0"/>
              <w:widowControl/>
              <w:suppressLineNumbers w:val="0"/>
              <w:spacing w:before="0" w:beforeAutospacing="0" w:after="0" w:afterAutospacing="0" w:line="360" w:lineRule="auto"/>
              <w:ind w:left="0" w:right="0" w:firstLine="0" w:firstLineChars="0"/>
              <w:jc w:val="both"/>
              <w:rPr>
                <w:rFonts w:hint="default" w:hAnsi="Times New Roman"/>
                <w:color w:val="auto"/>
                <w:sz w:val="24"/>
                <w:szCs w:val="24"/>
                <w:highlight w:val="none"/>
                <w:lang w:val="en-US" w:eastAsia="zh-CN"/>
              </w:rPr>
            </w:pPr>
            <w:r>
              <w:rPr>
                <w:rFonts w:hint="eastAsia" w:hAnsi="Times New Roman"/>
                <w:color w:val="auto"/>
                <w:sz w:val="24"/>
                <w:szCs w:val="24"/>
                <w:highlight w:val="none"/>
                <w:lang w:val="en-US" w:eastAsia="zh-CN"/>
              </w:rPr>
              <w:t>环保抛光打磨湿式一体机原理：</w:t>
            </w:r>
          </w:p>
          <w:p w14:paraId="2F8413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 xml:space="preserve">本设备内设四道除尘过滤装置，第一道水幕撞击混合式过滤，第二道水帘自激混合过滤。第三道喷淋雾化混合式过滤，第四道蜂窝湿帘、环保球、S曲挡板过滤及水雾分离。 </w:t>
            </w:r>
          </w:p>
          <w:p w14:paraId="407F90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1）</w:t>
            </w:r>
            <w:r>
              <w:rPr>
                <w:rFonts w:hint="default" w:ascii="Times New Roman" w:hAnsi="Times New Roman" w:eastAsia="宋体" w:cs="Times New Roman"/>
                <w:b/>
                <w:bCs/>
                <w:color w:val="000000"/>
                <w:kern w:val="0"/>
                <w:sz w:val="24"/>
                <w:szCs w:val="24"/>
                <w:highlight w:val="none"/>
                <w:lang w:val="en-US" w:eastAsia="zh-CN" w:bidi="ar"/>
              </w:rPr>
              <w:t>水幕过滤装置：</w:t>
            </w:r>
            <w:r>
              <w:rPr>
                <w:rFonts w:hint="default" w:ascii="Times New Roman" w:hAnsi="Times New Roman" w:eastAsia="宋体" w:cs="Times New Roman"/>
                <w:color w:val="000000"/>
                <w:kern w:val="0"/>
                <w:sz w:val="24"/>
                <w:szCs w:val="24"/>
                <w:highlight w:val="none"/>
                <w:lang w:val="en-US" w:eastAsia="zh-CN" w:bidi="ar"/>
              </w:rPr>
              <w:t xml:space="preserve">打磨时含尘气体流向水幕墙并撞击水幕，这时效粗粉尘与水幕墙的水混合一体，随着水幕流到水池内，起到第一道过滤的效果。 </w:t>
            </w:r>
          </w:p>
          <w:p w14:paraId="6934B8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2）</w:t>
            </w:r>
            <w:r>
              <w:rPr>
                <w:rFonts w:hint="default" w:ascii="Times New Roman" w:hAnsi="Times New Roman" w:eastAsia="宋体" w:cs="Times New Roman"/>
                <w:b/>
                <w:bCs/>
                <w:color w:val="000000"/>
                <w:kern w:val="0"/>
                <w:sz w:val="24"/>
                <w:szCs w:val="24"/>
                <w:highlight w:val="none"/>
                <w:lang w:val="en-US" w:eastAsia="zh-CN" w:bidi="ar"/>
              </w:rPr>
              <w:t>水帘自激过滤 ：</w:t>
            </w:r>
            <w:r>
              <w:rPr>
                <w:rFonts w:hint="default" w:ascii="Times New Roman" w:hAnsi="Times New Roman" w:eastAsia="宋体" w:cs="Times New Roman"/>
                <w:color w:val="000000"/>
                <w:kern w:val="0"/>
                <w:sz w:val="24"/>
                <w:szCs w:val="24"/>
                <w:highlight w:val="none"/>
                <w:lang w:val="en-US" w:eastAsia="zh-CN" w:bidi="ar"/>
              </w:rPr>
              <w:t xml:space="preserve">打磨含尘气体再继续流向第二道水帘，吸风口高压作用下产生自激，让水飞溅和粉尘混合， 起到第二道过滤的效果。 </w:t>
            </w:r>
          </w:p>
          <w:p w14:paraId="0BA65B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3）</w:t>
            </w:r>
            <w:r>
              <w:rPr>
                <w:rFonts w:hint="default" w:ascii="Times New Roman" w:hAnsi="Times New Roman" w:eastAsia="宋体" w:cs="Times New Roman"/>
                <w:b/>
                <w:bCs/>
                <w:color w:val="000000"/>
                <w:kern w:val="0"/>
                <w:sz w:val="24"/>
                <w:szCs w:val="24"/>
                <w:highlight w:val="none"/>
                <w:lang w:val="en-US" w:eastAsia="zh-CN" w:bidi="ar"/>
              </w:rPr>
              <w:t>喷淋雾化混合式过滤：</w:t>
            </w:r>
            <w:r>
              <w:rPr>
                <w:rFonts w:hint="default" w:ascii="Times New Roman" w:hAnsi="Times New Roman" w:eastAsia="宋体" w:cs="Times New Roman"/>
                <w:color w:val="000000"/>
                <w:kern w:val="0"/>
                <w:sz w:val="24"/>
                <w:szCs w:val="24"/>
                <w:highlight w:val="none"/>
                <w:lang w:val="en-US" w:eastAsia="zh-CN" w:bidi="ar"/>
              </w:rPr>
              <w:t xml:space="preserve">气体继续流向喷淋区，喷淋区内有双重喷淋产生大量密集的水雾，这时气体中的细微粉尘与密集的水雾混合，增加重量使水雾型成水滴，滴落到水池里，起到第三次过滤的效果。 </w:t>
            </w:r>
          </w:p>
          <w:p w14:paraId="048E50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4）</w:t>
            </w:r>
            <w:r>
              <w:rPr>
                <w:rFonts w:hint="default" w:ascii="Times New Roman" w:hAnsi="Times New Roman" w:eastAsia="宋体" w:cs="Times New Roman"/>
                <w:b/>
                <w:bCs/>
                <w:color w:val="000000"/>
                <w:kern w:val="0"/>
                <w:sz w:val="24"/>
                <w:szCs w:val="24"/>
                <w:highlight w:val="none"/>
                <w:lang w:val="en-US" w:eastAsia="zh-CN" w:bidi="ar"/>
              </w:rPr>
              <w:t>蜂窝湿帘、环保球、S曲挡板过滤装置：</w:t>
            </w:r>
            <w:r>
              <w:rPr>
                <w:rFonts w:hint="default" w:ascii="Times New Roman" w:hAnsi="Times New Roman" w:eastAsia="宋体" w:cs="Times New Roman"/>
                <w:color w:val="000000"/>
                <w:kern w:val="0"/>
                <w:sz w:val="24"/>
                <w:szCs w:val="24"/>
                <w:highlight w:val="none"/>
                <w:lang w:val="en-US" w:eastAsia="zh-CN" w:bidi="ar"/>
              </w:rPr>
              <w:t>经过以上三道过滤再进入蜂窝湿帘或环保球或S曲挡板过滤装置，以上装置多层组成形成交错缝隙，净化气体在交错复杂的缝隙中窜梭，碰撞到挡板使气体中的细微粉尘与水雾粘凝球体上，形成水珠滴落到水池里，起到第四道过滤效果。</w:t>
            </w:r>
          </w:p>
          <w:p w14:paraId="31672411">
            <w:pPr>
              <w:pStyle w:val="11"/>
              <w:keepNext w:val="0"/>
              <w:keepLines w:val="0"/>
              <w:widowControl/>
              <w:suppressLineNumbers w:val="0"/>
              <w:spacing w:before="0" w:beforeAutospacing="0" w:after="0" w:afterAutospacing="0" w:line="240" w:lineRule="auto"/>
              <w:ind w:left="0" w:right="0" w:firstLine="0" w:firstLineChars="0"/>
              <w:jc w:val="center"/>
              <w:rPr>
                <w:rFonts w:hint="eastAsia" w:hAnsi="Times New Roman"/>
                <w:color w:val="auto"/>
                <w:highlight w:val="none"/>
                <w:lang w:eastAsia="zh-CN"/>
              </w:rPr>
            </w:pPr>
            <w:r>
              <w:rPr>
                <w:rFonts w:hint="eastAsia" w:hAnsi="Times New Roman"/>
                <w:color w:val="auto"/>
                <w:highlight w:val="none"/>
                <w:lang w:eastAsia="zh-CN"/>
              </w:rPr>
              <w:drawing>
                <wp:inline distT="0" distB="0" distL="114300" distR="114300">
                  <wp:extent cx="2420620" cy="1970405"/>
                  <wp:effectExtent l="0" t="0" r="17780" b="10795"/>
                  <wp:docPr id="7" name="图片 7" descr="1753854567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753854567540"/>
                          <pic:cNvPicPr>
                            <a:picLocks noChangeAspect="1"/>
                          </pic:cNvPicPr>
                        </pic:nvPicPr>
                        <pic:blipFill>
                          <a:blip r:embed="rId26"/>
                          <a:stretch>
                            <a:fillRect/>
                          </a:stretch>
                        </pic:blipFill>
                        <pic:spPr>
                          <a:xfrm>
                            <a:off x="0" y="0"/>
                            <a:ext cx="2420620" cy="1970405"/>
                          </a:xfrm>
                          <a:prstGeom prst="rect">
                            <a:avLst/>
                          </a:prstGeom>
                        </pic:spPr>
                      </pic:pic>
                    </a:graphicData>
                  </a:graphic>
                </wp:inline>
              </w:drawing>
            </w:r>
            <w:r>
              <w:rPr>
                <w:rFonts w:hint="eastAsia" w:hAnsi="Times New Roman"/>
                <w:color w:val="auto"/>
                <w:highlight w:val="none"/>
                <w:lang w:eastAsia="zh-CN"/>
              </w:rPr>
              <w:drawing>
                <wp:inline distT="0" distB="0" distL="114300" distR="114300">
                  <wp:extent cx="2285365" cy="1963420"/>
                  <wp:effectExtent l="0" t="0" r="635" b="17780"/>
                  <wp:docPr id="8" name="图片 8" descr="19d01b99f3d8afef4678105372fa0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9d01b99f3d8afef4678105372fa0f2"/>
                          <pic:cNvPicPr>
                            <a:picLocks noChangeAspect="1"/>
                          </pic:cNvPicPr>
                        </pic:nvPicPr>
                        <pic:blipFill>
                          <a:blip r:embed="rId27"/>
                          <a:stretch>
                            <a:fillRect/>
                          </a:stretch>
                        </pic:blipFill>
                        <pic:spPr>
                          <a:xfrm>
                            <a:off x="0" y="0"/>
                            <a:ext cx="2285365" cy="1963420"/>
                          </a:xfrm>
                          <a:prstGeom prst="rect">
                            <a:avLst/>
                          </a:prstGeom>
                        </pic:spPr>
                      </pic:pic>
                    </a:graphicData>
                  </a:graphic>
                </wp:inline>
              </w:drawing>
            </w:r>
          </w:p>
          <w:p w14:paraId="0D1906B5">
            <w:pPr>
              <w:pStyle w:val="11"/>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4"/>
                <w:szCs w:val="24"/>
                <w:highlight w:val="none"/>
                <w:lang w:val="en-US" w:eastAsia="zh-CN"/>
              </w:rPr>
            </w:pPr>
          </w:p>
          <w:p w14:paraId="4D602294">
            <w:pPr>
              <w:pStyle w:val="11"/>
              <w:keepNext w:val="0"/>
              <w:keepLines w:val="0"/>
              <w:widowControl/>
              <w:suppressLineNumbers w:val="0"/>
              <w:spacing w:before="0" w:beforeAutospacing="0" w:after="0" w:afterAutospacing="0" w:line="240" w:lineRule="auto"/>
              <w:ind w:left="0" w:right="0" w:firstLine="0" w:firstLineChars="0"/>
              <w:jc w:val="center"/>
              <w:rPr>
                <w:rFonts w:hint="eastAsia" w:hAnsi="Times New Roman"/>
                <w:color w:val="auto"/>
                <w:highlight w:val="none"/>
                <w:lang w:eastAsia="zh-CN"/>
              </w:rPr>
            </w:pPr>
            <w:r>
              <w:rPr>
                <w:rFonts w:hint="default" w:ascii="Times New Roman" w:hAnsi="Times New Roman" w:eastAsia="宋体" w:cs="Times New Roman"/>
                <w:color w:val="auto"/>
                <w:sz w:val="24"/>
                <w:szCs w:val="24"/>
                <w:highlight w:val="none"/>
                <w:lang w:val="en-US" w:eastAsia="zh-CN"/>
              </w:rPr>
              <w:t>图2-3</w:t>
            </w:r>
            <w:r>
              <w:rPr>
                <w:rFonts w:hint="eastAsia" w:ascii="Times New Roman" w:hAnsi="Times New Roman" w:eastAsia="宋体" w:cs="Times New Roman"/>
                <w:color w:val="auto"/>
                <w:sz w:val="24"/>
                <w:szCs w:val="24"/>
                <w:highlight w:val="none"/>
                <w:lang w:val="en-US" w:eastAsia="zh-CN"/>
              </w:rPr>
              <w:t xml:space="preserve"> 环保抛光打磨湿式一体机</w:t>
            </w:r>
          </w:p>
        </w:tc>
      </w:tr>
      <w:tr w14:paraId="327CD9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439" w:type="dxa"/>
            <w:vAlign w:val="center"/>
          </w:tcPr>
          <w:p w14:paraId="06EE6D29">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r>
              <w:rPr>
                <w:rFonts w:hint="default" w:ascii="Times New Roman" w:hAnsi="Times New Roman" w:eastAsia="宋体" w:cs="Times New Roman"/>
                <w:b/>
                <w:bCs/>
                <w:color w:val="auto"/>
                <w:kern w:val="0"/>
                <w:sz w:val="28"/>
                <w:szCs w:val="28"/>
                <w:highlight w:val="none"/>
                <w:lang w:val="en-US" w:eastAsia="zh-CN" w:bidi="ar-SA"/>
              </w:rPr>
              <w:t>与项目有关的原有环境污染问题</w:t>
            </w:r>
          </w:p>
        </w:tc>
        <w:tc>
          <w:tcPr>
            <w:tcW w:w="8621" w:type="dxa"/>
          </w:tcPr>
          <w:p w14:paraId="6C6EA7C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8" w:firstLineChars="200"/>
              <w:textAlignment w:val="auto"/>
              <w:rPr>
                <w:rFonts w:hint="default"/>
                <w:color w:val="auto"/>
                <w:sz w:val="24"/>
                <w:szCs w:val="24"/>
                <w:highlight w:val="none"/>
              </w:rPr>
            </w:pPr>
            <w:r>
              <w:rPr>
                <w:rFonts w:hint="default"/>
                <w:spacing w:val="2"/>
                <w:sz w:val="24"/>
                <w:szCs w:val="24"/>
                <w:highlight w:val="none"/>
              </w:rPr>
              <w:t>本项目为新建，租赁现有厂房，厂房原有生产过程中未接到过</w:t>
            </w:r>
            <w:r>
              <w:rPr>
                <w:rFonts w:hint="default"/>
                <w:spacing w:val="1"/>
                <w:sz w:val="24"/>
                <w:szCs w:val="24"/>
                <w:highlight w:val="none"/>
              </w:rPr>
              <w:t>环境投诉，无与</w:t>
            </w:r>
            <w:r>
              <w:rPr>
                <w:rFonts w:hint="default"/>
                <w:spacing w:val="-1"/>
                <w:sz w:val="24"/>
                <w:szCs w:val="24"/>
                <w:highlight w:val="none"/>
              </w:rPr>
              <w:t>项目有关的原有环境污染问题。</w:t>
            </w:r>
          </w:p>
          <w:p w14:paraId="450022A2">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0D1B813D">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5999299B">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4F269C93">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59A0F76A">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2D7CF148">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2DC809C1">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06943A98">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54741F09">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4F9054C8">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490CD5AA">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1DB3DB14">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0A69C6B9">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436186A8">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46933978">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68B37A5D">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0DB5479D">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50BE5699">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3125BA57">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209DECB9">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6413862A">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677E6BB2">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68CC430C">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72925A91">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01758636">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38F1989D">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76B54F4E">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40A69CEA">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04964FA7">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p w14:paraId="2CE310EF">
            <w:pPr>
              <w:pStyle w:val="11"/>
              <w:keepNext w:val="0"/>
              <w:keepLines w:val="0"/>
              <w:widowControl/>
              <w:suppressLineNumbers w:val="0"/>
              <w:spacing w:before="0" w:beforeAutospacing="0" w:after="0" w:afterAutospacing="0" w:line="240" w:lineRule="auto"/>
              <w:ind w:left="0" w:right="0" w:firstLine="0" w:firstLineChars="0"/>
              <w:jc w:val="both"/>
              <w:rPr>
                <w:rFonts w:hint="default" w:hAnsi="Times New Roman"/>
                <w:color w:val="auto"/>
                <w:highlight w:val="none"/>
              </w:rPr>
            </w:pPr>
          </w:p>
        </w:tc>
      </w:tr>
    </w:tbl>
    <w:p w14:paraId="267A1824">
      <w:pPr>
        <w:pStyle w:val="31"/>
        <w:spacing w:before="0" w:beforeAutospacing="0" w:after="0" w:afterAutospacing="0"/>
        <w:jc w:val="center"/>
        <w:rPr>
          <w:rFonts w:ascii="黑体" w:hAnsi="黑体" w:eastAsia="黑体"/>
          <w:snapToGrid w:val="0"/>
          <w:color w:val="auto"/>
          <w:sz w:val="36"/>
          <w:szCs w:val="36"/>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5D95EDFB">
      <w:pPr>
        <w:pStyle w:val="31"/>
        <w:spacing w:before="0" w:beforeAutospacing="0" w:after="0" w:afterAutospacing="0"/>
        <w:jc w:val="center"/>
        <w:outlineLvl w:val="0"/>
        <w:rPr>
          <w:rFonts w:ascii="黑体" w:hAnsi="黑体" w:eastAsia="黑体"/>
          <w:snapToGrid w:val="0"/>
          <w:color w:val="auto"/>
          <w:sz w:val="30"/>
          <w:szCs w:val="30"/>
          <w:highlight w:val="none"/>
        </w:rPr>
      </w:pPr>
      <w:bookmarkStart w:id="5" w:name="_Toc18922"/>
      <w:r>
        <w:rPr>
          <w:rFonts w:hint="eastAsia" w:ascii="黑体" w:hAnsi="黑体" w:eastAsia="黑体"/>
          <w:snapToGrid w:val="0"/>
          <w:color w:val="auto"/>
          <w:sz w:val="30"/>
          <w:szCs w:val="30"/>
          <w:highlight w:val="none"/>
        </w:rPr>
        <w:t>三、区域环境质量现状、环境保护目标及评价标准</w:t>
      </w:r>
      <w:bookmarkEnd w:id="5"/>
    </w:p>
    <w:tbl>
      <w:tblPr>
        <w:tblStyle w:val="3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5"/>
        <w:gridCol w:w="8606"/>
      </w:tblGrid>
      <w:tr w14:paraId="38E89F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5" w:type="dxa"/>
            <w:vAlign w:val="center"/>
          </w:tcPr>
          <w:p w14:paraId="674114AB">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75C6DB70">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20B1122A">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1820D0B7">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7923A67A">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1226BFA4">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7EC6B2BF">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636C8719">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00578667">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329FBC09">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5E962F65">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0B13EE28">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0D1508C5">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79EAD9F6">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66F855D9">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5BD79DF5">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区域</w:t>
            </w:r>
          </w:p>
          <w:p w14:paraId="79D3AFCB">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环境</w:t>
            </w:r>
          </w:p>
          <w:p w14:paraId="490BFF3F">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质量</w:t>
            </w:r>
          </w:p>
          <w:p w14:paraId="6C4C0181">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现状</w:t>
            </w:r>
          </w:p>
          <w:p w14:paraId="07A4C32A">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0E290878">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5D3E80C6">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081DABE6">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7528C2A1">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734760DD">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3064DEE7">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2D15AB5A">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245A3E3E">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24A559E5">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5B5A8D0F">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72132534">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5AB58F00">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4295F344">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134AD881">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5F9CF2B9">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1CE9F1A5">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103DE719">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4E3C70F2">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4770B870">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4FA73483">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4E76A403">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79FA1DDD">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034DBF0A">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430D05F1">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4E4C3085">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12DF577D">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4517FB06">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7F58E3DC">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7BE5FC74">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271F3A0B">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区域</w:t>
            </w:r>
          </w:p>
          <w:p w14:paraId="746126FA">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环境</w:t>
            </w:r>
          </w:p>
          <w:p w14:paraId="18A8A147">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质量</w:t>
            </w:r>
          </w:p>
          <w:p w14:paraId="0F36BD37">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现状</w:t>
            </w:r>
          </w:p>
          <w:p w14:paraId="57C2581F">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3016AA6D">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7B7D3675">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7E3C5DBA">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30C83C73">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500C96D0">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79A66F86">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641DE420">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24C24056">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1C7E6972">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0E854856">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68E5F46B">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12755475">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1097245E">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5B7A9A0D">
            <w:pPr>
              <w:keepNext w:val="0"/>
              <w:keepLines w:val="0"/>
              <w:suppressLineNumbers w:val="0"/>
              <w:autoSpaceDE w:val="0"/>
              <w:autoSpaceDN w:val="0"/>
              <w:adjustRightInd w:val="0"/>
              <w:snapToGrid w:val="0"/>
              <w:spacing w:before="0" w:beforeAutospacing="0" w:after="0" w:afterAutospacing="0"/>
              <w:ind w:left="0" w:right="0"/>
              <w:rPr>
                <w:rFonts w:hint="eastAsia" w:ascii="Times New Roman" w:hAnsi="Times New Roman" w:eastAsia="宋体" w:cs="Times New Roman"/>
                <w:b/>
                <w:bCs/>
                <w:color w:val="auto"/>
                <w:kern w:val="0"/>
                <w:sz w:val="28"/>
                <w:szCs w:val="28"/>
                <w:highlight w:val="none"/>
              </w:rPr>
            </w:pPr>
          </w:p>
          <w:p w14:paraId="31BF9466">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p>
        </w:tc>
        <w:tc>
          <w:tcPr>
            <w:tcW w:w="8606" w:type="dxa"/>
            <w:vAlign w:val="center"/>
          </w:tcPr>
          <w:p w14:paraId="3AE2A81A">
            <w:pPr>
              <w:pStyle w:val="6"/>
              <w:keepNext w:val="0"/>
              <w:keepLines w:val="0"/>
              <w:suppressLineNumbers w:val="0"/>
              <w:spacing w:before="0" w:beforeAutospacing="0" w:after="0" w:afterAutospacing="0"/>
              <w:ind w:left="0" w:right="0" w:firstLine="482" w:firstLineChars="200"/>
              <w:rPr>
                <w:rFonts w:hint="default" w:ascii="Times New Roman" w:hAnsi="Times New Roman"/>
                <w:color w:val="auto"/>
                <w:szCs w:val="24"/>
                <w:highlight w:val="none"/>
              </w:rPr>
            </w:pPr>
            <w:r>
              <w:rPr>
                <w:rFonts w:hint="default" w:ascii="Times New Roman" w:hAnsi="Times New Roman"/>
                <w:color w:val="auto"/>
                <w:szCs w:val="24"/>
                <w:highlight w:val="none"/>
              </w:rPr>
              <w:t>1</w:t>
            </w:r>
            <w:r>
              <w:rPr>
                <w:rFonts w:ascii="Times New Roman" w:hAnsi="Times New Roman"/>
                <w:color w:val="auto"/>
                <w:szCs w:val="24"/>
                <w:highlight w:val="none"/>
              </w:rPr>
              <w:t>、</w:t>
            </w:r>
            <w:r>
              <w:rPr>
                <w:rFonts w:hint="default" w:ascii="Times New Roman" w:hAnsi="Times New Roman"/>
                <w:color w:val="auto"/>
                <w:szCs w:val="24"/>
                <w:highlight w:val="none"/>
              </w:rPr>
              <w:t>环境空气质量现状</w:t>
            </w:r>
          </w:p>
          <w:p w14:paraId="2457B933">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（1）常规污染物监测数据</w:t>
            </w:r>
          </w:p>
          <w:p w14:paraId="5468A581">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bCs/>
                <w:color w:val="auto"/>
                <w:sz w:val="24"/>
                <w:highlight w:val="none"/>
              </w:rPr>
              <w:t>本项目位于河北省秦皇岛经济技术开发区，项目所在区域环境空气质量执行《环境空气质量标准》(GB</w:t>
            </w:r>
            <w:r>
              <w:rPr>
                <w:rFonts w:hint="eastAsia"/>
                <w:bCs/>
                <w:color w:val="auto"/>
                <w:sz w:val="24"/>
                <w:highlight w:val="none"/>
                <w:lang w:val="en-US" w:eastAsia="zh-CN"/>
              </w:rPr>
              <w:t xml:space="preserve"> </w:t>
            </w:r>
            <w:r>
              <w:rPr>
                <w:rFonts w:hint="default"/>
                <w:bCs/>
                <w:color w:val="auto"/>
                <w:sz w:val="24"/>
                <w:highlight w:val="none"/>
              </w:rPr>
              <w:t>3095-2012)二级标准。</w:t>
            </w:r>
            <w:r>
              <w:rPr>
                <w:rFonts w:hint="eastAsia"/>
                <w:color w:val="auto"/>
                <w:sz w:val="24"/>
                <w:highlight w:val="none"/>
                <w:lang w:val="en-US" w:eastAsia="zh-CN"/>
              </w:rPr>
              <w:t>由于秦皇岛市生态环境局网站未完全公布2024年空气污染物指标变化情况，</w:t>
            </w:r>
            <w:r>
              <w:rPr>
                <w:rFonts w:hint="default"/>
                <w:bCs/>
                <w:color w:val="auto"/>
                <w:sz w:val="24"/>
                <w:highlight w:val="none"/>
              </w:rPr>
              <w:t>本评价引用秦皇岛市生态环境局网站《关于2023年12月份环境空气质量的通报》（秦气防领办〔2024〕2号）中开发区年度浓度数据，项目所在区域环境空气质量达标区判定情况见下表</w:t>
            </w:r>
            <w:r>
              <w:rPr>
                <w:rFonts w:hint="default"/>
                <w:color w:val="auto"/>
                <w:sz w:val="24"/>
                <w:highlight w:val="none"/>
              </w:rPr>
              <w:t>。</w:t>
            </w:r>
          </w:p>
          <w:p w14:paraId="4DA226BF">
            <w:pPr>
              <w:pStyle w:val="47"/>
              <w:keepNext w:val="0"/>
              <w:keepLines w:val="0"/>
              <w:suppressLineNumbers w:val="0"/>
              <w:spacing w:before="0" w:beforeAutospacing="0" w:after="0" w:afterAutospacing="0"/>
              <w:ind w:left="0" w:right="0" w:firstLine="0" w:firstLineChars="0"/>
              <w:jc w:val="center"/>
              <w:rPr>
                <w:rFonts w:hint="default" w:eastAsia="宋体"/>
                <w:b/>
                <w:color w:val="auto"/>
                <w:sz w:val="24"/>
                <w:highlight w:val="none"/>
              </w:rPr>
            </w:pPr>
            <w:r>
              <w:rPr>
                <w:rFonts w:hint="default" w:eastAsia="宋体"/>
                <w:b/>
                <w:color w:val="auto"/>
                <w:sz w:val="24"/>
                <w:highlight w:val="none"/>
              </w:rPr>
              <w:t>表3-1 秦皇岛经济技术开发区空气质量现状评价表</w:t>
            </w:r>
          </w:p>
          <w:tbl>
            <w:tblPr>
              <w:tblStyle w:val="3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1164"/>
              <w:gridCol w:w="1465"/>
              <w:gridCol w:w="1839"/>
              <w:gridCol w:w="1631"/>
              <w:gridCol w:w="964"/>
              <w:gridCol w:w="1312"/>
            </w:tblGrid>
            <w:tr w14:paraId="7DC6D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3" w:hRule="atLeast"/>
                <w:jc w:val="center"/>
              </w:trPr>
              <w:tc>
                <w:tcPr>
                  <w:tcW w:w="695" w:type="pct"/>
                  <w:vAlign w:val="center"/>
                </w:tcPr>
                <w:p w14:paraId="60B541E7">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污染物</w:t>
                  </w:r>
                </w:p>
              </w:tc>
              <w:tc>
                <w:tcPr>
                  <w:tcW w:w="874" w:type="pct"/>
                  <w:vAlign w:val="center"/>
                </w:tcPr>
                <w:p w14:paraId="24AE36E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年度评价指标</w:t>
                  </w:r>
                </w:p>
              </w:tc>
              <w:tc>
                <w:tcPr>
                  <w:tcW w:w="1097" w:type="pct"/>
                  <w:vAlign w:val="center"/>
                </w:tcPr>
                <w:p w14:paraId="4A7DED2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现状浓度/（μg/m³）</w:t>
                  </w:r>
                </w:p>
              </w:tc>
              <w:tc>
                <w:tcPr>
                  <w:tcW w:w="973" w:type="pct"/>
                  <w:vAlign w:val="center"/>
                </w:tcPr>
                <w:p w14:paraId="5C00B156">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标准值/（μg/m³）</w:t>
                  </w:r>
                </w:p>
              </w:tc>
              <w:tc>
                <w:tcPr>
                  <w:tcW w:w="575" w:type="pct"/>
                  <w:vAlign w:val="center"/>
                </w:tcPr>
                <w:p w14:paraId="21A00FDA">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占标率/％</w:t>
                  </w:r>
                </w:p>
              </w:tc>
              <w:tc>
                <w:tcPr>
                  <w:tcW w:w="783" w:type="pct"/>
                  <w:vAlign w:val="center"/>
                </w:tcPr>
                <w:p w14:paraId="148CEF58">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达标情况</w:t>
                  </w:r>
                </w:p>
              </w:tc>
            </w:tr>
            <w:tr w14:paraId="4AAFE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3" w:hRule="atLeast"/>
                <w:jc w:val="center"/>
              </w:trPr>
              <w:tc>
                <w:tcPr>
                  <w:tcW w:w="695" w:type="pct"/>
                  <w:vAlign w:val="center"/>
                </w:tcPr>
                <w:p w14:paraId="4F70F59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SO</w:t>
                  </w:r>
                  <w:r>
                    <w:rPr>
                      <w:rFonts w:hint="default" w:ascii="Times New Roman"/>
                      <w:color w:val="auto"/>
                      <w:sz w:val="21"/>
                      <w:szCs w:val="21"/>
                      <w:highlight w:val="none"/>
                      <w:vertAlign w:val="subscript"/>
                    </w:rPr>
                    <w:t>2</w:t>
                  </w:r>
                </w:p>
              </w:tc>
              <w:tc>
                <w:tcPr>
                  <w:tcW w:w="874" w:type="pct"/>
                  <w:vAlign w:val="center"/>
                </w:tcPr>
                <w:p w14:paraId="3B8BC45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年平均值</w:t>
                  </w:r>
                </w:p>
              </w:tc>
              <w:tc>
                <w:tcPr>
                  <w:tcW w:w="1097" w:type="pct"/>
                  <w:vAlign w:val="center"/>
                </w:tcPr>
                <w:p w14:paraId="7BF7B61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7</w:t>
                  </w:r>
                </w:p>
              </w:tc>
              <w:tc>
                <w:tcPr>
                  <w:tcW w:w="973" w:type="pct"/>
                  <w:vAlign w:val="center"/>
                </w:tcPr>
                <w:p w14:paraId="69124A1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60</w:t>
                  </w:r>
                </w:p>
              </w:tc>
              <w:tc>
                <w:tcPr>
                  <w:tcW w:w="575" w:type="pct"/>
                  <w:vAlign w:val="center"/>
                </w:tcPr>
                <w:p w14:paraId="7DB0CF7B">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11.67</w:t>
                  </w:r>
                </w:p>
              </w:tc>
              <w:tc>
                <w:tcPr>
                  <w:tcW w:w="783" w:type="pct"/>
                  <w:vAlign w:val="center"/>
                </w:tcPr>
                <w:p w14:paraId="0314A94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rPr>
                    <w:t>达标</w:t>
                  </w:r>
                </w:p>
              </w:tc>
            </w:tr>
            <w:tr w14:paraId="61ED5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3" w:hRule="atLeast"/>
                <w:jc w:val="center"/>
              </w:trPr>
              <w:tc>
                <w:tcPr>
                  <w:tcW w:w="695" w:type="pct"/>
                  <w:vAlign w:val="center"/>
                </w:tcPr>
                <w:p w14:paraId="5929F206">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NO</w:t>
                  </w:r>
                  <w:r>
                    <w:rPr>
                      <w:rFonts w:hint="default" w:ascii="Times New Roman"/>
                      <w:color w:val="auto"/>
                      <w:sz w:val="21"/>
                      <w:szCs w:val="21"/>
                      <w:highlight w:val="none"/>
                      <w:vertAlign w:val="subscript"/>
                    </w:rPr>
                    <w:t>2</w:t>
                  </w:r>
                </w:p>
              </w:tc>
              <w:tc>
                <w:tcPr>
                  <w:tcW w:w="874" w:type="pct"/>
                  <w:vAlign w:val="center"/>
                </w:tcPr>
                <w:p w14:paraId="3936ABE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年平均值</w:t>
                  </w:r>
                </w:p>
              </w:tc>
              <w:tc>
                <w:tcPr>
                  <w:tcW w:w="1097" w:type="pct"/>
                  <w:vAlign w:val="center"/>
                </w:tcPr>
                <w:p w14:paraId="016D3042">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3</w:t>
                  </w:r>
                  <w:r>
                    <w:rPr>
                      <w:rFonts w:hint="eastAsia" w:ascii="Times New Roman"/>
                      <w:color w:val="auto"/>
                      <w:sz w:val="21"/>
                      <w:szCs w:val="21"/>
                      <w:highlight w:val="none"/>
                    </w:rPr>
                    <w:t>2</w:t>
                  </w:r>
                </w:p>
              </w:tc>
              <w:tc>
                <w:tcPr>
                  <w:tcW w:w="973" w:type="pct"/>
                  <w:vAlign w:val="center"/>
                </w:tcPr>
                <w:p w14:paraId="54E1131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40</w:t>
                  </w:r>
                </w:p>
              </w:tc>
              <w:tc>
                <w:tcPr>
                  <w:tcW w:w="575" w:type="pct"/>
                  <w:vAlign w:val="center"/>
                </w:tcPr>
                <w:p w14:paraId="59A54AC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rPr>
                    <w:t>8</w:t>
                  </w:r>
                  <w:r>
                    <w:rPr>
                      <w:rFonts w:hint="default" w:ascii="Times New Roman"/>
                      <w:color w:val="auto"/>
                      <w:sz w:val="21"/>
                      <w:szCs w:val="21"/>
                      <w:highlight w:val="none"/>
                    </w:rPr>
                    <w:t>0.00</w:t>
                  </w:r>
                </w:p>
              </w:tc>
              <w:tc>
                <w:tcPr>
                  <w:tcW w:w="783" w:type="pct"/>
                  <w:vAlign w:val="center"/>
                </w:tcPr>
                <w:p w14:paraId="35323378">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达标</w:t>
                  </w:r>
                </w:p>
              </w:tc>
            </w:tr>
            <w:tr w14:paraId="6B7EB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3" w:hRule="atLeast"/>
                <w:jc w:val="center"/>
              </w:trPr>
              <w:tc>
                <w:tcPr>
                  <w:tcW w:w="695" w:type="pct"/>
                  <w:vAlign w:val="center"/>
                </w:tcPr>
                <w:p w14:paraId="6A02BFD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CO</w:t>
                  </w:r>
                </w:p>
              </w:tc>
              <w:tc>
                <w:tcPr>
                  <w:tcW w:w="874" w:type="pct"/>
                  <w:vAlign w:val="center"/>
                </w:tcPr>
                <w:p w14:paraId="06877CE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24h平均值</w:t>
                  </w:r>
                </w:p>
              </w:tc>
              <w:tc>
                <w:tcPr>
                  <w:tcW w:w="1097" w:type="pct"/>
                  <w:vAlign w:val="center"/>
                </w:tcPr>
                <w:p w14:paraId="16D011F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1.2mg/m³</w:t>
                  </w:r>
                </w:p>
              </w:tc>
              <w:tc>
                <w:tcPr>
                  <w:tcW w:w="973" w:type="pct"/>
                  <w:vAlign w:val="center"/>
                </w:tcPr>
                <w:p w14:paraId="474E45B0">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4mg/m³</w:t>
                  </w:r>
                </w:p>
              </w:tc>
              <w:tc>
                <w:tcPr>
                  <w:tcW w:w="575" w:type="pct"/>
                  <w:vAlign w:val="center"/>
                </w:tcPr>
                <w:p w14:paraId="20D44EA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30.00</w:t>
                  </w:r>
                </w:p>
              </w:tc>
              <w:tc>
                <w:tcPr>
                  <w:tcW w:w="783" w:type="pct"/>
                  <w:vAlign w:val="center"/>
                </w:tcPr>
                <w:p w14:paraId="0BDAFF3E">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达标</w:t>
                  </w:r>
                </w:p>
              </w:tc>
            </w:tr>
            <w:tr w14:paraId="2C405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3" w:hRule="atLeast"/>
                <w:jc w:val="center"/>
              </w:trPr>
              <w:tc>
                <w:tcPr>
                  <w:tcW w:w="695" w:type="pct"/>
                  <w:vAlign w:val="center"/>
                </w:tcPr>
                <w:p w14:paraId="76437407">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O</w:t>
                  </w:r>
                  <w:r>
                    <w:rPr>
                      <w:rFonts w:hint="default" w:ascii="Times New Roman"/>
                      <w:color w:val="auto"/>
                      <w:sz w:val="21"/>
                      <w:szCs w:val="21"/>
                      <w:highlight w:val="none"/>
                      <w:vertAlign w:val="subscript"/>
                    </w:rPr>
                    <w:t>3</w:t>
                  </w:r>
                </w:p>
              </w:tc>
              <w:tc>
                <w:tcPr>
                  <w:tcW w:w="874" w:type="pct"/>
                  <w:vAlign w:val="center"/>
                </w:tcPr>
                <w:p w14:paraId="14C72B5A">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8h平均值</w:t>
                  </w:r>
                </w:p>
              </w:tc>
              <w:tc>
                <w:tcPr>
                  <w:tcW w:w="1097" w:type="pct"/>
                  <w:vAlign w:val="center"/>
                </w:tcPr>
                <w:p w14:paraId="37D6EA72">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rPr>
                    <w:t>160</w:t>
                  </w:r>
                </w:p>
              </w:tc>
              <w:tc>
                <w:tcPr>
                  <w:tcW w:w="973" w:type="pct"/>
                  <w:vAlign w:val="center"/>
                </w:tcPr>
                <w:p w14:paraId="4AECED9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160</w:t>
                  </w:r>
                </w:p>
              </w:tc>
              <w:tc>
                <w:tcPr>
                  <w:tcW w:w="575" w:type="pct"/>
                  <w:vAlign w:val="center"/>
                </w:tcPr>
                <w:p w14:paraId="7E63429E">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rPr>
                    <w:t>100.00</w:t>
                  </w:r>
                </w:p>
              </w:tc>
              <w:tc>
                <w:tcPr>
                  <w:tcW w:w="783" w:type="pct"/>
                  <w:vAlign w:val="center"/>
                </w:tcPr>
                <w:p w14:paraId="40FFB144">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达标</w:t>
                  </w:r>
                </w:p>
              </w:tc>
            </w:tr>
            <w:tr w14:paraId="3596E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3" w:hRule="atLeast"/>
                <w:jc w:val="center"/>
              </w:trPr>
              <w:tc>
                <w:tcPr>
                  <w:tcW w:w="695" w:type="pct"/>
                  <w:vAlign w:val="center"/>
                </w:tcPr>
                <w:p w14:paraId="3CAD32A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PM</w:t>
                  </w:r>
                  <w:r>
                    <w:rPr>
                      <w:rFonts w:hint="default" w:ascii="Times New Roman"/>
                      <w:color w:val="auto"/>
                      <w:sz w:val="21"/>
                      <w:szCs w:val="21"/>
                      <w:highlight w:val="none"/>
                      <w:vertAlign w:val="subscript"/>
                    </w:rPr>
                    <w:t>10</w:t>
                  </w:r>
                </w:p>
              </w:tc>
              <w:tc>
                <w:tcPr>
                  <w:tcW w:w="874" w:type="pct"/>
                  <w:vAlign w:val="center"/>
                </w:tcPr>
                <w:p w14:paraId="5B7E3BC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年平均值</w:t>
                  </w:r>
                </w:p>
              </w:tc>
              <w:tc>
                <w:tcPr>
                  <w:tcW w:w="1097" w:type="pct"/>
                  <w:vAlign w:val="center"/>
                </w:tcPr>
                <w:p w14:paraId="14C7A007">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rPr>
                    <w:t>64</w:t>
                  </w:r>
                </w:p>
              </w:tc>
              <w:tc>
                <w:tcPr>
                  <w:tcW w:w="973" w:type="pct"/>
                  <w:vAlign w:val="center"/>
                </w:tcPr>
                <w:p w14:paraId="4952ED8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70</w:t>
                  </w:r>
                </w:p>
              </w:tc>
              <w:tc>
                <w:tcPr>
                  <w:tcW w:w="575" w:type="pct"/>
                  <w:vAlign w:val="center"/>
                </w:tcPr>
                <w:p w14:paraId="0D6E5A37">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rPr>
                    <w:t>91.43</w:t>
                  </w:r>
                </w:p>
              </w:tc>
              <w:tc>
                <w:tcPr>
                  <w:tcW w:w="783" w:type="pct"/>
                  <w:vAlign w:val="center"/>
                </w:tcPr>
                <w:p w14:paraId="5D87961E">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达标</w:t>
                  </w:r>
                </w:p>
              </w:tc>
            </w:tr>
            <w:tr w14:paraId="4D9A2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83" w:hRule="atLeast"/>
                <w:jc w:val="center"/>
              </w:trPr>
              <w:tc>
                <w:tcPr>
                  <w:tcW w:w="695" w:type="pct"/>
                  <w:vAlign w:val="center"/>
                </w:tcPr>
                <w:p w14:paraId="7956A432">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PM</w:t>
                  </w:r>
                  <w:r>
                    <w:rPr>
                      <w:rFonts w:hint="default" w:ascii="Times New Roman"/>
                      <w:color w:val="auto"/>
                      <w:sz w:val="21"/>
                      <w:szCs w:val="21"/>
                      <w:highlight w:val="none"/>
                      <w:vertAlign w:val="subscript"/>
                    </w:rPr>
                    <w:t>2.5</w:t>
                  </w:r>
                </w:p>
              </w:tc>
              <w:tc>
                <w:tcPr>
                  <w:tcW w:w="874" w:type="pct"/>
                  <w:vAlign w:val="center"/>
                </w:tcPr>
                <w:p w14:paraId="0BE610C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年平均值</w:t>
                  </w:r>
                </w:p>
              </w:tc>
              <w:tc>
                <w:tcPr>
                  <w:tcW w:w="1097" w:type="pct"/>
                  <w:vAlign w:val="center"/>
                </w:tcPr>
                <w:p w14:paraId="141F14B0">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rPr>
                    <w:t>30</w:t>
                  </w:r>
                </w:p>
              </w:tc>
              <w:tc>
                <w:tcPr>
                  <w:tcW w:w="973" w:type="pct"/>
                  <w:vAlign w:val="center"/>
                </w:tcPr>
                <w:p w14:paraId="07696EB8">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35</w:t>
                  </w:r>
                </w:p>
              </w:tc>
              <w:tc>
                <w:tcPr>
                  <w:tcW w:w="575" w:type="pct"/>
                  <w:vAlign w:val="center"/>
                </w:tcPr>
                <w:p w14:paraId="72C946F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rPr>
                    <w:t>85.71</w:t>
                  </w:r>
                </w:p>
              </w:tc>
              <w:tc>
                <w:tcPr>
                  <w:tcW w:w="783" w:type="pct"/>
                  <w:vAlign w:val="center"/>
                </w:tcPr>
                <w:p w14:paraId="2EB41519">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达标</w:t>
                  </w:r>
                </w:p>
              </w:tc>
            </w:tr>
          </w:tbl>
          <w:p w14:paraId="2F25F5FF">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bCs/>
                <w:color w:val="auto"/>
                <w:sz w:val="24"/>
                <w:highlight w:val="none"/>
              </w:rPr>
              <w:t>由表3-1可知，SO</w:t>
            </w:r>
            <w:r>
              <w:rPr>
                <w:rFonts w:hint="default"/>
                <w:bCs/>
                <w:color w:val="auto"/>
                <w:sz w:val="24"/>
                <w:highlight w:val="none"/>
                <w:vertAlign w:val="subscript"/>
              </w:rPr>
              <w:t>2</w:t>
            </w:r>
            <w:r>
              <w:rPr>
                <w:rFonts w:hint="default"/>
                <w:bCs/>
                <w:color w:val="auto"/>
                <w:sz w:val="24"/>
                <w:highlight w:val="none"/>
              </w:rPr>
              <w:t>、NO</w:t>
            </w:r>
            <w:r>
              <w:rPr>
                <w:rFonts w:hint="default"/>
                <w:bCs/>
                <w:color w:val="auto"/>
                <w:sz w:val="24"/>
                <w:highlight w:val="none"/>
                <w:vertAlign w:val="subscript"/>
              </w:rPr>
              <w:t>2</w:t>
            </w:r>
            <w:r>
              <w:rPr>
                <w:rFonts w:hint="default"/>
                <w:bCs/>
                <w:color w:val="auto"/>
                <w:sz w:val="24"/>
                <w:highlight w:val="none"/>
              </w:rPr>
              <w:t>、PM</w:t>
            </w:r>
            <w:r>
              <w:rPr>
                <w:rFonts w:hint="default"/>
                <w:bCs/>
                <w:color w:val="auto"/>
                <w:sz w:val="24"/>
                <w:highlight w:val="none"/>
                <w:vertAlign w:val="subscript"/>
              </w:rPr>
              <w:t>10</w:t>
            </w:r>
            <w:r>
              <w:rPr>
                <w:rFonts w:hint="default"/>
                <w:bCs/>
                <w:color w:val="auto"/>
                <w:sz w:val="24"/>
                <w:highlight w:val="none"/>
              </w:rPr>
              <w:t>、PM</w:t>
            </w:r>
            <w:r>
              <w:rPr>
                <w:rFonts w:hint="default"/>
                <w:bCs/>
                <w:color w:val="auto"/>
                <w:sz w:val="24"/>
                <w:highlight w:val="none"/>
                <w:vertAlign w:val="subscript"/>
              </w:rPr>
              <w:t>2.5</w:t>
            </w:r>
            <w:r>
              <w:rPr>
                <w:rFonts w:hint="default"/>
                <w:bCs/>
                <w:color w:val="auto"/>
                <w:sz w:val="24"/>
                <w:highlight w:val="none"/>
              </w:rPr>
              <w:t>、CO、O</w:t>
            </w:r>
            <w:r>
              <w:rPr>
                <w:rFonts w:hint="default"/>
                <w:bCs/>
                <w:color w:val="auto"/>
                <w:sz w:val="24"/>
                <w:highlight w:val="none"/>
                <w:vertAlign w:val="subscript"/>
              </w:rPr>
              <w:t>3</w:t>
            </w:r>
            <w:r>
              <w:rPr>
                <w:rFonts w:hint="default"/>
                <w:bCs/>
                <w:color w:val="auto"/>
                <w:sz w:val="24"/>
                <w:highlight w:val="none"/>
              </w:rPr>
              <w:t>均能够满足《环境空气质量标准》（GB3095-2012）及2018年修改单（二级）的限值要求。因此，开发区为达标区域</w:t>
            </w:r>
            <w:r>
              <w:rPr>
                <w:rFonts w:hint="default"/>
                <w:color w:val="auto"/>
                <w:sz w:val="24"/>
                <w:highlight w:val="none"/>
              </w:rPr>
              <w:t>。</w:t>
            </w:r>
          </w:p>
          <w:p w14:paraId="5E5B020A">
            <w:pPr>
              <w:pStyle w:val="62"/>
              <w:keepNext w:val="0"/>
              <w:keepLines w:val="0"/>
              <w:suppressLineNumbers w:val="0"/>
              <w:spacing w:before="0" w:beforeAutospacing="0" w:after="0" w:afterAutospacing="0" w:line="360" w:lineRule="auto"/>
              <w:ind w:left="0" w:right="0" w:firstLine="480" w:firstLineChars="200"/>
              <w:jc w:val="left"/>
              <w:rPr>
                <w:rFonts w:hint="default"/>
                <w:color w:val="auto"/>
                <w:sz w:val="24"/>
                <w:szCs w:val="24"/>
                <w:highlight w:val="none"/>
              </w:rPr>
            </w:pPr>
            <w:r>
              <w:rPr>
                <w:rFonts w:hint="default"/>
                <w:color w:val="auto"/>
                <w:sz w:val="24"/>
                <w:szCs w:val="24"/>
                <w:highlight w:val="none"/>
              </w:rPr>
              <w:t>（2）特征污染物监测数据</w:t>
            </w:r>
          </w:p>
          <w:p w14:paraId="646A21A2">
            <w:pPr>
              <w:keepNext w:val="0"/>
              <w:keepLines w:val="0"/>
              <w:widowControl/>
              <w:suppressLineNumbers w:val="0"/>
              <w:spacing w:before="0" w:beforeAutospacing="0" w:after="0" w:afterAutospacing="0" w:line="360" w:lineRule="auto"/>
              <w:ind w:left="0" w:right="0" w:firstLine="480" w:firstLineChars="200"/>
              <w:rPr>
                <w:rFonts w:hint="default"/>
                <w:color w:val="auto"/>
                <w:kern w:val="0"/>
                <w:sz w:val="24"/>
                <w:highlight w:val="none"/>
                <w:lang w:val="zh-CN"/>
              </w:rPr>
            </w:pPr>
            <w:r>
              <w:rPr>
                <w:rFonts w:hint="default"/>
                <w:color w:val="auto"/>
                <w:kern w:val="0"/>
                <w:sz w:val="24"/>
                <w:highlight w:val="none"/>
              </w:rPr>
              <w:t>根据《建设项目环境影响报告表编制技术指南（污染影响类）》，项目环评现状监测数据可充分利用建设项目周边5千米范围内近3年的现有监测数据”。</w:t>
            </w:r>
            <w:r>
              <w:rPr>
                <w:rFonts w:hint="eastAsia"/>
                <w:color w:val="auto"/>
                <w:kern w:val="0"/>
                <w:sz w:val="24"/>
                <w:highlight w:val="none"/>
              </w:rPr>
              <w:t>本项目TSP的</w:t>
            </w:r>
            <w:r>
              <w:rPr>
                <w:rFonts w:hint="default"/>
                <w:color w:val="auto"/>
                <w:kern w:val="0"/>
                <w:sz w:val="24"/>
                <w:highlight w:val="none"/>
                <w:lang w:val="zh-CN"/>
              </w:rPr>
              <w:t>检测数据引用</w:t>
            </w:r>
            <w:r>
              <w:rPr>
                <w:rFonts w:hint="eastAsia"/>
                <w:color w:val="auto"/>
                <w:kern w:val="0"/>
                <w:sz w:val="24"/>
                <w:highlight w:val="none"/>
                <w:lang w:val="zh-CN"/>
              </w:rPr>
              <w:t>《</w:t>
            </w:r>
            <w:r>
              <w:rPr>
                <w:rFonts w:hint="eastAsia"/>
                <w:color w:val="auto"/>
                <w:kern w:val="0"/>
                <w:sz w:val="24"/>
                <w:highlight w:val="none"/>
              </w:rPr>
              <w:t>宏启胜精密电子（秦皇岛）有限公司环境空气</w:t>
            </w:r>
            <w:r>
              <w:rPr>
                <w:rFonts w:hint="eastAsia"/>
                <w:color w:val="auto"/>
                <w:kern w:val="0"/>
                <w:sz w:val="24"/>
                <w:highlight w:val="none"/>
                <w:lang w:val="zh-CN"/>
              </w:rPr>
              <w:t>》</w:t>
            </w:r>
            <w:r>
              <w:rPr>
                <w:rFonts w:hint="default"/>
                <w:color w:val="auto"/>
                <w:kern w:val="0"/>
                <w:sz w:val="24"/>
                <w:highlight w:val="none"/>
                <w:lang w:val="zh-CN"/>
              </w:rPr>
              <w:t>检测数据。监测时间为20</w:t>
            </w:r>
            <w:r>
              <w:rPr>
                <w:rFonts w:hint="eastAsia"/>
                <w:color w:val="auto"/>
                <w:kern w:val="0"/>
                <w:sz w:val="24"/>
                <w:highlight w:val="none"/>
              </w:rPr>
              <w:t>24</w:t>
            </w:r>
            <w:r>
              <w:rPr>
                <w:rFonts w:hint="default"/>
                <w:color w:val="auto"/>
                <w:kern w:val="0"/>
                <w:sz w:val="24"/>
                <w:highlight w:val="none"/>
                <w:lang w:val="zh-CN"/>
              </w:rPr>
              <w:t>年</w:t>
            </w:r>
            <w:r>
              <w:rPr>
                <w:rFonts w:hint="eastAsia"/>
                <w:color w:val="auto"/>
                <w:kern w:val="0"/>
                <w:sz w:val="24"/>
                <w:highlight w:val="none"/>
              </w:rPr>
              <w:t>7</w:t>
            </w:r>
            <w:r>
              <w:rPr>
                <w:rFonts w:hint="default"/>
                <w:color w:val="auto"/>
                <w:kern w:val="0"/>
                <w:sz w:val="24"/>
                <w:highlight w:val="none"/>
                <w:lang w:val="zh-CN"/>
              </w:rPr>
              <w:t>月</w:t>
            </w:r>
            <w:r>
              <w:rPr>
                <w:rFonts w:hint="eastAsia"/>
                <w:color w:val="auto"/>
                <w:kern w:val="0"/>
                <w:sz w:val="24"/>
                <w:highlight w:val="none"/>
              </w:rPr>
              <w:t>15</w:t>
            </w:r>
            <w:r>
              <w:rPr>
                <w:rFonts w:hint="default"/>
                <w:color w:val="auto"/>
                <w:kern w:val="0"/>
                <w:sz w:val="24"/>
                <w:highlight w:val="none"/>
                <w:lang w:val="zh-CN"/>
              </w:rPr>
              <w:t>日～</w:t>
            </w:r>
            <w:r>
              <w:rPr>
                <w:rFonts w:hint="eastAsia"/>
                <w:color w:val="auto"/>
                <w:kern w:val="0"/>
                <w:sz w:val="24"/>
                <w:highlight w:val="none"/>
              </w:rPr>
              <w:t>7</w:t>
            </w:r>
            <w:r>
              <w:rPr>
                <w:rFonts w:hint="default"/>
                <w:color w:val="auto"/>
                <w:kern w:val="0"/>
                <w:sz w:val="24"/>
                <w:highlight w:val="none"/>
                <w:lang w:val="zh-CN"/>
              </w:rPr>
              <w:t>月</w:t>
            </w:r>
            <w:r>
              <w:rPr>
                <w:rFonts w:hint="eastAsia"/>
                <w:color w:val="auto"/>
                <w:kern w:val="0"/>
                <w:sz w:val="24"/>
                <w:highlight w:val="none"/>
              </w:rPr>
              <w:t>17</w:t>
            </w:r>
            <w:r>
              <w:rPr>
                <w:rFonts w:hint="default"/>
                <w:color w:val="auto"/>
                <w:kern w:val="0"/>
                <w:sz w:val="24"/>
                <w:highlight w:val="none"/>
                <w:lang w:val="zh-CN"/>
              </w:rPr>
              <w:t>日，监测点位于</w:t>
            </w:r>
            <w:r>
              <w:rPr>
                <w:rFonts w:hint="eastAsia"/>
                <w:color w:val="auto"/>
                <w:kern w:val="0"/>
                <w:sz w:val="24"/>
                <w:highlight w:val="none"/>
              </w:rPr>
              <w:t>宏启胜精密电子（秦皇岛）有限公司厂区东南，本</w:t>
            </w:r>
            <w:r>
              <w:rPr>
                <w:rFonts w:hint="default"/>
                <w:color w:val="auto"/>
                <w:kern w:val="0"/>
                <w:sz w:val="24"/>
                <w:highlight w:val="none"/>
                <w:lang w:val="zh-CN"/>
              </w:rPr>
              <w:t>项目</w:t>
            </w:r>
            <w:r>
              <w:rPr>
                <w:rFonts w:hint="eastAsia"/>
                <w:color w:val="auto"/>
                <w:kern w:val="0"/>
                <w:sz w:val="24"/>
                <w:highlight w:val="none"/>
              </w:rPr>
              <w:t>西</w:t>
            </w:r>
            <w:r>
              <w:rPr>
                <w:rFonts w:hint="default"/>
                <w:color w:val="auto"/>
                <w:kern w:val="0"/>
                <w:sz w:val="24"/>
                <w:highlight w:val="none"/>
                <w:lang w:val="zh-CN"/>
              </w:rPr>
              <w:t>侧</w:t>
            </w:r>
            <w:r>
              <w:rPr>
                <w:rFonts w:hint="eastAsia"/>
                <w:color w:val="auto"/>
                <w:kern w:val="0"/>
                <w:sz w:val="24"/>
                <w:highlight w:val="none"/>
              </w:rPr>
              <w:t>2.3</w:t>
            </w:r>
            <w:r>
              <w:rPr>
                <w:rFonts w:hint="eastAsia"/>
                <w:color w:val="auto"/>
                <w:kern w:val="0"/>
                <w:sz w:val="24"/>
                <w:highlight w:val="none"/>
                <w:lang w:val="en-US" w:eastAsia="zh-CN"/>
              </w:rPr>
              <w:t>60</w:t>
            </w:r>
            <w:r>
              <w:rPr>
                <w:rFonts w:hint="eastAsia"/>
                <w:color w:val="auto"/>
                <w:kern w:val="0"/>
                <w:sz w:val="24"/>
                <w:highlight w:val="none"/>
              </w:rPr>
              <w:t>k</w:t>
            </w:r>
            <w:r>
              <w:rPr>
                <w:rFonts w:hint="default"/>
                <w:color w:val="auto"/>
                <w:kern w:val="0"/>
                <w:sz w:val="24"/>
                <w:highlight w:val="none"/>
                <w:lang w:val="zh-CN"/>
              </w:rPr>
              <w:t xml:space="preserve">m处，小于5km，因此补充监测数据符合评价要求。 </w:t>
            </w:r>
          </w:p>
          <w:p w14:paraId="5699222F">
            <w:pPr>
              <w:keepNext w:val="0"/>
              <w:keepLines w:val="0"/>
              <w:widowControl/>
              <w:suppressLineNumbers w:val="0"/>
              <w:spacing w:before="0" w:beforeAutospacing="0" w:after="0" w:afterAutospacing="0" w:line="360" w:lineRule="auto"/>
              <w:ind w:left="0" w:right="0" w:firstLine="480" w:firstLineChars="200"/>
              <w:rPr>
                <w:rFonts w:hint="default"/>
                <w:color w:val="auto"/>
                <w:kern w:val="0"/>
                <w:sz w:val="24"/>
                <w:highlight w:val="none"/>
                <w:lang w:val="zh-CN"/>
              </w:rPr>
            </w:pPr>
            <w:r>
              <w:rPr>
                <w:rFonts w:hint="default"/>
                <w:color w:val="auto"/>
                <w:kern w:val="0"/>
                <w:sz w:val="24"/>
                <w:highlight w:val="none"/>
                <w:lang w:val="zh-CN"/>
              </w:rPr>
              <w:t>本项目</w:t>
            </w:r>
            <w:r>
              <w:rPr>
                <w:rFonts w:hint="eastAsia" w:ascii="Times New Roman" w:hAnsi="Times New Roman" w:eastAsia="宋体" w:cs="Times New Roman"/>
                <w:color w:val="auto"/>
                <w:kern w:val="0"/>
                <w:sz w:val="24"/>
                <w:highlight w:val="none"/>
                <w:lang w:val="zh-CN"/>
              </w:rPr>
              <w:t>特征污染物环境空气质量引用</w:t>
            </w:r>
            <w:r>
              <w:rPr>
                <w:rFonts w:hint="default" w:ascii="Times New Roman" w:hAnsi="Times New Roman" w:eastAsia="宋体" w:cs="Times New Roman"/>
                <w:color w:val="auto"/>
                <w:kern w:val="0"/>
                <w:sz w:val="24"/>
                <w:highlight w:val="none"/>
                <w:lang w:val="zh-CN"/>
              </w:rPr>
              <w:t>监测</w:t>
            </w:r>
            <w:r>
              <w:rPr>
                <w:rFonts w:hint="default"/>
                <w:color w:val="auto"/>
                <w:kern w:val="0"/>
                <w:sz w:val="24"/>
                <w:highlight w:val="none"/>
                <w:lang w:val="zh-CN"/>
              </w:rPr>
              <w:t>点位基本信息见表</w:t>
            </w:r>
            <w:r>
              <w:rPr>
                <w:rFonts w:hint="eastAsia"/>
                <w:color w:val="auto"/>
                <w:kern w:val="0"/>
                <w:sz w:val="24"/>
                <w:highlight w:val="none"/>
              </w:rPr>
              <w:t>3-2</w:t>
            </w:r>
            <w:r>
              <w:rPr>
                <w:rFonts w:hint="default"/>
                <w:color w:val="auto"/>
                <w:kern w:val="0"/>
                <w:sz w:val="24"/>
                <w:highlight w:val="none"/>
                <w:lang w:val="zh-CN"/>
              </w:rPr>
              <w:t>。</w:t>
            </w:r>
          </w:p>
          <w:p w14:paraId="4BC15936">
            <w:pPr>
              <w:keepNext w:val="0"/>
              <w:keepLines w:val="0"/>
              <w:suppressLineNumbers w:val="0"/>
              <w:adjustRightInd w:val="0"/>
              <w:snapToGrid w:val="0"/>
              <w:spacing w:before="0" w:beforeAutospacing="0" w:after="0" w:afterAutospacing="0"/>
              <w:ind w:left="0" w:right="0"/>
              <w:jc w:val="center"/>
              <w:rPr>
                <w:rFonts w:hint="default"/>
                <w:b/>
                <w:color w:val="auto"/>
                <w:sz w:val="24"/>
                <w:highlight w:val="none"/>
              </w:rPr>
            </w:pPr>
            <w:r>
              <w:rPr>
                <w:rFonts w:hint="default"/>
                <w:b/>
                <w:color w:val="auto"/>
                <w:sz w:val="24"/>
                <w:highlight w:val="none"/>
              </w:rPr>
              <w:t>表</w:t>
            </w:r>
            <w:r>
              <w:rPr>
                <w:rFonts w:hint="eastAsia"/>
                <w:b/>
                <w:color w:val="auto"/>
                <w:sz w:val="24"/>
                <w:highlight w:val="none"/>
              </w:rPr>
              <w:t>3-2 特征污染物环境空气质量引用</w:t>
            </w:r>
            <w:r>
              <w:rPr>
                <w:rFonts w:hint="default"/>
                <w:b/>
                <w:color w:val="auto"/>
                <w:sz w:val="24"/>
                <w:highlight w:val="none"/>
              </w:rPr>
              <w:t>监测点位基本信息表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2"/>
              <w:gridCol w:w="1223"/>
              <w:gridCol w:w="1164"/>
              <w:gridCol w:w="1397"/>
              <w:gridCol w:w="1397"/>
              <w:gridCol w:w="1397"/>
            </w:tblGrid>
            <w:tr w14:paraId="7DD5C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68" w:type="dxa"/>
                  <w:vMerge w:val="restart"/>
                  <w:vAlign w:val="center"/>
                </w:tcPr>
                <w:p w14:paraId="53885B49">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监测点名称</w:t>
                  </w:r>
                </w:p>
              </w:tc>
              <w:tc>
                <w:tcPr>
                  <w:tcW w:w="2342" w:type="dxa"/>
                  <w:gridSpan w:val="2"/>
                  <w:vAlign w:val="center"/>
                </w:tcPr>
                <w:p w14:paraId="3122E439">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监测点坐标</w:t>
                  </w:r>
                </w:p>
              </w:tc>
              <w:tc>
                <w:tcPr>
                  <w:tcW w:w="1370" w:type="dxa"/>
                  <w:vMerge w:val="restart"/>
                  <w:vAlign w:val="center"/>
                </w:tcPr>
                <w:p w14:paraId="229A3D58">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监测因子</w:t>
                  </w:r>
                </w:p>
              </w:tc>
              <w:tc>
                <w:tcPr>
                  <w:tcW w:w="1370" w:type="dxa"/>
                  <w:vMerge w:val="restart"/>
                  <w:vAlign w:val="center"/>
                </w:tcPr>
                <w:p w14:paraId="12301C42">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监测时段</w:t>
                  </w:r>
                </w:p>
              </w:tc>
              <w:tc>
                <w:tcPr>
                  <w:tcW w:w="1370" w:type="dxa"/>
                  <w:vMerge w:val="restart"/>
                  <w:vAlign w:val="center"/>
                </w:tcPr>
                <w:p w14:paraId="5AB8C7CC">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相对本厂区方位及距离</w:t>
                  </w:r>
                </w:p>
              </w:tc>
            </w:tr>
            <w:tr w14:paraId="2DEDE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68" w:type="dxa"/>
                  <w:vMerge w:val="continue"/>
                  <w:vAlign w:val="center"/>
                </w:tcPr>
                <w:p w14:paraId="0CB2A49D">
                  <w:pPr>
                    <w:keepNext w:val="0"/>
                    <w:keepLines w:val="0"/>
                    <w:suppressLineNumbers w:val="0"/>
                    <w:spacing w:before="0" w:beforeAutospacing="0" w:after="0" w:afterAutospacing="0"/>
                    <w:ind w:left="0" w:right="0"/>
                    <w:jc w:val="center"/>
                    <w:rPr>
                      <w:rFonts w:hint="default"/>
                      <w:color w:val="auto"/>
                      <w:szCs w:val="21"/>
                      <w:highlight w:val="none"/>
                    </w:rPr>
                  </w:pPr>
                </w:p>
              </w:tc>
              <w:tc>
                <w:tcPr>
                  <w:tcW w:w="1200" w:type="dxa"/>
                  <w:vAlign w:val="center"/>
                </w:tcPr>
                <w:p w14:paraId="3C61D8B4">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北纬</w:t>
                  </w:r>
                </w:p>
              </w:tc>
              <w:tc>
                <w:tcPr>
                  <w:tcW w:w="1142" w:type="dxa"/>
                  <w:vAlign w:val="center"/>
                </w:tcPr>
                <w:p w14:paraId="10C337AD">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东经</w:t>
                  </w:r>
                </w:p>
              </w:tc>
              <w:tc>
                <w:tcPr>
                  <w:tcW w:w="1370" w:type="dxa"/>
                  <w:vMerge w:val="continue"/>
                  <w:vAlign w:val="center"/>
                </w:tcPr>
                <w:p w14:paraId="2C3BA9DC">
                  <w:pPr>
                    <w:keepNext w:val="0"/>
                    <w:keepLines w:val="0"/>
                    <w:suppressLineNumbers w:val="0"/>
                    <w:spacing w:before="0" w:beforeAutospacing="0" w:after="0" w:afterAutospacing="0"/>
                    <w:ind w:left="0" w:right="0"/>
                    <w:jc w:val="center"/>
                    <w:rPr>
                      <w:rFonts w:hint="default"/>
                      <w:color w:val="auto"/>
                      <w:szCs w:val="21"/>
                      <w:highlight w:val="none"/>
                    </w:rPr>
                  </w:pPr>
                </w:p>
              </w:tc>
              <w:tc>
                <w:tcPr>
                  <w:tcW w:w="1370" w:type="dxa"/>
                  <w:vMerge w:val="continue"/>
                  <w:vAlign w:val="center"/>
                </w:tcPr>
                <w:p w14:paraId="07F037BD">
                  <w:pPr>
                    <w:keepNext w:val="0"/>
                    <w:keepLines w:val="0"/>
                    <w:suppressLineNumbers w:val="0"/>
                    <w:spacing w:before="0" w:beforeAutospacing="0" w:after="0" w:afterAutospacing="0"/>
                    <w:ind w:left="0" w:right="0"/>
                    <w:jc w:val="center"/>
                    <w:rPr>
                      <w:rFonts w:hint="default"/>
                      <w:color w:val="auto"/>
                      <w:szCs w:val="21"/>
                      <w:highlight w:val="none"/>
                    </w:rPr>
                  </w:pPr>
                </w:p>
              </w:tc>
              <w:tc>
                <w:tcPr>
                  <w:tcW w:w="1370" w:type="dxa"/>
                  <w:vMerge w:val="continue"/>
                  <w:vAlign w:val="center"/>
                </w:tcPr>
                <w:p w14:paraId="259706D5">
                  <w:pPr>
                    <w:keepNext w:val="0"/>
                    <w:keepLines w:val="0"/>
                    <w:suppressLineNumbers w:val="0"/>
                    <w:spacing w:before="0" w:beforeAutospacing="0" w:after="0" w:afterAutospacing="0"/>
                    <w:ind w:left="0" w:right="0"/>
                    <w:jc w:val="center"/>
                    <w:rPr>
                      <w:rFonts w:hint="default"/>
                      <w:color w:val="auto"/>
                      <w:szCs w:val="21"/>
                      <w:highlight w:val="none"/>
                    </w:rPr>
                  </w:pPr>
                </w:p>
              </w:tc>
            </w:tr>
            <w:tr w14:paraId="58B73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68" w:type="dxa"/>
                  <w:vAlign w:val="center"/>
                </w:tcPr>
                <w:p w14:paraId="1A3FB80C">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宏启胜精密电子（秦皇岛）有限公司厂区东南</w:t>
                  </w:r>
                </w:p>
              </w:tc>
              <w:tc>
                <w:tcPr>
                  <w:tcW w:w="1200" w:type="dxa"/>
                  <w:vAlign w:val="center"/>
                </w:tcPr>
                <w:p w14:paraId="198468B2">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39°55′42.243″</w:t>
                  </w:r>
                </w:p>
              </w:tc>
              <w:tc>
                <w:tcPr>
                  <w:tcW w:w="1142" w:type="dxa"/>
                  <w:vAlign w:val="center"/>
                </w:tcPr>
                <w:p w14:paraId="07B14152">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119°27′38.855″</w:t>
                  </w:r>
                </w:p>
              </w:tc>
              <w:tc>
                <w:tcPr>
                  <w:tcW w:w="1370" w:type="dxa"/>
                  <w:vAlign w:val="center"/>
                </w:tcPr>
                <w:p w14:paraId="3623934C">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TSP</w:t>
                  </w:r>
                </w:p>
              </w:tc>
              <w:tc>
                <w:tcPr>
                  <w:tcW w:w="1370" w:type="dxa"/>
                  <w:vAlign w:val="center"/>
                </w:tcPr>
                <w:p w14:paraId="0DD6A068">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lang w:val="zh-CN"/>
                    </w:rPr>
                    <w:t>20</w:t>
                  </w:r>
                  <w:r>
                    <w:rPr>
                      <w:rFonts w:hint="eastAsia"/>
                      <w:color w:val="auto"/>
                      <w:szCs w:val="21"/>
                      <w:highlight w:val="none"/>
                    </w:rPr>
                    <w:t>24</w:t>
                  </w:r>
                  <w:r>
                    <w:rPr>
                      <w:rFonts w:hint="default"/>
                      <w:color w:val="auto"/>
                      <w:szCs w:val="21"/>
                      <w:highlight w:val="none"/>
                      <w:lang w:val="zh-CN"/>
                    </w:rPr>
                    <w:t>年</w:t>
                  </w:r>
                  <w:r>
                    <w:rPr>
                      <w:rFonts w:hint="eastAsia"/>
                      <w:color w:val="auto"/>
                      <w:szCs w:val="21"/>
                      <w:highlight w:val="none"/>
                    </w:rPr>
                    <w:t>7</w:t>
                  </w:r>
                  <w:r>
                    <w:rPr>
                      <w:rFonts w:hint="default"/>
                      <w:color w:val="auto"/>
                      <w:szCs w:val="21"/>
                      <w:highlight w:val="none"/>
                      <w:lang w:val="zh-CN"/>
                    </w:rPr>
                    <w:t>月</w:t>
                  </w:r>
                  <w:r>
                    <w:rPr>
                      <w:rFonts w:hint="eastAsia"/>
                      <w:color w:val="auto"/>
                      <w:szCs w:val="21"/>
                      <w:highlight w:val="none"/>
                    </w:rPr>
                    <w:t>15</w:t>
                  </w:r>
                  <w:r>
                    <w:rPr>
                      <w:rFonts w:hint="default"/>
                      <w:color w:val="auto"/>
                      <w:szCs w:val="21"/>
                      <w:highlight w:val="none"/>
                      <w:lang w:val="zh-CN"/>
                    </w:rPr>
                    <w:t>日～</w:t>
                  </w:r>
                  <w:r>
                    <w:rPr>
                      <w:rFonts w:hint="eastAsia"/>
                      <w:color w:val="auto"/>
                      <w:szCs w:val="21"/>
                      <w:highlight w:val="none"/>
                    </w:rPr>
                    <w:t>7</w:t>
                  </w:r>
                  <w:r>
                    <w:rPr>
                      <w:rFonts w:hint="default"/>
                      <w:color w:val="auto"/>
                      <w:szCs w:val="21"/>
                      <w:highlight w:val="none"/>
                      <w:lang w:val="zh-CN"/>
                    </w:rPr>
                    <w:t>月</w:t>
                  </w:r>
                  <w:r>
                    <w:rPr>
                      <w:rFonts w:hint="eastAsia"/>
                      <w:color w:val="auto"/>
                      <w:szCs w:val="21"/>
                      <w:highlight w:val="none"/>
                    </w:rPr>
                    <w:t>17</w:t>
                  </w:r>
                  <w:r>
                    <w:rPr>
                      <w:rFonts w:hint="default"/>
                      <w:color w:val="auto"/>
                      <w:szCs w:val="21"/>
                      <w:highlight w:val="none"/>
                      <w:lang w:val="zh-CN"/>
                    </w:rPr>
                    <w:t>日</w:t>
                  </w:r>
                </w:p>
              </w:tc>
              <w:tc>
                <w:tcPr>
                  <w:tcW w:w="1370" w:type="dxa"/>
                  <w:vAlign w:val="center"/>
                </w:tcPr>
                <w:p w14:paraId="7DD4686E">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西</w:t>
                  </w:r>
                  <w:r>
                    <w:rPr>
                      <w:rFonts w:hint="default"/>
                      <w:color w:val="auto"/>
                      <w:szCs w:val="21"/>
                      <w:highlight w:val="none"/>
                      <w:lang w:val="zh-CN"/>
                    </w:rPr>
                    <w:t>侧</w:t>
                  </w:r>
                  <w:r>
                    <w:rPr>
                      <w:rFonts w:hint="eastAsia"/>
                      <w:color w:val="auto"/>
                      <w:szCs w:val="21"/>
                      <w:highlight w:val="none"/>
                    </w:rPr>
                    <w:t>2.3</w:t>
                  </w:r>
                  <w:r>
                    <w:rPr>
                      <w:rFonts w:hint="eastAsia"/>
                      <w:color w:val="auto"/>
                      <w:szCs w:val="21"/>
                      <w:highlight w:val="none"/>
                      <w:lang w:val="en-US" w:eastAsia="zh-CN"/>
                    </w:rPr>
                    <w:t>60</w:t>
                  </w:r>
                  <w:r>
                    <w:rPr>
                      <w:rFonts w:hint="eastAsia"/>
                      <w:color w:val="auto"/>
                      <w:szCs w:val="21"/>
                      <w:highlight w:val="none"/>
                    </w:rPr>
                    <w:t>k</w:t>
                  </w:r>
                  <w:r>
                    <w:rPr>
                      <w:rFonts w:hint="default"/>
                      <w:color w:val="auto"/>
                      <w:szCs w:val="21"/>
                      <w:highlight w:val="none"/>
                      <w:lang w:val="zh-CN"/>
                    </w:rPr>
                    <w:t>m</w:t>
                  </w:r>
                </w:p>
              </w:tc>
            </w:tr>
          </w:tbl>
          <w:p w14:paraId="08885EFA">
            <w:pPr>
              <w:keepNext w:val="0"/>
              <w:keepLines w:val="0"/>
              <w:widowControl/>
              <w:suppressLineNumbers w:val="0"/>
              <w:spacing w:before="0" w:beforeAutospacing="0" w:after="0" w:afterAutospacing="0" w:line="480" w:lineRule="exact"/>
              <w:ind w:left="0" w:right="0" w:firstLine="480" w:firstLineChars="200"/>
              <w:rPr>
                <w:rFonts w:hint="default"/>
                <w:color w:val="auto"/>
                <w:kern w:val="0"/>
                <w:sz w:val="24"/>
                <w:highlight w:val="none"/>
                <w:lang w:val="zh-CN"/>
              </w:rPr>
            </w:pPr>
            <w:r>
              <w:rPr>
                <w:rFonts w:hint="default"/>
                <w:color w:val="auto"/>
                <w:kern w:val="0"/>
                <w:sz w:val="24"/>
                <w:highlight w:val="none"/>
                <w:lang w:val="zh-CN"/>
              </w:rPr>
              <w:t>监测分析方法 按照《空气和废气监测分析方法》（第四版）、《环境影响评价技术导则—大气环境》（HJ2.2-2018）、《环境空气质量标准》（GB3095—2012）有关规定和要求执行。</w:t>
            </w:r>
          </w:p>
          <w:p w14:paraId="72B04787">
            <w:pPr>
              <w:keepNext w:val="0"/>
              <w:keepLines w:val="0"/>
              <w:suppressLineNumbers w:val="0"/>
              <w:adjustRightInd w:val="0"/>
              <w:snapToGrid w:val="0"/>
              <w:spacing w:before="0" w:beforeAutospacing="0" w:after="0" w:afterAutospacing="0" w:line="480" w:lineRule="exact"/>
              <w:ind w:left="0" w:right="0"/>
              <w:jc w:val="center"/>
              <w:rPr>
                <w:rFonts w:hint="default"/>
                <w:b/>
                <w:color w:val="auto"/>
                <w:sz w:val="24"/>
                <w:highlight w:val="none"/>
              </w:rPr>
            </w:pPr>
            <w:r>
              <w:rPr>
                <w:rFonts w:hint="default"/>
                <w:b/>
                <w:color w:val="auto"/>
                <w:sz w:val="24"/>
                <w:highlight w:val="none"/>
              </w:rPr>
              <w:t>表</w:t>
            </w:r>
            <w:r>
              <w:rPr>
                <w:rFonts w:hint="eastAsia"/>
                <w:b/>
                <w:color w:val="auto"/>
                <w:sz w:val="24"/>
                <w:highlight w:val="none"/>
              </w:rPr>
              <w:t xml:space="preserve">3-3 </w:t>
            </w:r>
            <w:r>
              <w:rPr>
                <w:rFonts w:hint="default"/>
                <w:b/>
                <w:color w:val="auto"/>
                <w:sz w:val="24"/>
                <w:highlight w:val="none"/>
              </w:rPr>
              <w:t>监测方法及检出限一览表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108" w:type="dxa"/>
                <w:bottom w:w="0" w:type="dxa"/>
                <w:right w:w="108" w:type="dxa"/>
              </w:tblCellMar>
            </w:tblPr>
            <w:tblGrid>
              <w:gridCol w:w="1548"/>
              <w:gridCol w:w="2518"/>
              <w:gridCol w:w="2769"/>
              <w:gridCol w:w="1545"/>
            </w:tblGrid>
            <w:tr w14:paraId="400C416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48" w:type="dxa"/>
                  <w:vAlign w:val="center"/>
                </w:tcPr>
                <w:p w14:paraId="6FB4F469">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检测项目</w:t>
                  </w:r>
                </w:p>
              </w:tc>
              <w:tc>
                <w:tcPr>
                  <w:tcW w:w="2518" w:type="dxa"/>
                  <w:vAlign w:val="center"/>
                </w:tcPr>
                <w:p w14:paraId="0C114F6B">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分析方法来源</w:t>
                  </w:r>
                </w:p>
              </w:tc>
              <w:tc>
                <w:tcPr>
                  <w:tcW w:w="2769" w:type="dxa"/>
                  <w:vAlign w:val="center"/>
                </w:tcPr>
                <w:p w14:paraId="0F20654F">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仪器名称/型号/编号</w:t>
                  </w:r>
                </w:p>
              </w:tc>
              <w:tc>
                <w:tcPr>
                  <w:tcW w:w="1545" w:type="dxa"/>
                  <w:vAlign w:val="center"/>
                </w:tcPr>
                <w:p w14:paraId="68DB4C55">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检出限</w:t>
                  </w:r>
                </w:p>
              </w:tc>
            </w:tr>
            <w:tr w14:paraId="5417D70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548" w:type="dxa"/>
                  <w:vAlign w:val="center"/>
                </w:tcPr>
                <w:p w14:paraId="0BB49A7E">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TSP</w:t>
                  </w:r>
                </w:p>
              </w:tc>
              <w:tc>
                <w:tcPr>
                  <w:tcW w:w="2518" w:type="dxa"/>
                  <w:vAlign w:val="center"/>
                </w:tcPr>
                <w:p w14:paraId="2A97836E">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《环境空气 总悬浮颗粒物的定 重量法》HJ1263-2022</w:t>
                  </w:r>
                </w:p>
              </w:tc>
              <w:tc>
                <w:tcPr>
                  <w:tcW w:w="2769" w:type="dxa"/>
                  <w:vAlign w:val="center"/>
                </w:tcPr>
                <w:p w14:paraId="1199DA85">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AUW120D.EXP型分析天平</w:t>
                  </w:r>
                </w:p>
                <w:p w14:paraId="5660E5B3">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w:t>
                  </w:r>
                  <w:r>
                    <w:rPr>
                      <w:rFonts w:hint="default"/>
                      <w:color w:val="auto"/>
                      <w:szCs w:val="21"/>
                      <w:highlight w:val="none"/>
                    </w:rPr>
                    <w:t>140525</w:t>
                  </w:r>
                </w:p>
                <w:p w14:paraId="5E58E582">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HFB-F7恒温恒湿间/1803198崂应 205</w:t>
                  </w:r>
                  <w:r>
                    <w:rPr>
                      <w:rFonts w:hint="eastAsia"/>
                      <w:color w:val="auto"/>
                      <w:szCs w:val="21"/>
                      <w:highlight w:val="none"/>
                    </w:rPr>
                    <w:t>1</w:t>
                  </w:r>
                  <w:r>
                    <w:rPr>
                      <w:rFonts w:hint="default"/>
                      <w:color w:val="auto"/>
                      <w:szCs w:val="21"/>
                      <w:highlight w:val="none"/>
                    </w:rPr>
                    <w:t>型智能24 小时/TSP综合采样器/164111</w:t>
                  </w:r>
                </w:p>
              </w:tc>
              <w:tc>
                <w:tcPr>
                  <w:tcW w:w="1545" w:type="dxa"/>
                  <w:vAlign w:val="center"/>
                </w:tcPr>
                <w:p w14:paraId="13699222">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7u</w:t>
                  </w:r>
                  <w:r>
                    <w:rPr>
                      <w:rFonts w:hint="default"/>
                      <w:color w:val="auto"/>
                      <w:szCs w:val="21"/>
                      <w:highlight w:val="none"/>
                    </w:rPr>
                    <w:t>g/</w:t>
                  </w:r>
                  <w:r>
                    <w:rPr>
                      <w:rFonts w:hint="eastAsia"/>
                      <w:color w:val="auto"/>
                      <w:szCs w:val="21"/>
                      <w:highlight w:val="none"/>
                    </w:rPr>
                    <w:t>m³</w:t>
                  </w:r>
                </w:p>
              </w:tc>
            </w:tr>
          </w:tbl>
          <w:p w14:paraId="31A0F59F">
            <w:pPr>
              <w:keepNext w:val="0"/>
              <w:keepLines w:val="0"/>
              <w:suppressLineNumbers w:val="0"/>
              <w:adjustRightInd w:val="0"/>
              <w:snapToGrid w:val="0"/>
              <w:spacing w:before="0" w:beforeAutospacing="0" w:after="0" w:afterAutospacing="0" w:line="480" w:lineRule="exact"/>
              <w:ind w:left="0" w:right="0"/>
              <w:jc w:val="center"/>
              <w:rPr>
                <w:rFonts w:hint="default"/>
                <w:b/>
                <w:color w:val="auto"/>
                <w:sz w:val="24"/>
                <w:highlight w:val="none"/>
              </w:rPr>
            </w:pPr>
            <w:r>
              <w:rPr>
                <w:rFonts w:hint="default"/>
                <w:b/>
                <w:color w:val="auto"/>
                <w:sz w:val="24"/>
                <w:highlight w:val="none"/>
              </w:rPr>
              <w:t>表</w:t>
            </w:r>
            <w:r>
              <w:rPr>
                <w:rFonts w:hint="eastAsia"/>
                <w:b/>
                <w:color w:val="auto"/>
                <w:sz w:val="24"/>
                <w:highlight w:val="none"/>
              </w:rPr>
              <w:t xml:space="preserve">3-4 </w:t>
            </w:r>
            <w:r>
              <w:rPr>
                <w:rFonts w:hint="default"/>
                <w:b/>
                <w:color w:val="auto"/>
                <w:sz w:val="24"/>
                <w:highlight w:val="none"/>
              </w:rPr>
              <w:t>特征污染物环境质量现状监测结果表</w:t>
            </w:r>
          </w:p>
          <w:tbl>
            <w:tblPr>
              <w:tblStyle w:val="35"/>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40"/>
              <w:gridCol w:w="2566"/>
              <w:gridCol w:w="838"/>
              <w:gridCol w:w="912"/>
              <w:gridCol w:w="938"/>
              <w:gridCol w:w="1112"/>
              <w:gridCol w:w="800"/>
              <w:gridCol w:w="474"/>
            </w:tblGrid>
            <w:tr w14:paraId="5B5223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1" w:type="pct"/>
                  <w:noWrap/>
                  <w:vAlign w:val="center"/>
                </w:tcPr>
                <w:p w14:paraId="06FB9295">
                  <w:pPr>
                    <w:keepNext w:val="0"/>
                    <w:keepLines w:val="0"/>
                    <w:suppressLineNumbers w:val="0"/>
                    <w:spacing w:before="0" w:beforeAutospacing="0" w:after="0" w:afterAutospacing="0"/>
                    <w:ind w:left="0" w:right="0"/>
                    <w:jc w:val="center"/>
                    <w:rPr>
                      <w:rFonts w:hint="default"/>
                      <w:color w:val="auto"/>
                      <w:szCs w:val="21"/>
                      <w:highlight w:val="none"/>
                      <w:lang w:val="zh-CN"/>
                    </w:rPr>
                  </w:pPr>
                  <w:r>
                    <w:rPr>
                      <w:rFonts w:hint="default"/>
                      <w:color w:val="auto"/>
                      <w:szCs w:val="21"/>
                      <w:highlight w:val="none"/>
                      <w:lang w:val="zh-CN"/>
                    </w:rPr>
                    <w:t>污染物</w:t>
                  </w:r>
                </w:p>
              </w:tc>
              <w:tc>
                <w:tcPr>
                  <w:tcW w:w="1531" w:type="pct"/>
                  <w:noWrap/>
                  <w:vAlign w:val="center"/>
                </w:tcPr>
                <w:p w14:paraId="7C330BFB">
                  <w:pPr>
                    <w:keepNext w:val="0"/>
                    <w:keepLines w:val="0"/>
                    <w:suppressLineNumbers w:val="0"/>
                    <w:spacing w:before="0" w:beforeAutospacing="0" w:after="0" w:afterAutospacing="0"/>
                    <w:ind w:left="0" w:right="0"/>
                    <w:jc w:val="center"/>
                    <w:rPr>
                      <w:rFonts w:hint="default"/>
                      <w:color w:val="auto"/>
                      <w:szCs w:val="21"/>
                      <w:highlight w:val="none"/>
                      <w:lang w:val="zh-CN"/>
                    </w:rPr>
                  </w:pPr>
                  <w:r>
                    <w:rPr>
                      <w:rFonts w:hint="default"/>
                      <w:color w:val="auto"/>
                      <w:szCs w:val="21"/>
                      <w:highlight w:val="none"/>
                      <w:lang w:val="zh-CN"/>
                    </w:rPr>
                    <w:t>监测点</w:t>
                  </w:r>
                </w:p>
              </w:tc>
              <w:tc>
                <w:tcPr>
                  <w:tcW w:w="500" w:type="pct"/>
                  <w:noWrap/>
                  <w:vAlign w:val="center"/>
                </w:tcPr>
                <w:p w14:paraId="4D5FA2AE">
                  <w:pPr>
                    <w:keepNext w:val="0"/>
                    <w:keepLines w:val="0"/>
                    <w:suppressLineNumbers w:val="0"/>
                    <w:spacing w:before="0" w:beforeAutospacing="0" w:after="0" w:afterAutospacing="0"/>
                    <w:ind w:left="0" w:right="0"/>
                    <w:jc w:val="center"/>
                    <w:rPr>
                      <w:rFonts w:hint="default"/>
                      <w:color w:val="auto"/>
                      <w:szCs w:val="21"/>
                      <w:highlight w:val="none"/>
                      <w:lang w:val="zh-CN"/>
                    </w:rPr>
                  </w:pPr>
                  <w:r>
                    <w:rPr>
                      <w:rFonts w:hint="default"/>
                      <w:color w:val="auto"/>
                      <w:szCs w:val="21"/>
                      <w:highlight w:val="none"/>
                      <w:lang w:val="zh-CN"/>
                    </w:rPr>
                    <w:t>平均时间</w:t>
                  </w:r>
                </w:p>
              </w:tc>
              <w:tc>
                <w:tcPr>
                  <w:tcW w:w="544" w:type="pct"/>
                  <w:noWrap/>
                  <w:vAlign w:val="center"/>
                </w:tcPr>
                <w:p w14:paraId="68F0C8D9">
                  <w:pPr>
                    <w:keepNext w:val="0"/>
                    <w:keepLines w:val="0"/>
                    <w:suppressLineNumbers w:val="0"/>
                    <w:spacing w:before="0" w:beforeAutospacing="0" w:after="0" w:afterAutospacing="0"/>
                    <w:ind w:left="0" w:right="0"/>
                    <w:jc w:val="center"/>
                    <w:rPr>
                      <w:rFonts w:hint="default"/>
                      <w:color w:val="auto"/>
                      <w:szCs w:val="21"/>
                      <w:highlight w:val="none"/>
                      <w:lang w:val="zh-CN"/>
                    </w:rPr>
                  </w:pPr>
                  <w:r>
                    <w:rPr>
                      <w:rFonts w:hint="default"/>
                      <w:color w:val="auto"/>
                      <w:szCs w:val="21"/>
                      <w:highlight w:val="none"/>
                      <w:lang w:val="zh-CN"/>
                    </w:rPr>
                    <w:t>标准值</w:t>
                  </w:r>
                </w:p>
                <w:p w14:paraId="78560C4A">
                  <w:pPr>
                    <w:keepNext w:val="0"/>
                    <w:keepLines w:val="0"/>
                    <w:suppressLineNumbers w:val="0"/>
                    <w:spacing w:before="0" w:beforeAutospacing="0" w:after="0" w:afterAutospacing="0"/>
                    <w:ind w:left="0" w:right="0"/>
                    <w:jc w:val="center"/>
                    <w:rPr>
                      <w:rFonts w:hint="default"/>
                      <w:color w:val="auto"/>
                      <w:szCs w:val="21"/>
                      <w:highlight w:val="none"/>
                      <w:lang w:val="zh-CN"/>
                    </w:rPr>
                  </w:pPr>
                  <w:r>
                    <w:rPr>
                      <w:rFonts w:hint="default"/>
                      <w:color w:val="auto"/>
                      <w:szCs w:val="21"/>
                      <w:highlight w:val="none"/>
                      <w:lang w:val="zh-CN"/>
                    </w:rPr>
                    <w:t>（</w:t>
                  </w:r>
                  <w:r>
                    <w:rPr>
                      <w:rFonts w:hint="default"/>
                      <w:color w:val="auto"/>
                      <w:szCs w:val="21"/>
                      <w:highlight w:val="none"/>
                    </w:rPr>
                    <w:t>μ</w:t>
                  </w:r>
                  <w:r>
                    <w:rPr>
                      <w:rFonts w:hint="default"/>
                      <w:color w:val="auto"/>
                      <w:szCs w:val="21"/>
                      <w:highlight w:val="none"/>
                      <w:lang w:val="zh-CN"/>
                    </w:rPr>
                    <w:t>g/</w:t>
                  </w:r>
                  <w:r>
                    <w:rPr>
                      <w:rFonts w:hint="eastAsia"/>
                      <w:color w:val="auto"/>
                      <w:szCs w:val="21"/>
                      <w:highlight w:val="none"/>
                      <w:lang w:val="zh-CN"/>
                    </w:rPr>
                    <w:t>m³</w:t>
                  </w:r>
                  <w:r>
                    <w:rPr>
                      <w:rFonts w:hint="default"/>
                      <w:color w:val="auto"/>
                      <w:szCs w:val="21"/>
                      <w:highlight w:val="none"/>
                      <w:lang w:val="zh-CN"/>
                    </w:rPr>
                    <w:t>）</w:t>
                  </w:r>
                </w:p>
              </w:tc>
              <w:tc>
                <w:tcPr>
                  <w:tcW w:w="559" w:type="pct"/>
                  <w:noWrap/>
                  <w:vAlign w:val="center"/>
                </w:tcPr>
                <w:p w14:paraId="18225C76">
                  <w:pPr>
                    <w:keepNext w:val="0"/>
                    <w:keepLines w:val="0"/>
                    <w:suppressLineNumbers w:val="0"/>
                    <w:spacing w:before="0" w:beforeAutospacing="0" w:after="0" w:afterAutospacing="0"/>
                    <w:ind w:left="0" w:right="0"/>
                    <w:jc w:val="center"/>
                    <w:rPr>
                      <w:rFonts w:hint="default"/>
                      <w:color w:val="auto"/>
                      <w:szCs w:val="21"/>
                      <w:highlight w:val="none"/>
                      <w:lang w:val="zh-CN"/>
                    </w:rPr>
                  </w:pPr>
                  <w:r>
                    <w:rPr>
                      <w:rFonts w:hint="default"/>
                      <w:color w:val="auto"/>
                      <w:szCs w:val="21"/>
                      <w:highlight w:val="none"/>
                      <w:lang w:val="zh-CN"/>
                    </w:rPr>
                    <w:t>浓度范围</w:t>
                  </w:r>
                </w:p>
                <w:p w14:paraId="7941CBCB">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lang w:val="zh-CN"/>
                    </w:rPr>
                    <w:t>（</w:t>
                  </w:r>
                  <w:r>
                    <w:rPr>
                      <w:rFonts w:hint="eastAsia"/>
                      <w:color w:val="auto"/>
                      <w:szCs w:val="21"/>
                      <w:highlight w:val="none"/>
                    </w:rPr>
                    <w:t>mg/m³）</w:t>
                  </w:r>
                </w:p>
              </w:tc>
              <w:tc>
                <w:tcPr>
                  <w:tcW w:w="663" w:type="pct"/>
                  <w:noWrap/>
                  <w:vAlign w:val="center"/>
                </w:tcPr>
                <w:p w14:paraId="6C341C09">
                  <w:pPr>
                    <w:keepNext w:val="0"/>
                    <w:keepLines w:val="0"/>
                    <w:suppressLineNumbers w:val="0"/>
                    <w:spacing w:before="0" w:beforeAutospacing="0" w:after="0" w:afterAutospacing="0"/>
                    <w:ind w:left="0" w:right="0"/>
                    <w:jc w:val="center"/>
                    <w:rPr>
                      <w:rFonts w:hint="default"/>
                      <w:color w:val="auto"/>
                      <w:szCs w:val="21"/>
                      <w:highlight w:val="none"/>
                      <w:lang w:val="zh-CN"/>
                    </w:rPr>
                  </w:pPr>
                  <w:r>
                    <w:rPr>
                      <w:rFonts w:hint="default"/>
                      <w:color w:val="auto"/>
                      <w:szCs w:val="21"/>
                      <w:highlight w:val="none"/>
                      <w:lang w:val="zh-CN"/>
                    </w:rPr>
                    <w:t>最大浓度占标率（%）</w:t>
                  </w:r>
                </w:p>
              </w:tc>
              <w:tc>
                <w:tcPr>
                  <w:tcW w:w="477" w:type="pct"/>
                  <w:noWrap/>
                  <w:vAlign w:val="center"/>
                </w:tcPr>
                <w:p w14:paraId="262477B0">
                  <w:pPr>
                    <w:keepNext w:val="0"/>
                    <w:keepLines w:val="0"/>
                    <w:suppressLineNumbers w:val="0"/>
                    <w:spacing w:before="0" w:beforeAutospacing="0" w:after="0" w:afterAutospacing="0"/>
                    <w:ind w:left="0" w:right="0"/>
                    <w:jc w:val="center"/>
                    <w:rPr>
                      <w:rFonts w:hint="default"/>
                      <w:color w:val="auto"/>
                      <w:szCs w:val="21"/>
                      <w:highlight w:val="none"/>
                      <w:lang w:val="zh-CN"/>
                    </w:rPr>
                  </w:pPr>
                  <w:r>
                    <w:rPr>
                      <w:rFonts w:hint="default"/>
                      <w:color w:val="auto"/>
                      <w:szCs w:val="21"/>
                      <w:highlight w:val="none"/>
                      <w:lang w:val="zh-CN"/>
                    </w:rPr>
                    <w:t>超标率（%）</w:t>
                  </w:r>
                </w:p>
              </w:tc>
              <w:tc>
                <w:tcPr>
                  <w:tcW w:w="282" w:type="pct"/>
                  <w:noWrap/>
                  <w:vAlign w:val="center"/>
                </w:tcPr>
                <w:p w14:paraId="60105C80">
                  <w:pPr>
                    <w:keepNext w:val="0"/>
                    <w:keepLines w:val="0"/>
                    <w:suppressLineNumbers w:val="0"/>
                    <w:spacing w:before="0" w:beforeAutospacing="0" w:after="0" w:afterAutospacing="0"/>
                    <w:ind w:left="0" w:right="0"/>
                    <w:jc w:val="center"/>
                    <w:rPr>
                      <w:rFonts w:hint="default"/>
                      <w:color w:val="auto"/>
                      <w:szCs w:val="21"/>
                      <w:highlight w:val="none"/>
                      <w:lang w:val="zh-CN"/>
                    </w:rPr>
                  </w:pPr>
                  <w:r>
                    <w:rPr>
                      <w:rFonts w:hint="default"/>
                      <w:color w:val="auto"/>
                      <w:szCs w:val="21"/>
                      <w:highlight w:val="none"/>
                      <w:lang w:val="zh-CN"/>
                    </w:rPr>
                    <w:t>达标</w:t>
                  </w:r>
                </w:p>
                <w:p w14:paraId="6EB971DD">
                  <w:pPr>
                    <w:keepNext w:val="0"/>
                    <w:keepLines w:val="0"/>
                    <w:suppressLineNumbers w:val="0"/>
                    <w:spacing w:before="0" w:beforeAutospacing="0" w:after="0" w:afterAutospacing="0"/>
                    <w:ind w:left="0" w:right="0"/>
                    <w:jc w:val="center"/>
                    <w:rPr>
                      <w:rFonts w:hint="default"/>
                      <w:color w:val="auto"/>
                      <w:szCs w:val="21"/>
                      <w:highlight w:val="none"/>
                      <w:lang w:val="zh-CN"/>
                    </w:rPr>
                  </w:pPr>
                  <w:r>
                    <w:rPr>
                      <w:rFonts w:hint="default"/>
                      <w:color w:val="auto"/>
                      <w:szCs w:val="21"/>
                      <w:highlight w:val="none"/>
                      <w:lang w:val="zh-CN"/>
                    </w:rPr>
                    <w:t>情况</w:t>
                  </w:r>
                </w:p>
              </w:tc>
            </w:tr>
            <w:tr w14:paraId="67EF47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41" w:type="pct"/>
                  <w:noWrap/>
                  <w:vAlign w:val="center"/>
                </w:tcPr>
                <w:p w14:paraId="792A79DD">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TSP</w:t>
                  </w:r>
                </w:p>
              </w:tc>
              <w:tc>
                <w:tcPr>
                  <w:tcW w:w="1531" w:type="pct"/>
                  <w:noWrap/>
                  <w:vAlign w:val="center"/>
                </w:tcPr>
                <w:p w14:paraId="6D92027A">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宏启胜精密电子（秦皇岛）有限公司厂区东南</w:t>
                  </w:r>
                </w:p>
              </w:tc>
              <w:tc>
                <w:tcPr>
                  <w:tcW w:w="500" w:type="pct"/>
                  <w:noWrap/>
                  <w:vAlign w:val="center"/>
                </w:tcPr>
                <w:p w14:paraId="1575F171">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日</w:t>
                  </w:r>
                  <w:r>
                    <w:rPr>
                      <w:rFonts w:hint="default"/>
                      <w:color w:val="auto"/>
                      <w:szCs w:val="21"/>
                      <w:highlight w:val="none"/>
                      <w:lang w:val="zh-CN"/>
                    </w:rPr>
                    <w:t>平均</w:t>
                  </w:r>
                </w:p>
              </w:tc>
              <w:tc>
                <w:tcPr>
                  <w:tcW w:w="544" w:type="pct"/>
                  <w:noWrap/>
                  <w:vAlign w:val="center"/>
                </w:tcPr>
                <w:p w14:paraId="68BC3DE9">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300</w:t>
                  </w:r>
                </w:p>
              </w:tc>
              <w:tc>
                <w:tcPr>
                  <w:tcW w:w="559" w:type="pct"/>
                  <w:noWrap/>
                  <w:vAlign w:val="center"/>
                </w:tcPr>
                <w:p w14:paraId="18A006E3">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0.201-0.244</w:t>
                  </w:r>
                </w:p>
              </w:tc>
              <w:tc>
                <w:tcPr>
                  <w:tcW w:w="663" w:type="pct"/>
                  <w:noWrap/>
                  <w:vAlign w:val="center"/>
                </w:tcPr>
                <w:p w14:paraId="4E34F3E0">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81.33</w:t>
                  </w:r>
                </w:p>
              </w:tc>
              <w:tc>
                <w:tcPr>
                  <w:tcW w:w="477" w:type="pct"/>
                  <w:noWrap/>
                  <w:vAlign w:val="center"/>
                </w:tcPr>
                <w:p w14:paraId="607CC82B">
                  <w:pPr>
                    <w:keepNext w:val="0"/>
                    <w:keepLines w:val="0"/>
                    <w:suppressLineNumbers w:val="0"/>
                    <w:spacing w:before="0" w:beforeAutospacing="0" w:after="0" w:afterAutospacing="0"/>
                    <w:ind w:left="0" w:right="0"/>
                    <w:jc w:val="center"/>
                    <w:rPr>
                      <w:rFonts w:hint="default"/>
                      <w:color w:val="auto"/>
                      <w:szCs w:val="21"/>
                      <w:highlight w:val="none"/>
                      <w:lang w:val="zh-CN"/>
                    </w:rPr>
                  </w:pPr>
                  <w:r>
                    <w:rPr>
                      <w:rFonts w:hint="default"/>
                      <w:color w:val="auto"/>
                      <w:szCs w:val="21"/>
                      <w:highlight w:val="none"/>
                      <w:lang w:val="zh-CN"/>
                    </w:rPr>
                    <w:t>0</w:t>
                  </w:r>
                </w:p>
              </w:tc>
              <w:tc>
                <w:tcPr>
                  <w:tcW w:w="282" w:type="pct"/>
                  <w:noWrap/>
                  <w:vAlign w:val="center"/>
                </w:tcPr>
                <w:p w14:paraId="2E17F3C3">
                  <w:pPr>
                    <w:keepNext w:val="0"/>
                    <w:keepLines w:val="0"/>
                    <w:suppressLineNumbers w:val="0"/>
                    <w:spacing w:before="0" w:beforeAutospacing="0" w:after="0" w:afterAutospacing="0"/>
                    <w:ind w:left="0" w:right="0"/>
                    <w:jc w:val="center"/>
                    <w:rPr>
                      <w:rFonts w:hint="default"/>
                      <w:color w:val="auto"/>
                      <w:szCs w:val="21"/>
                      <w:highlight w:val="none"/>
                      <w:lang w:val="zh-CN"/>
                    </w:rPr>
                  </w:pPr>
                  <w:r>
                    <w:rPr>
                      <w:rFonts w:hint="default"/>
                      <w:color w:val="auto"/>
                      <w:szCs w:val="21"/>
                      <w:highlight w:val="none"/>
                      <w:lang w:val="zh-CN"/>
                    </w:rPr>
                    <w:t>达标</w:t>
                  </w:r>
                </w:p>
              </w:tc>
            </w:tr>
          </w:tbl>
          <w:p w14:paraId="30536A6B">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根据</w:t>
            </w:r>
            <w:r>
              <w:rPr>
                <w:rFonts w:hint="eastAsia"/>
                <w:color w:val="auto"/>
                <w:sz w:val="24"/>
                <w:highlight w:val="none"/>
              </w:rPr>
              <w:t>引用</w:t>
            </w:r>
            <w:r>
              <w:rPr>
                <w:rFonts w:hint="default"/>
                <w:color w:val="auto"/>
                <w:sz w:val="24"/>
                <w:highlight w:val="none"/>
              </w:rPr>
              <w:t>监测结果，</w:t>
            </w:r>
            <w:r>
              <w:rPr>
                <w:rFonts w:hint="eastAsia"/>
                <w:color w:val="auto"/>
                <w:sz w:val="24"/>
                <w:highlight w:val="none"/>
                <w:lang w:val="en-US" w:eastAsia="zh-CN"/>
              </w:rPr>
              <w:t>TSP</w:t>
            </w:r>
            <w:r>
              <w:rPr>
                <w:rFonts w:hint="default"/>
                <w:color w:val="auto"/>
                <w:sz w:val="24"/>
                <w:highlight w:val="none"/>
              </w:rPr>
              <w:t>可满足</w:t>
            </w:r>
            <w:r>
              <w:rPr>
                <w:rFonts w:hint="default"/>
                <w:color w:val="auto"/>
                <w:kern w:val="0"/>
                <w:sz w:val="24"/>
                <w:highlight w:val="none"/>
                <w:lang w:val="zh-CN"/>
              </w:rPr>
              <w:t>《环境空气质量标准》（GB3095—2012）</w:t>
            </w:r>
            <w:r>
              <w:rPr>
                <w:rFonts w:hint="eastAsia"/>
                <w:color w:val="auto"/>
                <w:sz w:val="24"/>
                <w:highlight w:val="none"/>
              </w:rPr>
              <w:t>要求</w:t>
            </w:r>
            <w:r>
              <w:rPr>
                <w:rFonts w:hint="default"/>
                <w:color w:val="auto"/>
                <w:sz w:val="24"/>
                <w:highlight w:val="none"/>
              </w:rPr>
              <w:t>。</w:t>
            </w:r>
          </w:p>
          <w:p w14:paraId="0B264F49">
            <w:pPr>
              <w:pStyle w:val="6"/>
              <w:keepNext w:val="0"/>
              <w:keepLines w:val="0"/>
              <w:suppressLineNumbers w:val="0"/>
              <w:spacing w:before="0" w:beforeAutospacing="0" w:after="0" w:afterAutospacing="0"/>
              <w:ind w:left="0" w:right="0" w:firstLine="482" w:firstLineChars="200"/>
              <w:rPr>
                <w:rFonts w:hint="default" w:ascii="Times New Roman" w:hAnsi="Times New Roman"/>
                <w:color w:val="auto"/>
                <w:szCs w:val="24"/>
                <w:highlight w:val="none"/>
              </w:rPr>
            </w:pPr>
            <w:r>
              <w:rPr>
                <w:rFonts w:hint="default" w:ascii="Times New Roman" w:hAnsi="Times New Roman"/>
                <w:color w:val="auto"/>
                <w:szCs w:val="24"/>
                <w:highlight w:val="none"/>
              </w:rPr>
              <w:t xml:space="preserve">2、声环境质量现状  </w:t>
            </w:r>
          </w:p>
          <w:p w14:paraId="57BC50C6">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项目所在区域环境质量符合《声环境质量标准》（GB3096-2008）3 类标准，项目50m内无声环境保护目标。</w:t>
            </w:r>
          </w:p>
          <w:p w14:paraId="6E73B10A">
            <w:pPr>
              <w:pStyle w:val="6"/>
              <w:keepNext w:val="0"/>
              <w:keepLines w:val="0"/>
              <w:suppressLineNumbers w:val="0"/>
              <w:spacing w:before="0" w:beforeAutospacing="0" w:after="0" w:afterAutospacing="0"/>
              <w:ind w:left="0" w:right="0" w:firstLine="482" w:firstLineChars="200"/>
              <w:rPr>
                <w:rFonts w:hint="default" w:ascii="Times New Roman" w:hAnsi="Times New Roman"/>
                <w:color w:val="auto"/>
                <w:szCs w:val="24"/>
                <w:highlight w:val="none"/>
              </w:rPr>
            </w:pPr>
            <w:r>
              <w:rPr>
                <w:rFonts w:ascii="Times New Roman" w:hAnsi="Times New Roman"/>
                <w:color w:val="auto"/>
                <w:szCs w:val="24"/>
                <w:highlight w:val="none"/>
              </w:rPr>
              <w:t>3、地表水</w:t>
            </w:r>
          </w:p>
          <w:p w14:paraId="675BC929">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eastAsia"/>
                <w:color w:val="auto"/>
                <w:sz w:val="24"/>
                <w:highlight w:val="none"/>
              </w:rPr>
              <w:t>不涉及。</w:t>
            </w:r>
          </w:p>
          <w:p w14:paraId="474125E7">
            <w:pPr>
              <w:pStyle w:val="6"/>
              <w:keepNext w:val="0"/>
              <w:keepLines w:val="0"/>
              <w:suppressLineNumbers w:val="0"/>
              <w:spacing w:before="0" w:beforeAutospacing="0" w:after="0" w:afterAutospacing="0"/>
              <w:ind w:left="0" w:right="0" w:firstLine="482" w:firstLineChars="200"/>
              <w:rPr>
                <w:rFonts w:hint="default" w:ascii="Times New Roman" w:hAnsi="Times New Roman"/>
                <w:color w:val="auto"/>
                <w:szCs w:val="24"/>
                <w:highlight w:val="none"/>
              </w:rPr>
            </w:pPr>
            <w:r>
              <w:rPr>
                <w:rFonts w:ascii="Times New Roman" w:hAnsi="Times New Roman"/>
                <w:color w:val="auto"/>
                <w:szCs w:val="24"/>
                <w:highlight w:val="none"/>
              </w:rPr>
              <w:t>4 地下水、土壤</w:t>
            </w:r>
          </w:p>
          <w:p w14:paraId="2957D9FF">
            <w:pPr>
              <w:keepNext w:val="0"/>
              <w:keepLines w:val="0"/>
              <w:suppressLineNumbers w:val="0"/>
              <w:snapToGrid w:val="0"/>
              <w:spacing w:before="0" w:beforeAutospacing="0" w:after="0" w:afterAutospacing="0" w:line="360" w:lineRule="auto"/>
              <w:ind w:left="0" w:right="0" w:firstLine="480" w:firstLineChars="200"/>
              <w:jc w:val="left"/>
              <w:rPr>
                <w:rFonts w:hint="default"/>
                <w:snapToGrid w:val="0"/>
                <w:color w:val="auto"/>
                <w:highlight w:val="none"/>
              </w:rPr>
            </w:pPr>
            <w:r>
              <w:rPr>
                <w:rFonts w:hint="default"/>
                <w:color w:val="auto"/>
                <w:sz w:val="24"/>
                <w:highlight w:val="none"/>
              </w:rPr>
              <w:t>区域地下水质量良好，满足《地下水质量标准》（GB14848-2017）Ⅲ级标准要求；区域土壤质量良好，满足《土壤环境质量 建设用地土壤污染风险管控标准》（试行）第二类用地筛选值要求</w:t>
            </w:r>
            <w:r>
              <w:rPr>
                <w:rFonts w:hint="eastAsia"/>
                <w:color w:val="auto"/>
                <w:szCs w:val="21"/>
                <w:highlight w:val="none"/>
              </w:rPr>
              <w:t>。</w:t>
            </w:r>
          </w:p>
          <w:p w14:paraId="2A52E5A1">
            <w:pPr>
              <w:pStyle w:val="6"/>
              <w:keepNext w:val="0"/>
              <w:keepLines w:val="0"/>
              <w:suppressLineNumbers w:val="0"/>
              <w:spacing w:before="0" w:beforeAutospacing="0" w:after="0" w:afterAutospacing="0"/>
              <w:ind w:left="0" w:right="0" w:firstLine="482" w:firstLineChars="200"/>
              <w:rPr>
                <w:rFonts w:hint="default" w:ascii="Times New Roman" w:hAnsi="Times New Roman"/>
                <w:color w:val="auto"/>
                <w:szCs w:val="24"/>
                <w:highlight w:val="none"/>
              </w:rPr>
            </w:pPr>
            <w:r>
              <w:rPr>
                <w:rFonts w:ascii="Times New Roman" w:hAnsi="Times New Roman"/>
                <w:color w:val="auto"/>
                <w:szCs w:val="24"/>
                <w:highlight w:val="none"/>
              </w:rPr>
              <w:t>5、生态环境</w:t>
            </w:r>
          </w:p>
          <w:p w14:paraId="49400ABC">
            <w:pPr>
              <w:pStyle w:val="49"/>
              <w:keepNext w:val="0"/>
              <w:keepLines w:val="0"/>
              <w:suppressLineNumbers w:val="0"/>
              <w:spacing w:before="0" w:beforeAutospacing="0" w:after="0" w:afterAutospacing="0" w:line="480" w:lineRule="exact"/>
              <w:ind w:left="0" w:right="0" w:firstLine="480"/>
              <w:rPr>
                <w:rFonts w:hint="default"/>
                <w:color w:val="auto"/>
                <w:kern w:val="0"/>
                <w:sz w:val="24"/>
                <w:highlight w:val="none"/>
              </w:rPr>
            </w:pPr>
            <w:r>
              <w:rPr>
                <w:rFonts w:hint="default"/>
                <w:color w:val="auto"/>
                <w:sz w:val="24"/>
                <w:highlight w:val="none"/>
              </w:rPr>
              <w:t>本项目不新增用地，且用地范围内及周边均无生态环境保护目标。故不进行生态环境现状调查。</w:t>
            </w:r>
          </w:p>
        </w:tc>
      </w:tr>
      <w:tr w14:paraId="5E48A4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455" w:type="dxa"/>
            <w:vAlign w:val="center"/>
          </w:tcPr>
          <w:p w14:paraId="4F39A763">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环境</w:t>
            </w:r>
          </w:p>
          <w:p w14:paraId="71D76C09">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保护</w:t>
            </w:r>
          </w:p>
          <w:p w14:paraId="705884C3">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目标</w:t>
            </w:r>
          </w:p>
        </w:tc>
        <w:tc>
          <w:tcPr>
            <w:tcW w:w="8606" w:type="dxa"/>
            <w:vAlign w:val="center"/>
          </w:tcPr>
          <w:p w14:paraId="0EEA1179">
            <w:pPr>
              <w:keepNext w:val="0"/>
              <w:keepLines w:val="0"/>
              <w:suppressLineNumbers w:val="0"/>
              <w:spacing w:before="0" w:beforeAutospacing="0" w:after="0" w:afterAutospacing="0" w:line="480" w:lineRule="exact"/>
              <w:ind w:left="0" w:right="0" w:firstLine="482" w:firstLineChars="200"/>
              <w:rPr>
                <w:rFonts w:hint="default"/>
                <w:b/>
                <w:bCs/>
                <w:color w:val="auto"/>
                <w:sz w:val="24"/>
                <w:highlight w:val="none"/>
              </w:rPr>
            </w:pPr>
            <w:r>
              <w:rPr>
                <w:rFonts w:hint="default"/>
                <w:b/>
                <w:bCs/>
                <w:color w:val="auto"/>
                <w:sz w:val="24"/>
                <w:highlight w:val="none"/>
              </w:rPr>
              <w:t>1、</w:t>
            </w:r>
            <w:r>
              <w:rPr>
                <w:rFonts w:hint="eastAsia"/>
                <w:b/>
                <w:bCs/>
                <w:color w:val="auto"/>
                <w:sz w:val="24"/>
                <w:highlight w:val="none"/>
              </w:rPr>
              <w:t>大气环境</w:t>
            </w:r>
          </w:p>
          <w:p w14:paraId="44AD0056">
            <w:pPr>
              <w:keepNext w:val="0"/>
              <w:keepLines w:val="0"/>
              <w:suppressLineNumbers w:val="0"/>
              <w:spacing w:before="0" w:beforeAutospacing="0" w:after="0" w:afterAutospacing="0" w:line="480" w:lineRule="exact"/>
              <w:ind w:left="0" w:right="0" w:firstLine="480" w:firstLineChars="200"/>
              <w:rPr>
                <w:rFonts w:hint="default"/>
                <w:color w:val="auto"/>
                <w:sz w:val="24"/>
                <w:highlight w:val="none"/>
              </w:rPr>
            </w:pPr>
            <w:r>
              <w:rPr>
                <w:rFonts w:hint="eastAsia"/>
                <w:color w:val="auto"/>
                <w:sz w:val="24"/>
                <w:highlight w:val="none"/>
              </w:rPr>
              <w:t>本项目厂界外500米范围内无自然保护区、风景名胜区、居住区、文化区等保护目标，存在农村地区中人群较集中的区域，具体情况见下表。</w:t>
            </w:r>
          </w:p>
          <w:p w14:paraId="3BF2B19E">
            <w:pPr>
              <w:keepNext w:val="0"/>
              <w:keepLines w:val="0"/>
              <w:suppressLineNumbers w:val="0"/>
              <w:adjustRightInd w:val="0"/>
              <w:snapToGrid w:val="0"/>
              <w:spacing w:before="0" w:beforeAutospacing="0" w:after="0" w:afterAutospacing="0" w:line="480" w:lineRule="atLeast"/>
              <w:ind w:left="0" w:right="0" w:firstLine="482" w:firstLineChars="200"/>
              <w:jc w:val="center"/>
              <w:rPr>
                <w:rFonts w:hint="default"/>
                <w:color w:val="auto"/>
                <w:sz w:val="24"/>
                <w:highlight w:val="none"/>
              </w:rPr>
            </w:pPr>
            <w:r>
              <w:rPr>
                <w:rFonts w:hint="default"/>
                <w:b/>
                <w:snapToGrid w:val="0"/>
                <w:color w:val="auto"/>
                <w:sz w:val="24"/>
                <w:highlight w:val="none"/>
              </w:rPr>
              <w:t>表3-</w:t>
            </w:r>
            <w:r>
              <w:rPr>
                <w:rFonts w:hint="eastAsia"/>
                <w:b/>
                <w:snapToGrid w:val="0"/>
                <w:color w:val="auto"/>
                <w:sz w:val="24"/>
                <w:highlight w:val="none"/>
              </w:rPr>
              <w:t>5</w:t>
            </w:r>
            <w:r>
              <w:rPr>
                <w:rFonts w:hint="default"/>
                <w:b/>
                <w:snapToGrid w:val="0"/>
                <w:color w:val="auto"/>
                <w:sz w:val="24"/>
                <w:highlight w:val="none"/>
              </w:rPr>
              <w:t xml:space="preserve">  </w:t>
            </w:r>
            <w:r>
              <w:rPr>
                <w:rFonts w:hint="eastAsia"/>
                <w:b/>
                <w:snapToGrid w:val="0"/>
                <w:color w:val="auto"/>
                <w:sz w:val="24"/>
                <w:highlight w:val="none"/>
              </w:rPr>
              <w:t>大气</w:t>
            </w:r>
            <w:r>
              <w:rPr>
                <w:rFonts w:hint="default"/>
                <w:b/>
                <w:snapToGrid w:val="0"/>
                <w:color w:val="auto"/>
                <w:sz w:val="24"/>
                <w:highlight w:val="none"/>
              </w:rPr>
              <w:t>环境保护目标一览表</w:t>
            </w:r>
          </w:p>
          <w:tbl>
            <w:tblPr>
              <w:tblStyle w:val="35"/>
              <w:tblW w:w="4995"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469"/>
              <w:gridCol w:w="1300"/>
              <w:gridCol w:w="1292"/>
              <w:gridCol w:w="752"/>
              <w:gridCol w:w="682"/>
              <w:gridCol w:w="854"/>
              <w:gridCol w:w="916"/>
              <w:gridCol w:w="1107"/>
            </w:tblGrid>
            <w:tr w14:paraId="111A58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77" w:type="pct"/>
                  <w:vMerge w:val="restart"/>
                  <w:tcBorders>
                    <w:tl2br w:val="nil"/>
                    <w:tr2bl w:val="nil"/>
                  </w:tcBorders>
                  <w:vAlign w:val="center"/>
                </w:tcPr>
                <w:p w14:paraId="6894D416">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名称</w:t>
                  </w:r>
                </w:p>
              </w:tc>
              <w:tc>
                <w:tcPr>
                  <w:tcW w:w="1547" w:type="pct"/>
                  <w:gridSpan w:val="2"/>
                  <w:tcBorders>
                    <w:tl2br w:val="nil"/>
                    <w:tr2bl w:val="nil"/>
                  </w:tcBorders>
                  <w:vAlign w:val="center"/>
                </w:tcPr>
                <w:p w14:paraId="30993A18">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坐标</w:t>
                  </w:r>
                </w:p>
              </w:tc>
              <w:tc>
                <w:tcPr>
                  <w:tcW w:w="449" w:type="pct"/>
                  <w:vMerge w:val="restart"/>
                  <w:tcBorders>
                    <w:tl2br w:val="nil"/>
                    <w:tr2bl w:val="nil"/>
                  </w:tcBorders>
                  <w:vAlign w:val="center"/>
                </w:tcPr>
                <w:p w14:paraId="015665FE">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保护对象</w:t>
                  </w:r>
                </w:p>
              </w:tc>
              <w:tc>
                <w:tcPr>
                  <w:tcW w:w="407" w:type="pct"/>
                  <w:vMerge w:val="restart"/>
                  <w:tcBorders>
                    <w:tl2br w:val="nil"/>
                    <w:tr2bl w:val="nil"/>
                  </w:tcBorders>
                  <w:vAlign w:val="center"/>
                </w:tcPr>
                <w:p w14:paraId="6A936862">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保护内容</w:t>
                  </w:r>
                </w:p>
              </w:tc>
              <w:tc>
                <w:tcPr>
                  <w:tcW w:w="510" w:type="pct"/>
                  <w:vMerge w:val="restart"/>
                  <w:tcBorders>
                    <w:tl2br w:val="nil"/>
                    <w:tr2bl w:val="nil"/>
                  </w:tcBorders>
                  <w:vAlign w:val="center"/>
                </w:tcPr>
                <w:p w14:paraId="341870C3">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环境功能区</w:t>
                  </w:r>
                </w:p>
              </w:tc>
              <w:tc>
                <w:tcPr>
                  <w:tcW w:w="547" w:type="pct"/>
                  <w:vMerge w:val="restart"/>
                  <w:tcBorders>
                    <w:tl2br w:val="nil"/>
                    <w:tr2bl w:val="nil"/>
                  </w:tcBorders>
                  <w:vAlign w:val="center"/>
                </w:tcPr>
                <w:p w14:paraId="28AAC321">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相对厂址方位</w:t>
                  </w:r>
                </w:p>
              </w:tc>
              <w:tc>
                <w:tcPr>
                  <w:tcW w:w="660" w:type="pct"/>
                  <w:vMerge w:val="restart"/>
                  <w:tcBorders>
                    <w:tl2br w:val="nil"/>
                    <w:tr2bl w:val="nil"/>
                  </w:tcBorders>
                  <w:vAlign w:val="center"/>
                </w:tcPr>
                <w:p w14:paraId="3A0C9E1C">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相对厂界距离/m</w:t>
                  </w:r>
                </w:p>
              </w:tc>
            </w:tr>
            <w:tr w14:paraId="3E9E68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77" w:type="pct"/>
                  <w:vMerge w:val="continue"/>
                  <w:tcBorders>
                    <w:tl2br w:val="nil"/>
                    <w:tr2bl w:val="nil"/>
                  </w:tcBorders>
                  <w:vAlign w:val="center"/>
                </w:tcPr>
                <w:p w14:paraId="3ACEDA37">
                  <w:pPr>
                    <w:keepNext w:val="0"/>
                    <w:keepLines w:val="0"/>
                    <w:suppressLineNumbers w:val="0"/>
                    <w:spacing w:before="0" w:beforeAutospacing="0" w:after="0" w:afterAutospacing="0"/>
                    <w:ind w:left="0" w:right="0"/>
                    <w:jc w:val="center"/>
                    <w:rPr>
                      <w:rFonts w:hint="default"/>
                      <w:color w:val="auto"/>
                      <w:szCs w:val="21"/>
                      <w:highlight w:val="none"/>
                    </w:rPr>
                  </w:pPr>
                </w:p>
              </w:tc>
              <w:tc>
                <w:tcPr>
                  <w:tcW w:w="776" w:type="pct"/>
                  <w:tcBorders>
                    <w:tl2br w:val="nil"/>
                    <w:tr2bl w:val="nil"/>
                  </w:tcBorders>
                  <w:vAlign w:val="center"/>
                </w:tcPr>
                <w:p w14:paraId="2C964CF8">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X</w:t>
                  </w:r>
                </w:p>
              </w:tc>
              <w:tc>
                <w:tcPr>
                  <w:tcW w:w="770" w:type="pct"/>
                  <w:tcBorders>
                    <w:tl2br w:val="nil"/>
                    <w:tr2bl w:val="nil"/>
                  </w:tcBorders>
                  <w:vAlign w:val="center"/>
                </w:tcPr>
                <w:p w14:paraId="1D138988">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Y</w:t>
                  </w:r>
                </w:p>
              </w:tc>
              <w:tc>
                <w:tcPr>
                  <w:tcW w:w="449" w:type="pct"/>
                  <w:vMerge w:val="continue"/>
                  <w:tcBorders>
                    <w:tl2br w:val="nil"/>
                    <w:tr2bl w:val="nil"/>
                  </w:tcBorders>
                  <w:vAlign w:val="center"/>
                </w:tcPr>
                <w:p w14:paraId="118FEC2B">
                  <w:pPr>
                    <w:keepNext w:val="0"/>
                    <w:keepLines w:val="0"/>
                    <w:suppressLineNumbers w:val="0"/>
                    <w:spacing w:before="0" w:beforeAutospacing="0" w:after="0" w:afterAutospacing="0"/>
                    <w:ind w:left="0" w:right="0"/>
                    <w:jc w:val="center"/>
                    <w:rPr>
                      <w:rFonts w:hint="default"/>
                      <w:color w:val="auto"/>
                      <w:szCs w:val="21"/>
                      <w:highlight w:val="none"/>
                    </w:rPr>
                  </w:pPr>
                </w:p>
              </w:tc>
              <w:tc>
                <w:tcPr>
                  <w:tcW w:w="407" w:type="pct"/>
                  <w:vMerge w:val="continue"/>
                  <w:tcBorders>
                    <w:tl2br w:val="nil"/>
                    <w:tr2bl w:val="nil"/>
                  </w:tcBorders>
                  <w:vAlign w:val="center"/>
                </w:tcPr>
                <w:p w14:paraId="5963E537">
                  <w:pPr>
                    <w:keepNext w:val="0"/>
                    <w:keepLines w:val="0"/>
                    <w:suppressLineNumbers w:val="0"/>
                    <w:spacing w:before="0" w:beforeAutospacing="0" w:after="0" w:afterAutospacing="0"/>
                    <w:ind w:left="0" w:right="0"/>
                    <w:jc w:val="center"/>
                    <w:rPr>
                      <w:rFonts w:hint="default"/>
                      <w:color w:val="auto"/>
                      <w:szCs w:val="21"/>
                      <w:highlight w:val="none"/>
                    </w:rPr>
                  </w:pPr>
                </w:p>
              </w:tc>
              <w:tc>
                <w:tcPr>
                  <w:tcW w:w="510" w:type="pct"/>
                  <w:vMerge w:val="continue"/>
                  <w:tcBorders>
                    <w:tl2br w:val="nil"/>
                    <w:tr2bl w:val="nil"/>
                  </w:tcBorders>
                  <w:vAlign w:val="center"/>
                </w:tcPr>
                <w:p w14:paraId="685D66A4">
                  <w:pPr>
                    <w:keepNext w:val="0"/>
                    <w:keepLines w:val="0"/>
                    <w:suppressLineNumbers w:val="0"/>
                    <w:spacing w:before="0" w:beforeAutospacing="0" w:after="0" w:afterAutospacing="0"/>
                    <w:ind w:left="0" w:right="0"/>
                    <w:jc w:val="center"/>
                    <w:rPr>
                      <w:rFonts w:hint="default"/>
                      <w:color w:val="auto"/>
                      <w:szCs w:val="21"/>
                      <w:highlight w:val="none"/>
                    </w:rPr>
                  </w:pPr>
                </w:p>
              </w:tc>
              <w:tc>
                <w:tcPr>
                  <w:tcW w:w="547" w:type="pct"/>
                  <w:vMerge w:val="continue"/>
                  <w:tcBorders>
                    <w:tl2br w:val="nil"/>
                    <w:tr2bl w:val="nil"/>
                  </w:tcBorders>
                  <w:vAlign w:val="center"/>
                </w:tcPr>
                <w:p w14:paraId="62377E7D">
                  <w:pPr>
                    <w:keepNext w:val="0"/>
                    <w:keepLines w:val="0"/>
                    <w:suppressLineNumbers w:val="0"/>
                    <w:spacing w:before="0" w:beforeAutospacing="0" w:after="0" w:afterAutospacing="0"/>
                    <w:ind w:left="0" w:right="0"/>
                    <w:jc w:val="center"/>
                    <w:rPr>
                      <w:rFonts w:hint="default"/>
                      <w:color w:val="auto"/>
                      <w:szCs w:val="21"/>
                      <w:highlight w:val="none"/>
                    </w:rPr>
                  </w:pPr>
                </w:p>
              </w:tc>
              <w:tc>
                <w:tcPr>
                  <w:tcW w:w="660" w:type="pct"/>
                  <w:vMerge w:val="continue"/>
                  <w:tcBorders>
                    <w:tl2br w:val="nil"/>
                    <w:tr2bl w:val="nil"/>
                  </w:tcBorders>
                  <w:vAlign w:val="center"/>
                </w:tcPr>
                <w:p w14:paraId="05FC643F">
                  <w:pPr>
                    <w:keepNext w:val="0"/>
                    <w:keepLines w:val="0"/>
                    <w:suppressLineNumbers w:val="0"/>
                    <w:spacing w:before="0" w:beforeAutospacing="0" w:after="0" w:afterAutospacing="0"/>
                    <w:ind w:left="0" w:right="0"/>
                    <w:jc w:val="center"/>
                    <w:rPr>
                      <w:rFonts w:hint="default"/>
                      <w:color w:val="auto"/>
                      <w:szCs w:val="21"/>
                      <w:highlight w:val="none"/>
                    </w:rPr>
                  </w:pPr>
                </w:p>
              </w:tc>
            </w:tr>
            <w:tr w14:paraId="2D2081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77" w:type="pct"/>
                  <w:tcBorders>
                    <w:tl2br w:val="nil"/>
                    <w:tr2bl w:val="nil"/>
                  </w:tcBorders>
                  <w:vAlign w:val="center"/>
                </w:tcPr>
                <w:p w14:paraId="5E181500">
                  <w:pPr>
                    <w:keepNext w:val="0"/>
                    <w:keepLines w:val="0"/>
                    <w:suppressLineNumbers w:val="0"/>
                    <w:wordWrap w:val="0"/>
                    <w:adjustRightInd w:val="0"/>
                    <w:snapToGrid w:val="0"/>
                    <w:spacing w:before="0" w:beforeAutospacing="0" w:after="0" w:afterAutospacing="0"/>
                    <w:ind w:left="0" w:right="0"/>
                    <w:jc w:val="center"/>
                    <w:rPr>
                      <w:rFonts w:hint="default"/>
                      <w:color w:val="auto"/>
                      <w:szCs w:val="21"/>
                      <w:highlight w:val="none"/>
                    </w:rPr>
                  </w:pPr>
                  <w:r>
                    <w:rPr>
                      <w:rFonts w:hint="eastAsia"/>
                      <w:snapToGrid w:val="0"/>
                      <w:color w:val="auto"/>
                      <w:szCs w:val="21"/>
                      <w:highlight w:val="none"/>
                    </w:rPr>
                    <w:t>烟台山</w:t>
                  </w:r>
                  <w:r>
                    <w:rPr>
                      <w:rFonts w:hint="default"/>
                      <w:snapToGrid w:val="0"/>
                      <w:color w:val="auto"/>
                      <w:szCs w:val="21"/>
                      <w:highlight w:val="none"/>
                    </w:rPr>
                    <w:t>村</w:t>
                  </w:r>
                </w:p>
              </w:tc>
              <w:tc>
                <w:tcPr>
                  <w:tcW w:w="776" w:type="pct"/>
                  <w:tcBorders>
                    <w:tl2br w:val="nil"/>
                    <w:tr2bl w:val="nil"/>
                  </w:tcBorders>
                  <w:vAlign w:val="center"/>
                </w:tcPr>
                <w:p w14:paraId="5CEA9C2E">
                  <w:pPr>
                    <w:keepNext w:val="0"/>
                    <w:keepLines w:val="0"/>
                    <w:widowControl/>
                    <w:suppressLineNumbers w:val="0"/>
                    <w:spacing w:before="0" w:beforeAutospacing="0" w:after="0" w:afterAutospacing="0"/>
                    <w:ind w:left="0" w:right="0"/>
                    <w:jc w:val="center"/>
                    <w:textAlignment w:val="center"/>
                    <w:rPr>
                      <w:rFonts w:hint="default"/>
                      <w:color w:val="auto"/>
                      <w:szCs w:val="21"/>
                      <w:highlight w:val="none"/>
                    </w:rPr>
                  </w:pPr>
                  <w:r>
                    <w:rPr>
                      <w:rFonts w:hint="default"/>
                      <w:color w:val="auto"/>
                      <w:kern w:val="0"/>
                      <w:szCs w:val="21"/>
                      <w:highlight w:val="none"/>
                      <w:lang w:bidi="ar"/>
                    </w:rPr>
                    <w:t xml:space="preserve">119.484733 </w:t>
                  </w:r>
                </w:p>
              </w:tc>
              <w:tc>
                <w:tcPr>
                  <w:tcW w:w="770" w:type="pct"/>
                  <w:tcBorders>
                    <w:tl2br w:val="nil"/>
                    <w:tr2bl w:val="nil"/>
                  </w:tcBorders>
                  <w:vAlign w:val="center"/>
                </w:tcPr>
                <w:p w14:paraId="2F76823B">
                  <w:pPr>
                    <w:keepNext w:val="0"/>
                    <w:keepLines w:val="0"/>
                    <w:widowControl/>
                    <w:suppressLineNumbers w:val="0"/>
                    <w:spacing w:before="0" w:beforeAutospacing="0" w:after="0" w:afterAutospacing="0"/>
                    <w:ind w:left="0" w:right="0"/>
                    <w:jc w:val="center"/>
                    <w:textAlignment w:val="center"/>
                    <w:rPr>
                      <w:rFonts w:hint="default"/>
                      <w:color w:val="auto"/>
                      <w:szCs w:val="21"/>
                      <w:highlight w:val="none"/>
                    </w:rPr>
                  </w:pPr>
                  <w:r>
                    <w:rPr>
                      <w:rFonts w:hint="default"/>
                      <w:color w:val="auto"/>
                      <w:kern w:val="0"/>
                      <w:szCs w:val="21"/>
                      <w:highlight w:val="none"/>
                      <w:lang w:bidi="ar"/>
                    </w:rPr>
                    <w:t xml:space="preserve">39.932298 </w:t>
                  </w:r>
                </w:p>
              </w:tc>
              <w:tc>
                <w:tcPr>
                  <w:tcW w:w="449" w:type="pct"/>
                  <w:tcBorders>
                    <w:tl2br w:val="nil"/>
                    <w:tr2bl w:val="nil"/>
                  </w:tcBorders>
                  <w:vAlign w:val="center"/>
                </w:tcPr>
                <w:p w14:paraId="706ECC06">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居民</w:t>
                  </w:r>
                </w:p>
              </w:tc>
              <w:tc>
                <w:tcPr>
                  <w:tcW w:w="407" w:type="pct"/>
                  <w:tcBorders>
                    <w:tl2br w:val="nil"/>
                    <w:tr2bl w:val="nil"/>
                  </w:tcBorders>
                  <w:vAlign w:val="center"/>
                </w:tcPr>
                <w:p w14:paraId="65960407">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大气环境</w:t>
                  </w:r>
                </w:p>
              </w:tc>
              <w:tc>
                <w:tcPr>
                  <w:tcW w:w="510" w:type="pct"/>
                  <w:tcBorders>
                    <w:tl2br w:val="nil"/>
                    <w:tr2bl w:val="nil"/>
                  </w:tcBorders>
                  <w:vAlign w:val="center"/>
                </w:tcPr>
                <w:p w14:paraId="47257881">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二类</w:t>
                  </w:r>
                </w:p>
              </w:tc>
              <w:tc>
                <w:tcPr>
                  <w:tcW w:w="910" w:type="dxa"/>
                  <w:tcBorders>
                    <w:tl2br w:val="nil"/>
                    <w:tr2bl w:val="nil"/>
                  </w:tcBorders>
                  <w:vAlign w:val="center"/>
                </w:tcPr>
                <w:p w14:paraId="038CBF4A">
                  <w:pPr>
                    <w:keepNext w:val="0"/>
                    <w:keepLines w:val="0"/>
                    <w:suppressLineNumbers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NW</w:t>
                  </w:r>
                </w:p>
              </w:tc>
              <w:tc>
                <w:tcPr>
                  <w:tcW w:w="1098" w:type="dxa"/>
                  <w:tcBorders>
                    <w:tl2br w:val="nil"/>
                    <w:tr2bl w:val="nil"/>
                  </w:tcBorders>
                  <w:vAlign w:val="center"/>
                </w:tcPr>
                <w:p w14:paraId="499325DE">
                  <w:pPr>
                    <w:keepNext w:val="0"/>
                    <w:keepLines w:val="0"/>
                    <w:suppressLineNumbers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360</w:t>
                  </w:r>
                </w:p>
              </w:tc>
            </w:tr>
          </w:tbl>
          <w:p w14:paraId="5302B90B">
            <w:pPr>
              <w:keepNext w:val="0"/>
              <w:keepLines w:val="0"/>
              <w:suppressLineNumbers w:val="0"/>
              <w:spacing w:before="0" w:beforeAutospacing="0" w:after="0" w:afterAutospacing="0" w:line="480" w:lineRule="exact"/>
              <w:ind w:left="0" w:right="0" w:firstLine="482" w:firstLineChars="200"/>
              <w:rPr>
                <w:rFonts w:hint="default"/>
                <w:b/>
                <w:bCs/>
                <w:color w:val="auto"/>
                <w:sz w:val="24"/>
                <w:highlight w:val="none"/>
              </w:rPr>
            </w:pPr>
            <w:r>
              <w:rPr>
                <w:rFonts w:hint="eastAsia"/>
                <w:b/>
                <w:bCs/>
                <w:color w:val="auto"/>
                <w:sz w:val="24"/>
                <w:highlight w:val="none"/>
              </w:rPr>
              <w:t>2、声环境</w:t>
            </w:r>
          </w:p>
          <w:p w14:paraId="2A81AA1F">
            <w:pPr>
              <w:keepNext w:val="0"/>
              <w:keepLines w:val="0"/>
              <w:suppressLineNumbers w:val="0"/>
              <w:spacing w:before="0" w:beforeAutospacing="0" w:after="0" w:afterAutospacing="0" w:line="480" w:lineRule="exact"/>
              <w:ind w:left="0" w:right="0" w:firstLine="480" w:firstLineChars="200"/>
              <w:rPr>
                <w:rFonts w:hint="default"/>
                <w:color w:val="auto"/>
                <w:sz w:val="24"/>
                <w:highlight w:val="none"/>
              </w:rPr>
            </w:pPr>
            <w:r>
              <w:rPr>
                <w:rFonts w:hint="eastAsia"/>
                <w:color w:val="auto"/>
                <w:sz w:val="24"/>
                <w:highlight w:val="none"/>
              </w:rPr>
              <w:t>厂界外50米范围内无声环境保护目标。</w:t>
            </w:r>
          </w:p>
          <w:p w14:paraId="4B6839E8">
            <w:pPr>
              <w:keepNext w:val="0"/>
              <w:keepLines w:val="0"/>
              <w:suppressLineNumbers w:val="0"/>
              <w:spacing w:before="0" w:beforeAutospacing="0" w:after="0" w:afterAutospacing="0" w:line="480" w:lineRule="exact"/>
              <w:ind w:left="0" w:right="0" w:firstLine="482" w:firstLineChars="200"/>
              <w:rPr>
                <w:rFonts w:hint="default"/>
                <w:b/>
                <w:bCs/>
                <w:color w:val="auto"/>
                <w:sz w:val="24"/>
                <w:highlight w:val="none"/>
              </w:rPr>
            </w:pPr>
            <w:r>
              <w:rPr>
                <w:rFonts w:hint="eastAsia"/>
                <w:b/>
                <w:bCs/>
                <w:color w:val="auto"/>
                <w:sz w:val="24"/>
                <w:highlight w:val="none"/>
              </w:rPr>
              <w:t>3、地下水环境</w:t>
            </w:r>
          </w:p>
          <w:p w14:paraId="78826088">
            <w:pPr>
              <w:keepNext w:val="0"/>
              <w:keepLines w:val="0"/>
              <w:suppressLineNumbers w:val="0"/>
              <w:spacing w:before="0" w:beforeAutospacing="0" w:after="0" w:afterAutospacing="0" w:line="480" w:lineRule="exact"/>
              <w:ind w:left="0" w:right="0" w:firstLine="480" w:firstLineChars="200"/>
              <w:rPr>
                <w:rFonts w:hint="default"/>
                <w:color w:val="auto"/>
                <w:sz w:val="24"/>
                <w:highlight w:val="none"/>
              </w:rPr>
            </w:pPr>
            <w:r>
              <w:rPr>
                <w:rFonts w:hint="eastAsia"/>
                <w:color w:val="auto"/>
                <w:sz w:val="24"/>
                <w:highlight w:val="none"/>
              </w:rPr>
              <w:t>根据《建设项目环境影响报告表编制技术指南（污染影响类）（试行）》，地下水环境保护目标为厂界外500米范围内的地下水集中式饮用水水源和热水、矿泉水、温泉等特殊地下水资源。</w:t>
            </w:r>
          </w:p>
          <w:p w14:paraId="3CBE26C9">
            <w:pPr>
              <w:keepNext w:val="0"/>
              <w:keepLines w:val="0"/>
              <w:suppressLineNumbers w:val="0"/>
              <w:spacing w:before="0" w:beforeAutospacing="0" w:after="0" w:afterAutospacing="0" w:line="480" w:lineRule="exact"/>
              <w:ind w:left="0" w:right="0" w:firstLine="480" w:firstLineChars="200"/>
              <w:rPr>
                <w:rFonts w:hint="default"/>
                <w:color w:val="auto"/>
                <w:sz w:val="24"/>
                <w:highlight w:val="none"/>
              </w:rPr>
            </w:pPr>
            <w:r>
              <w:rPr>
                <w:rFonts w:hint="eastAsia"/>
                <w:color w:val="auto"/>
                <w:sz w:val="24"/>
                <w:highlight w:val="none"/>
              </w:rPr>
              <w:t>本项目厂界外500米范围内无上述特殊地下水资源。</w:t>
            </w:r>
          </w:p>
          <w:p w14:paraId="65E2BDB7">
            <w:pPr>
              <w:keepNext w:val="0"/>
              <w:keepLines w:val="0"/>
              <w:suppressLineNumbers w:val="0"/>
              <w:spacing w:before="0" w:beforeAutospacing="0" w:after="0" w:afterAutospacing="0" w:line="480" w:lineRule="exact"/>
              <w:ind w:left="0" w:right="0" w:firstLine="482" w:firstLineChars="200"/>
              <w:rPr>
                <w:rFonts w:hint="default"/>
                <w:b/>
                <w:bCs/>
                <w:color w:val="auto"/>
                <w:sz w:val="24"/>
                <w:highlight w:val="none"/>
              </w:rPr>
            </w:pPr>
            <w:r>
              <w:rPr>
                <w:rFonts w:hint="eastAsia"/>
                <w:b/>
                <w:bCs/>
                <w:color w:val="auto"/>
                <w:sz w:val="24"/>
                <w:highlight w:val="none"/>
              </w:rPr>
              <w:t>4、生态环境</w:t>
            </w:r>
          </w:p>
          <w:p w14:paraId="4695075F">
            <w:pPr>
              <w:keepNext w:val="0"/>
              <w:keepLines w:val="0"/>
              <w:suppressLineNumbers w:val="0"/>
              <w:spacing w:before="0" w:beforeAutospacing="0" w:after="0" w:afterAutospacing="0" w:line="480" w:lineRule="exact"/>
              <w:ind w:left="0" w:right="0" w:firstLine="480" w:firstLineChars="200"/>
              <w:rPr>
                <w:rFonts w:hint="default"/>
                <w:color w:val="auto"/>
                <w:sz w:val="24"/>
                <w:highlight w:val="none"/>
              </w:rPr>
            </w:pPr>
            <w:r>
              <w:rPr>
                <w:rFonts w:hint="eastAsia"/>
                <w:color w:val="auto"/>
                <w:sz w:val="24"/>
                <w:highlight w:val="none"/>
              </w:rPr>
              <w:t>本</w:t>
            </w:r>
            <w:r>
              <w:rPr>
                <w:rFonts w:hint="default"/>
                <w:color w:val="auto"/>
                <w:sz w:val="24"/>
                <w:highlight w:val="none"/>
              </w:rPr>
              <w:t>项目在现有厂区内建设，不新增用地</w:t>
            </w:r>
            <w:r>
              <w:rPr>
                <w:rFonts w:hint="eastAsia"/>
                <w:color w:val="auto"/>
                <w:sz w:val="24"/>
                <w:highlight w:val="none"/>
              </w:rPr>
              <w:t>，无生态环境保护目标</w:t>
            </w:r>
            <w:r>
              <w:rPr>
                <w:rFonts w:hint="default"/>
                <w:color w:val="auto"/>
                <w:sz w:val="24"/>
                <w:highlight w:val="none"/>
              </w:rPr>
              <w:t>。</w:t>
            </w:r>
          </w:p>
        </w:tc>
      </w:tr>
      <w:tr w14:paraId="51ACA6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5" w:type="dxa"/>
            <w:tcMar>
              <w:left w:w="28" w:type="dxa"/>
              <w:right w:w="28" w:type="dxa"/>
            </w:tcMar>
            <w:vAlign w:val="center"/>
          </w:tcPr>
          <w:p w14:paraId="6ED61C2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56FF8D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污染物排放控制标准</w:t>
            </w:r>
          </w:p>
          <w:p w14:paraId="184889C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1EAEDF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D6D575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739833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F387DF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49AB0A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5B39E9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622791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F10497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3F7577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5AC027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BF1C4C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2F893F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382ECF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B9BCE5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4F5775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B350FC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污染物排放控制标准</w:t>
            </w:r>
          </w:p>
          <w:p w14:paraId="36691ED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2E71F5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C5BACC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A88CC8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2C2D38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BCC3D4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3200B9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2C6096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88CBAD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8497FC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FC00FC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D1709D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1D6147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022D92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9B1FCC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86199A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6B1842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595BBF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D48BBB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BAA784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D1D666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8BFFA4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D6DD68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FC2092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14871C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057A23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B74648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54F844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F54B04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98EAB9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961A62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污染物排放控制标准</w:t>
            </w:r>
          </w:p>
          <w:p w14:paraId="43DFE7A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358725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A613C1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F163CF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742739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6590B7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6312C7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B90D48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37EFB9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7214C7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06F6A8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D246215">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p>
        </w:tc>
        <w:tc>
          <w:tcPr>
            <w:tcW w:w="8606" w:type="dxa"/>
            <w:vAlign w:val="center"/>
          </w:tcPr>
          <w:p w14:paraId="03A9F174">
            <w:pPr>
              <w:keepNext w:val="0"/>
              <w:keepLines w:val="0"/>
              <w:suppressLineNumbers w:val="0"/>
              <w:wordWrap w:val="0"/>
              <w:spacing w:before="0" w:beforeAutospacing="0" w:after="0" w:afterAutospacing="0" w:line="480" w:lineRule="exact"/>
              <w:ind w:left="0" w:right="0" w:firstLine="482" w:firstLineChars="200"/>
              <w:rPr>
                <w:rFonts w:hint="default"/>
                <w:b/>
                <w:color w:val="auto"/>
                <w:sz w:val="24"/>
                <w:highlight w:val="none"/>
              </w:rPr>
            </w:pPr>
            <w:r>
              <w:rPr>
                <w:rFonts w:hint="eastAsia"/>
                <w:b/>
                <w:color w:val="auto"/>
                <w:sz w:val="24"/>
                <w:highlight w:val="none"/>
              </w:rPr>
              <w:t>一、施工期：</w:t>
            </w:r>
          </w:p>
          <w:p w14:paraId="29A09C19">
            <w:pPr>
              <w:keepNext w:val="0"/>
              <w:keepLines w:val="0"/>
              <w:suppressLineNumbers w:val="0"/>
              <w:wordWrap w:val="0"/>
              <w:spacing w:before="0" w:beforeAutospacing="0" w:after="0" w:afterAutospacing="0" w:line="480" w:lineRule="exact"/>
              <w:ind w:left="0" w:right="0" w:firstLine="482" w:firstLineChars="200"/>
              <w:rPr>
                <w:rFonts w:hint="default"/>
                <w:b/>
                <w:color w:val="auto"/>
                <w:sz w:val="24"/>
                <w:highlight w:val="none"/>
              </w:rPr>
            </w:pPr>
            <w:r>
              <w:rPr>
                <w:rFonts w:hint="eastAsia"/>
                <w:b/>
                <w:color w:val="auto"/>
                <w:sz w:val="24"/>
                <w:highlight w:val="none"/>
              </w:rPr>
              <w:t>1、噪声</w:t>
            </w:r>
          </w:p>
          <w:p w14:paraId="11914453">
            <w:pPr>
              <w:pStyle w:val="49"/>
              <w:keepNext w:val="0"/>
              <w:keepLines w:val="0"/>
              <w:suppressLineNumbers w:val="0"/>
              <w:spacing w:before="0" w:beforeAutospacing="0" w:after="0" w:afterAutospacing="0" w:line="480" w:lineRule="exact"/>
              <w:ind w:left="0" w:right="0" w:firstLine="480"/>
              <w:rPr>
                <w:rFonts w:hint="default"/>
                <w:color w:val="auto"/>
                <w:sz w:val="24"/>
                <w:highlight w:val="none"/>
              </w:rPr>
            </w:pPr>
            <w:r>
              <w:rPr>
                <w:rFonts w:hint="default"/>
                <w:color w:val="auto"/>
                <w:sz w:val="24"/>
                <w:highlight w:val="none"/>
              </w:rPr>
              <w:t>施工噪声执行《建筑施工场界环境噪声排放标准》（GB12523-2011）相关标准。</w:t>
            </w:r>
          </w:p>
          <w:p w14:paraId="0CF6E472">
            <w:pPr>
              <w:pStyle w:val="49"/>
              <w:keepNext w:val="0"/>
              <w:keepLines w:val="0"/>
              <w:suppressLineNumbers w:val="0"/>
              <w:spacing w:before="0" w:beforeAutospacing="0" w:after="0" w:afterAutospacing="0" w:line="480" w:lineRule="exact"/>
              <w:ind w:left="0" w:right="0" w:firstLine="0" w:firstLineChars="0"/>
              <w:jc w:val="center"/>
              <w:rPr>
                <w:rFonts w:hint="default"/>
                <w:b/>
                <w:bCs/>
                <w:color w:val="auto"/>
                <w:sz w:val="24"/>
                <w:highlight w:val="none"/>
              </w:rPr>
            </w:pPr>
            <w:r>
              <w:rPr>
                <w:rFonts w:hint="eastAsia"/>
                <w:b/>
                <w:bCs/>
                <w:color w:val="auto"/>
                <w:sz w:val="24"/>
                <w:highlight w:val="none"/>
              </w:rPr>
              <w:t xml:space="preserve">表3-6 </w:t>
            </w:r>
            <w:r>
              <w:rPr>
                <w:rFonts w:hint="default"/>
                <w:b/>
                <w:color w:val="auto"/>
                <w:sz w:val="24"/>
                <w:highlight w:val="none"/>
              </w:rPr>
              <w:t>建筑施工场界环境噪声排放标准</w:t>
            </w:r>
          </w:p>
          <w:tbl>
            <w:tblPr>
              <w:tblStyle w:val="35"/>
              <w:tblW w:w="497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69"/>
              <w:gridCol w:w="4172"/>
            </w:tblGrid>
            <w:tr w14:paraId="6921C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9" w:type="pct"/>
                  <w:vAlign w:val="center"/>
                </w:tcPr>
                <w:p w14:paraId="76A6970B">
                  <w:pPr>
                    <w:keepNext w:val="0"/>
                    <w:keepLines w:val="0"/>
                    <w:suppressLineNumbers w:val="0"/>
                    <w:wordWrap w:val="0"/>
                    <w:spacing w:before="0" w:beforeAutospacing="0" w:after="0" w:afterAutospacing="0"/>
                    <w:ind w:left="0" w:right="0"/>
                    <w:jc w:val="center"/>
                    <w:rPr>
                      <w:rFonts w:hint="default"/>
                      <w:color w:val="auto"/>
                      <w:szCs w:val="21"/>
                      <w:highlight w:val="none"/>
                    </w:rPr>
                  </w:pPr>
                  <w:r>
                    <w:rPr>
                      <w:rFonts w:hint="default"/>
                      <w:color w:val="auto"/>
                      <w:szCs w:val="21"/>
                      <w:highlight w:val="none"/>
                    </w:rPr>
                    <w:t>昼间dB</w:t>
                  </w:r>
                  <w:r>
                    <w:rPr>
                      <w:rFonts w:hint="eastAsia"/>
                      <w:color w:val="auto"/>
                      <w:szCs w:val="21"/>
                      <w:highlight w:val="none"/>
                    </w:rPr>
                    <w:t>(A)</w:t>
                  </w:r>
                </w:p>
              </w:tc>
              <w:tc>
                <w:tcPr>
                  <w:tcW w:w="2500" w:type="pct"/>
                  <w:vAlign w:val="center"/>
                </w:tcPr>
                <w:p w14:paraId="6FFD7296">
                  <w:pPr>
                    <w:keepNext w:val="0"/>
                    <w:keepLines w:val="0"/>
                    <w:suppressLineNumbers w:val="0"/>
                    <w:wordWrap w:val="0"/>
                    <w:spacing w:before="0" w:beforeAutospacing="0" w:after="0" w:afterAutospacing="0"/>
                    <w:ind w:left="0" w:right="0"/>
                    <w:jc w:val="center"/>
                    <w:rPr>
                      <w:rFonts w:hint="default"/>
                      <w:color w:val="auto"/>
                      <w:szCs w:val="21"/>
                      <w:highlight w:val="none"/>
                    </w:rPr>
                  </w:pPr>
                  <w:r>
                    <w:rPr>
                      <w:rFonts w:hint="default"/>
                      <w:color w:val="auto"/>
                      <w:szCs w:val="21"/>
                      <w:highlight w:val="none"/>
                    </w:rPr>
                    <w:t>夜间dB</w:t>
                  </w:r>
                  <w:r>
                    <w:rPr>
                      <w:rFonts w:hint="eastAsia"/>
                      <w:color w:val="auto"/>
                      <w:szCs w:val="21"/>
                      <w:highlight w:val="none"/>
                    </w:rPr>
                    <w:t>(A)</w:t>
                  </w:r>
                </w:p>
              </w:tc>
            </w:tr>
            <w:tr w14:paraId="76E8A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9" w:type="pct"/>
                  <w:vAlign w:val="center"/>
                </w:tcPr>
                <w:p w14:paraId="50ABFC50">
                  <w:pPr>
                    <w:keepNext w:val="0"/>
                    <w:keepLines w:val="0"/>
                    <w:suppressLineNumbers w:val="0"/>
                    <w:wordWrap w:val="0"/>
                    <w:spacing w:before="0" w:beforeAutospacing="0" w:after="0" w:afterAutospacing="0"/>
                    <w:ind w:left="0" w:right="0"/>
                    <w:jc w:val="center"/>
                    <w:rPr>
                      <w:rFonts w:hint="default"/>
                      <w:color w:val="auto"/>
                      <w:szCs w:val="21"/>
                      <w:highlight w:val="none"/>
                    </w:rPr>
                  </w:pPr>
                  <w:r>
                    <w:rPr>
                      <w:rFonts w:hint="default"/>
                      <w:color w:val="auto"/>
                      <w:szCs w:val="21"/>
                      <w:highlight w:val="none"/>
                    </w:rPr>
                    <w:t>70</w:t>
                  </w:r>
                </w:p>
              </w:tc>
              <w:tc>
                <w:tcPr>
                  <w:tcW w:w="2500" w:type="pct"/>
                  <w:vAlign w:val="center"/>
                </w:tcPr>
                <w:p w14:paraId="70FB61ED">
                  <w:pPr>
                    <w:keepNext w:val="0"/>
                    <w:keepLines w:val="0"/>
                    <w:suppressLineNumbers w:val="0"/>
                    <w:wordWrap w:val="0"/>
                    <w:spacing w:before="0" w:beforeAutospacing="0" w:after="0" w:afterAutospacing="0"/>
                    <w:ind w:left="0" w:right="0"/>
                    <w:jc w:val="center"/>
                    <w:rPr>
                      <w:rFonts w:hint="default"/>
                      <w:color w:val="auto"/>
                      <w:szCs w:val="21"/>
                      <w:highlight w:val="none"/>
                    </w:rPr>
                  </w:pPr>
                  <w:r>
                    <w:rPr>
                      <w:rFonts w:hint="default"/>
                      <w:color w:val="auto"/>
                      <w:szCs w:val="21"/>
                      <w:highlight w:val="none"/>
                    </w:rPr>
                    <w:t>55</w:t>
                  </w:r>
                </w:p>
              </w:tc>
            </w:tr>
          </w:tbl>
          <w:p w14:paraId="56FF5EBD">
            <w:pPr>
              <w:keepNext w:val="0"/>
              <w:keepLines w:val="0"/>
              <w:suppressLineNumbers w:val="0"/>
              <w:wordWrap w:val="0"/>
              <w:snapToGrid w:val="0"/>
              <w:spacing w:before="0" w:beforeAutospacing="0" w:after="0" w:afterAutospacing="0" w:line="480" w:lineRule="exact"/>
              <w:ind w:left="0" w:right="0" w:firstLine="482" w:firstLineChars="200"/>
              <w:jc w:val="left"/>
              <w:rPr>
                <w:rFonts w:hint="default"/>
                <w:b/>
                <w:color w:val="auto"/>
                <w:sz w:val="24"/>
                <w:highlight w:val="none"/>
              </w:rPr>
            </w:pPr>
            <w:r>
              <w:rPr>
                <w:rFonts w:hint="eastAsia"/>
                <w:b/>
                <w:color w:val="auto"/>
                <w:sz w:val="24"/>
                <w:highlight w:val="none"/>
              </w:rPr>
              <w:t>2、废气</w:t>
            </w:r>
          </w:p>
          <w:p w14:paraId="1DE26F6D">
            <w:pPr>
              <w:keepNext w:val="0"/>
              <w:keepLines w:val="0"/>
              <w:suppressLineNumbers w:val="0"/>
              <w:wordWrap w:val="0"/>
              <w:snapToGrid w:val="0"/>
              <w:spacing w:before="0" w:beforeAutospacing="0" w:after="0" w:afterAutospacing="0" w:line="480" w:lineRule="exact"/>
              <w:ind w:left="0" w:right="0" w:firstLine="480" w:firstLineChars="200"/>
              <w:jc w:val="left"/>
              <w:rPr>
                <w:rFonts w:hint="default"/>
                <w:color w:val="auto"/>
                <w:sz w:val="24"/>
                <w:highlight w:val="none"/>
              </w:rPr>
            </w:pPr>
            <w:r>
              <w:rPr>
                <w:rFonts w:hint="default"/>
                <w:color w:val="auto"/>
                <w:sz w:val="24"/>
                <w:highlight w:val="none"/>
              </w:rPr>
              <w:t>项目施工期扬尘排放浓度限值执行《施工场地扬尘排放标准》（DB13/29</w:t>
            </w:r>
            <w:r>
              <w:rPr>
                <w:rFonts w:hint="eastAsia"/>
                <w:color w:val="auto"/>
                <w:sz w:val="24"/>
                <w:highlight w:val="none"/>
              </w:rPr>
              <w:t>3</w:t>
            </w:r>
            <w:r>
              <w:rPr>
                <w:rFonts w:hint="default"/>
                <w:color w:val="auto"/>
                <w:sz w:val="24"/>
                <w:highlight w:val="none"/>
              </w:rPr>
              <w:t>4-2019）；</w:t>
            </w:r>
          </w:p>
          <w:p w14:paraId="12D95841">
            <w:pPr>
              <w:keepNext w:val="0"/>
              <w:keepLines w:val="0"/>
              <w:suppressLineNumbers w:val="0"/>
              <w:adjustRightInd w:val="0"/>
              <w:snapToGrid w:val="0"/>
              <w:spacing w:before="0" w:beforeAutospacing="0" w:after="0" w:afterAutospacing="0" w:line="480" w:lineRule="exact"/>
              <w:ind w:left="0" w:right="0"/>
              <w:jc w:val="center"/>
              <w:rPr>
                <w:rFonts w:hint="default"/>
                <w:b/>
                <w:color w:val="auto"/>
                <w:sz w:val="24"/>
                <w:highlight w:val="none"/>
              </w:rPr>
            </w:pPr>
            <w:r>
              <w:rPr>
                <w:rFonts w:hint="default"/>
                <w:b/>
                <w:color w:val="auto"/>
                <w:sz w:val="24"/>
                <w:highlight w:val="none"/>
              </w:rPr>
              <w:t>表</w:t>
            </w:r>
            <w:r>
              <w:rPr>
                <w:rFonts w:hint="eastAsia"/>
                <w:b/>
                <w:color w:val="auto"/>
                <w:sz w:val="24"/>
                <w:highlight w:val="none"/>
              </w:rPr>
              <w:t>3</w:t>
            </w:r>
            <w:r>
              <w:rPr>
                <w:rFonts w:hint="default"/>
                <w:b/>
                <w:color w:val="auto"/>
                <w:sz w:val="24"/>
                <w:highlight w:val="none"/>
              </w:rPr>
              <w:t>-</w:t>
            </w:r>
            <w:r>
              <w:rPr>
                <w:rFonts w:hint="eastAsia"/>
                <w:b/>
                <w:color w:val="auto"/>
                <w:sz w:val="24"/>
                <w:highlight w:val="none"/>
              </w:rPr>
              <w:t xml:space="preserve">7 </w:t>
            </w:r>
            <w:r>
              <w:rPr>
                <w:rFonts w:hint="default"/>
                <w:b/>
                <w:color w:val="auto"/>
                <w:sz w:val="24"/>
                <w:highlight w:val="none"/>
              </w:rPr>
              <w:t>扬尘无组织排放监控浓度限值</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788"/>
              <w:gridCol w:w="2791"/>
              <w:gridCol w:w="2798"/>
            </w:tblGrid>
            <w:tr w14:paraId="79A9376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664" w:type="pct"/>
                  <w:vAlign w:val="center"/>
                </w:tcPr>
                <w:p w14:paraId="371B7D2C">
                  <w:pPr>
                    <w:pStyle w:val="4"/>
                    <w:keepNext w:val="0"/>
                    <w:keepLines w:val="0"/>
                    <w:suppressLineNumbers w:val="0"/>
                    <w:adjustRightInd/>
                    <w:snapToGrid/>
                    <w:spacing w:before="0" w:beforeAutospacing="0" w:after="0" w:afterAutospacing="0" w:line="360" w:lineRule="exact"/>
                    <w:ind w:left="0" w:right="0" w:firstLine="0" w:firstLineChars="0"/>
                    <w:jc w:val="center"/>
                    <w:rPr>
                      <w:rFonts w:hint="default"/>
                      <w:color w:val="auto"/>
                      <w:sz w:val="21"/>
                      <w:szCs w:val="21"/>
                      <w:highlight w:val="none"/>
                    </w:rPr>
                  </w:pPr>
                  <w:r>
                    <w:rPr>
                      <w:rFonts w:hint="default"/>
                      <w:color w:val="auto"/>
                      <w:sz w:val="21"/>
                      <w:szCs w:val="21"/>
                      <w:highlight w:val="none"/>
                    </w:rPr>
                    <w:t>控制项目</w:t>
                  </w:r>
                </w:p>
              </w:tc>
              <w:tc>
                <w:tcPr>
                  <w:tcW w:w="1666" w:type="pct"/>
                  <w:vAlign w:val="center"/>
                </w:tcPr>
                <w:p w14:paraId="349DC65E">
                  <w:pPr>
                    <w:pStyle w:val="4"/>
                    <w:keepNext w:val="0"/>
                    <w:keepLines w:val="0"/>
                    <w:suppressLineNumbers w:val="0"/>
                    <w:adjustRightInd/>
                    <w:snapToGrid/>
                    <w:spacing w:before="0" w:beforeAutospacing="0" w:after="0" w:afterAutospacing="0" w:line="360" w:lineRule="exact"/>
                    <w:ind w:left="0" w:right="0" w:firstLine="0" w:firstLineChars="0"/>
                    <w:jc w:val="center"/>
                    <w:rPr>
                      <w:rFonts w:hint="default"/>
                      <w:color w:val="auto"/>
                      <w:sz w:val="21"/>
                      <w:szCs w:val="21"/>
                      <w:highlight w:val="none"/>
                    </w:rPr>
                  </w:pPr>
                  <w:r>
                    <w:rPr>
                      <w:rFonts w:hint="default"/>
                      <w:color w:val="auto"/>
                      <w:sz w:val="21"/>
                      <w:szCs w:val="21"/>
                      <w:highlight w:val="none"/>
                    </w:rPr>
                    <w:t>控点浓度限值</w:t>
                  </w:r>
                  <w:r>
                    <w:rPr>
                      <w:rFonts w:hint="eastAsia"/>
                      <w:color w:val="auto"/>
                      <w:sz w:val="21"/>
                      <w:szCs w:val="21"/>
                      <w:highlight w:val="none"/>
                    </w:rPr>
                    <w:t>（</w:t>
                  </w:r>
                  <w:r>
                    <w:rPr>
                      <w:rFonts w:hint="default"/>
                      <w:color w:val="auto"/>
                      <w:sz w:val="21"/>
                      <w:szCs w:val="21"/>
                      <w:highlight w:val="none"/>
                    </w:rPr>
                    <w:t>μg/m</w:t>
                  </w:r>
                  <w:r>
                    <w:rPr>
                      <w:rFonts w:hint="default"/>
                      <w:color w:val="auto"/>
                      <w:sz w:val="21"/>
                      <w:szCs w:val="21"/>
                      <w:highlight w:val="none"/>
                      <w:vertAlign w:val="superscript"/>
                    </w:rPr>
                    <w:t>3</w:t>
                  </w:r>
                  <w:r>
                    <w:rPr>
                      <w:rFonts w:hint="default"/>
                      <w:color w:val="auto"/>
                      <w:sz w:val="21"/>
                      <w:szCs w:val="21"/>
                      <w:highlight w:val="none"/>
                    </w:rPr>
                    <w:t>）</w:t>
                  </w:r>
                </w:p>
              </w:tc>
              <w:tc>
                <w:tcPr>
                  <w:tcW w:w="1669" w:type="pct"/>
                  <w:vAlign w:val="center"/>
                </w:tcPr>
                <w:p w14:paraId="23CFE5A2">
                  <w:pPr>
                    <w:pStyle w:val="4"/>
                    <w:keepNext w:val="0"/>
                    <w:keepLines w:val="0"/>
                    <w:suppressLineNumbers w:val="0"/>
                    <w:adjustRightInd/>
                    <w:snapToGrid/>
                    <w:spacing w:before="0" w:beforeAutospacing="0" w:after="0" w:afterAutospacing="0" w:line="360" w:lineRule="exact"/>
                    <w:ind w:left="0" w:right="0" w:firstLine="0" w:firstLineChars="0"/>
                    <w:jc w:val="center"/>
                    <w:rPr>
                      <w:rFonts w:hint="default"/>
                      <w:color w:val="auto"/>
                      <w:sz w:val="21"/>
                      <w:szCs w:val="21"/>
                      <w:highlight w:val="none"/>
                    </w:rPr>
                  </w:pPr>
                  <w:r>
                    <w:rPr>
                      <w:rFonts w:hint="default"/>
                      <w:color w:val="auto"/>
                      <w:sz w:val="21"/>
                      <w:szCs w:val="21"/>
                      <w:highlight w:val="none"/>
                    </w:rPr>
                    <w:t>达标判定依据（次/天）</w:t>
                  </w:r>
                </w:p>
              </w:tc>
            </w:tr>
            <w:tr w14:paraId="11D0367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664" w:type="pct"/>
                  <w:vAlign w:val="center"/>
                </w:tcPr>
                <w:p w14:paraId="6BBED25D">
                  <w:pPr>
                    <w:pStyle w:val="4"/>
                    <w:keepNext w:val="0"/>
                    <w:keepLines w:val="0"/>
                    <w:suppressLineNumbers w:val="0"/>
                    <w:adjustRightInd/>
                    <w:snapToGrid/>
                    <w:spacing w:before="0" w:beforeAutospacing="0" w:after="0" w:afterAutospacing="0" w:line="360" w:lineRule="exact"/>
                    <w:ind w:left="0" w:right="0" w:firstLine="0" w:firstLineChars="0"/>
                    <w:jc w:val="center"/>
                    <w:rPr>
                      <w:rFonts w:hint="default"/>
                      <w:color w:val="auto"/>
                      <w:sz w:val="21"/>
                      <w:szCs w:val="21"/>
                      <w:highlight w:val="none"/>
                    </w:rPr>
                  </w:pPr>
                  <w:r>
                    <w:rPr>
                      <w:rFonts w:hint="default"/>
                      <w:color w:val="auto"/>
                      <w:sz w:val="21"/>
                      <w:szCs w:val="21"/>
                      <w:highlight w:val="none"/>
                    </w:rPr>
                    <w:t>PM</w:t>
                  </w:r>
                  <w:r>
                    <w:rPr>
                      <w:rFonts w:hint="default"/>
                      <w:color w:val="auto"/>
                      <w:sz w:val="21"/>
                      <w:szCs w:val="21"/>
                      <w:highlight w:val="none"/>
                      <w:vertAlign w:val="subscript"/>
                    </w:rPr>
                    <w:t>10</w:t>
                  </w:r>
                </w:p>
              </w:tc>
              <w:tc>
                <w:tcPr>
                  <w:tcW w:w="1666" w:type="pct"/>
                  <w:vAlign w:val="center"/>
                </w:tcPr>
                <w:p w14:paraId="12992E4D">
                  <w:pPr>
                    <w:pStyle w:val="4"/>
                    <w:keepNext w:val="0"/>
                    <w:keepLines w:val="0"/>
                    <w:suppressLineNumbers w:val="0"/>
                    <w:adjustRightInd/>
                    <w:snapToGrid/>
                    <w:spacing w:before="0" w:beforeAutospacing="0" w:after="0" w:afterAutospacing="0" w:line="360" w:lineRule="exact"/>
                    <w:ind w:left="0" w:right="0" w:firstLine="0" w:firstLineChars="0"/>
                    <w:jc w:val="center"/>
                    <w:rPr>
                      <w:rFonts w:hint="default"/>
                      <w:color w:val="auto"/>
                      <w:sz w:val="21"/>
                      <w:szCs w:val="21"/>
                      <w:highlight w:val="none"/>
                    </w:rPr>
                  </w:pPr>
                  <w:r>
                    <w:rPr>
                      <w:rFonts w:hint="default"/>
                      <w:color w:val="auto"/>
                      <w:sz w:val="21"/>
                      <w:szCs w:val="21"/>
                      <w:highlight w:val="none"/>
                    </w:rPr>
                    <w:t>80</w:t>
                  </w:r>
                </w:p>
              </w:tc>
              <w:tc>
                <w:tcPr>
                  <w:tcW w:w="1669" w:type="pct"/>
                  <w:vAlign w:val="center"/>
                </w:tcPr>
                <w:p w14:paraId="199204D6">
                  <w:pPr>
                    <w:pStyle w:val="4"/>
                    <w:keepNext w:val="0"/>
                    <w:keepLines w:val="0"/>
                    <w:suppressLineNumbers w:val="0"/>
                    <w:adjustRightInd/>
                    <w:snapToGrid/>
                    <w:spacing w:before="0" w:beforeAutospacing="0" w:after="0" w:afterAutospacing="0" w:line="360" w:lineRule="exact"/>
                    <w:ind w:left="0" w:right="0" w:firstLine="0" w:firstLineChars="0"/>
                    <w:jc w:val="center"/>
                    <w:rPr>
                      <w:rFonts w:hint="default"/>
                      <w:color w:val="auto"/>
                      <w:sz w:val="21"/>
                      <w:szCs w:val="21"/>
                      <w:highlight w:val="none"/>
                    </w:rPr>
                  </w:pPr>
                  <w:r>
                    <w:rPr>
                      <w:rFonts w:hint="default"/>
                      <w:color w:val="auto"/>
                      <w:sz w:val="21"/>
                      <w:szCs w:val="21"/>
                      <w:highlight w:val="none"/>
                    </w:rPr>
                    <w:t>≤2</w:t>
                  </w:r>
                </w:p>
              </w:tc>
            </w:tr>
            <w:tr w14:paraId="652A83E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000" w:type="pct"/>
                  <w:gridSpan w:val="3"/>
                  <w:vAlign w:val="center"/>
                </w:tcPr>
                <w:p w14:paraId="7BC58FCC">
                  <w:pPr>
                    <w:pStyle w:val="4"/>
                    <w:keepNext w:val="0"/>
                    <w:keepLines w:val="0"/>
                    <w:suppressLineNumbers w:val="0"/>
                    <w:adjustRightInd/>
                    <w:snapToGrid/>
                    <w:spacing w:before="0" w:beforeAutospacing="0" w:after="0" w:afterAutospacing="0" w:line="360" w:lineRule="exact"/>
                    <w:ind w:left="0" w:right="0" w:firstLine="0" w:firstLineChars="0"/>
                    <w:rPr>
                      <w:rFonts w:hint="default"/>
                      <w:color w:val="auto"/>
                      <w:sz w:val="21"/>
                      <w:szCs w:val="21"/>
                      <w:highlight w:val="none"/>
                    </w:rPr>
                  </w:pPr>
                  <w:r>
                    <w:rPr>
                      <w:rFonts w:hint="default"/>
                      <w:color w:val="auto"/>
                      <w:sz w:val="21"/>
                      <w:szCs w:val="21"/>
                      <w:highlight w:val="none"/>
                    </w:rPr>
                    <w:t>*指监测点PM</w:t>
                  </w:r>
                  <w:r>
                    <w:rPr>
                      <w:rFonts w:hint="default"/>
                      <w:color w:val="auto"/>
                      <w:sz w:val="21"/>
                      <w:szCs w:val="21"/>
                      <w:highlight w:val="none"/>
                      <w:vertAlign w:val="subscript"/>
                    </w:rPr>
                    <w:t>10</w:t>
                  </w:r>
                  <w:r>
                    <w:rPr>
                      <w:rFonts w:hint="default"/>
                      <w:color w:val="auto"/>
                      <w:sz w:val="21"/>
                      <w:szCs w:val="21"/>
                      <w:highlight w:val="none"/>
                    </w:rPr>
                    <w:t>小时平均浓度实测值与同时段所属县（市、区）PM</w:t>
                  </w:r>
                  <w:r>
                    <w:rPr>
                      <w:rFonts w:hint="default"/>
                      <w:color w:val="auto"/>
                      <w:sz w:val="21"/>
                      <w:szCs w:val="21"/>
                      <w:highlight w:val="none"/>
                      <w:vertAlign w:val="subscript"/>
                    </w:rPr>
                    <w:t>10</w:t>
                  </w:r>
                  <w:r>
                    <w:rPr>
                      <w:rFonts w:hint="default"/>
                      <w:color w:val="auto"/>
                      <w:sz w:val="21"/>
                      <w:szCs w:val="21"/>
                      <w:highlight w:val="none"/>
                    </w:rPr>
                    <w:t>小时平均浓度的差值，当县（市、区）PM</w:t>
                  </w:r>
                  <w:r>
                    <w:rPr>
                      <w:rFonts w:hint="default"/>
                      <w:color w:val="auto"/>
                      <w:sz w:val="21"/>
                      <w:szCs w:val="21"/>
                      <w:highlight w:val="none"/>
                      <w:vertAlign w:val="subscript"/>
                    </w:rPr>
                    <w:t>10</w:t>
                  </w:r>
                  <w:r>
                    <w:rPr>
                      <w:rFonts w:hint="default"/>
                      <w:color w:val="auto"/>
                      <w:sz w:val="21"/>
                      <w:szCs w:val="21"/>
                      <w:highlight w:val="none"/>
                    </w:rPr>
                    <w:t>小时平均浓度值大于150ug/m</w:t>
                  </w:r>
                  <w:r>
                    <w:rPr>
                      <w:rFonts w:hint="default"/>
                      <w:color w:val="auto"/>
                      <w:sz w:val="21"/>
                      <w:szCs w:val="21"/>
                      <w:highlight w:val="none"/>
                      <w:vertAlign w:val="superscript"/>
                    </w:rPr>
                    <w:t>3</w:t>
                  </w:r>
                  <w:r>
                    <w:rPr>
                      <w:rFonts w:hint="default"/>
                      <w:color w:val="auto"/>
                      <w:sz w:val="21"/>
                      <w:szCs w:val="21"/>
                      <w:highlight w:val="none"/>
                    </w:rPr>
                    <w:t>时，以150ug/m</w:t>
                  </w:r>
                  <w:r>
                    <w:rPr>
                      <w:rFonts w:hint="default"/>
                      <w:color w:val="auto"/>
                      <w:sz w:val="21"/>
                      <w:szCs w:val="21"/>
                      <w:highlight w:val="none"/>
                      <w:vertAlign w:val="superscript"/>
                    </w:rPr>
                    <w:t>3</w:t>
                  </w:r>
                  <w:r>
                    <w:rPr>
                      <w:rFonts w:hint="default"/>
                      <w:color w:val="auto"/>
                      <w:sz w:val="21"/>
                      <w:szCs w:val="21"/>
                      <w:highlight w:val="none"/>
                    </w:rPr>
                    <w:t>计</w:t>
                  </w:r>
                </w:p>
              </w:tc>
            </w:tr>
          </w:tbl>
          <w:p w14:paraId="2B128231">
            <w:pPr>
              <w:keepNext w:val="0"/>
              <w:keepLines w:val="0"/>
              <w:widowControl/>
              <w:numPr>
                <w:ilvl w:val="0"/>
                <w:numId w:val="3"/>
              </w:numPr>
              <w:suppressLineNumbers w:val="0"/>
              <w:spacing w:before="0" w:beforeAutospacing="0" w:after="0" w:afterAutospacing="0" w:line="360" w:lineRule="auto"/>
              <w:ind w:left="0" w:right="0" w:firstLine="482" w:firstLineChars="200"/>
              <w:jc w:val="left"/>
              <w:rPr>
                <w:rFonts w:hint="default"/>
                <w:b/>
                <w:bCs/>
                <w:color w:val="auto"/>
                <w:sz w:val="24"/>
                <w:highlight w:val="none"/>
              </w:rPr>
            </w:pPr>
            <w:r>
              <w:rPr>
                <w:rFonts w:hint="eastAsia"/>
                <w:b/>
                <w:bCs/>
                <w:color w:val="auto"/>
                <w:sz w:val="24"/>
                <w:highlight w:val="none"/>
              </w:rPr>
              <w:t>运营期：</w:t>
            </w:r>
          </w:p>
          <w:p w14:paraId="00196CC5">
            <w:pPr>
              <w:keepNext w:val="0"/>
              <w:keepLines w:val="0"/>
              <w:widowControl/>
              <w:suppressLineNumbers w:val="0"/>
              <w:spacing w:before="0" w:beforeAutospacing="0" w:after="0" w:afterAutospacing="0" w:line="360" w:lineRule="auto"/>
              <w:ind w:left="0" w:right="0" w:firstLine="482" w:firstLineChars="200"/>
              <w:jc w:val="left"/>
              <w:rPr>
                <w:rFonts w:hint="default"/>
                <w:b/>
                <w:bCs/>
                <w:color w:val="auto"/>
                <w:sz w:val="24"/>
                <w:highlight w:val="none"/>
              </w:rPr>
            </w:pPr>
            <w:bookmarkStart w:id="6" w:name="_Toc86673828"/>
            <w:bookmarkStart w:id="7" w:name="_Toc86673977"/>
            <w:r>
              <w:rPr>
                <w:rFonts w:hint="default"/>
                <w:b/>
                <w:bCs/>
                <w:color w:val="auto"/>
                <w:sz w:val="24"/>
                <w:highlight w:val="none"/>
              </w:rPr>
              <w:t>1、废气</w:t>
            </w:r>
            <w:bookmarkEnd w:id="6"/>
            <w:bookmarkEnd w:id="7"/>
          </w:p>
          <w:p w14:paraId="4C69367B">
            <w:pPr>
              <w:pStyle w:val="11"/>
              <w:keepNext w:val="0"/>
              <w:keepLines w:val="0"/>
              <w:widowControl/>
              <w:suppressLineNumbers w:val="0"/>
              <w:spacing w:before="0" w:beforeAutospacing="0" w:after="0" w:afterAutospacing="0"/>
              <w:ind w:left="420" w:leftChars="200" w:right="0" w:firstLine="0" w:firstLineChars="0"/>
              <w:jc w:val="both"/>
              <w:rPr>
                <w:rFonts w:hint="default" w:hAnsi="Times New Roman"/>
                <w:color w:val="auto"/>
                <w:sz w:val="24"/>
                <w:szCs w:val="24"/>
                <w:highlight w:val="none"/>
              </w:rPr>
            </w:pPr>
            <w:r>
              <w:rPr>
                <w:rFonts w:hint="eastAsia" w:hAnsi="Times New Roman"/>
                <w:color w:val="auto"/>
                <w:sz w:val="24"/>
                <w:szCs w:val="24"/>
                <w:highlight w:val="none"/>
              </w:rPr>
              <w:t>（</w:t>
            </w:r>
            <w:r>
              <w:rPr>
                <w:rFonts w:hint="eastAsia" w:hAnsi="Times New Roman"/>
                <w:color w:val="auto"/>
                <w:sz w:val="24"/>
                <w:szCs w:val="24"/>
                <w:highlight w:val="none"/>
                <w:lang w:val="en-US" w:eastAsia="zh-CN"/>
              </w:rPr>
              <w:t>1</w:t>
            </w:r>
            <w:r>
              <w:rPr>
                <w:rFonts w:hint="eastAsia" w:hAnsi="Times New Roman"/>
                <w:color w:val="auto"/>
                <w:sz w:val="24"/>
                <w:szCs w:val="24"/>
                <w:highlight w:val="none"/>
              </w:rPr>
              <w:t>）无组织废气</w:t>
            </w:r>
          </w:p>
          <w:p w14:paraId="7B5BF295">
            <w:pPr>
              <w:pStyle w:val="11"/>
              <w:keepNext w:val="0"/>
              <w:keepLines w:val="0"/>
              <w:widowControl/>
              <w:suppressLineNumbers w:val="0"/>
              <w:spacing w:before="0" w:beforeAutospacing="0" w:after="0" w:afterAutospacing="0"/>
              <w:ind w:left="0" w:right="0" w:firstLine="480"/>
              <w:jc w:val="both"/>
              <w:rPr>
                <w:rFonts w:hint="default" w:hAnsi="Times New Roman"/>
                <w:color w:val="auto"/>
                <w:sz w:val="24"/>
                <w:szCs w:val="24"/>
                <w:highlight w:val="none"/>
              </w:rPr>
            </w:pPr>
            <w:r>
              <w:rPr>
                <w:rFonts w:hint="default" w:hAnsi="Times New Roman"/>
                <w:color w:val="auto"/>
                <w:sz w:val="24"/>
                <w:szCs w:val="24"/>
                <w:highlight w:val="none"/>
              </w:rPr>
              <w:t>无组织</w:t>
            </w:r>
            <w:r>
              <w:rPr>
                <w:rFonts w:hint="eastAsia" w:hAnsi="Times New Roman"/>
                <w:color w:val="auto"/>
                <w:sz w:val="24"/>
                <w:szCs w:val="24"/>
                <w:highlight w:val="none"/>
                <w:lang w:eastAsia="zh-CN"/>
              </w:rPr>
              <w:t>颗粒物</w:t>
            </w:r>
            <w:r>
              <w:rPr>
                <w:rFonts w:hint="default" w:hAnsi="Times New Roman"/>
                <w:color w:val="auto"/>
                <w:sz w:val="24"/>
                <w:szCs w:val="24"/>
                <w:highlight w:val="none"/>
              </w:rPr>
              <w:t>执行《</w:t>
            </w:r>
            <w:r>
              <w:rPr>
                <w:rFonts w:hint="eastAsia" w:hAnsi="Times New Roman"/>
                <w:color w:val="auto"/>
                <w:sz w:val="24"/>
                <w:szCs w:val="24"/>
                <w:highlight w:val="none"/>
                <w:lang w:eastAsia="zh-CN"/>
              </w:rPr>
              <w:t>大气</w:t>
            </w:r>
            <w:r>
              <w:rPr>
                <w:rFonts w:hint="default" w:hAnsi="Times New Roman"/>
                <w:color w:val="auto"/>
                <w:sz w:val="24"/>
                <w:szCs w:val="24"/>
                <w:highlight w:val="none"/>
              </w:rPr>
              <w:t>污染物</w:t>
            </w:r>
            <w:r>
              <w:rPr>
                <w:rFonts w:hint="eastAsia" w:hAnsi="Times New Roman"/>
                <w:color w:val="auto"/>
                <w:sz w:val="24"/>
                <w:szCs w:val="24"/>
                <w:highlight w:val="none"/>
                <w:lang w:eastAsia="zh-CN"/>
              </w:rPr>
              <w:t>综合</w:t>
            </w:r>
            <w:r>
              <w:rPr>
                <w:rFonts w:hint="default" w:hAnsi="Times New Roman"/>
                <w:color w:val="auto"/>
                <w:sz w:val="24"/>
                <w:szCs w:val="24"/>
                <w:highlight w:val="none"/>
              </w:rPr>
              <w:t xml:space="preserve">排放标准》（GB </w:t>
            </w:r>
            <w:r>
              <w:rPr>
                <w:rFonts w:hint="eastAsia" w:hAnsi="Times New Roman"/>
                <w:color w:val="auto"/>
                <w:sz w:val="24"/>
                <w:szCs w:val="24"/>
                <w:highlight w:val="none"/>
                <w:lang w:val="en-US" w:eastAsia="zh-CN"/>
              </w:rPr>
              <w:t>16297-1996</w:t>
            </w:r>
            <w:r>
              <w:rPr>
                <w:rFonts w:hint="default" w:hAnsi="Times New Roman"/>
                <w:color w:val="auto"/>
                <w:sz w:val="24"/>
                <w:szCs w:val="24"/>
                <w:highlight w:val="none"/>
              </w:rPr>
              <w:t>）表</w:t>
            </w:r>
            <w:r>
              <w:rPr>
                <w:rFonts w:hint="eastAsia" w:hAnsi="Times New Roman"/>
                <w:color w:val="auto"/>
                <w:sz w:val="24"/>
                <w:szCs w:val="24"/>
                <w:highlight w:val="none"/>
                <w:lang w:val="en-US" w:eastAsia="zh-CN"/>
              </w:rPr>
              <w:t>2</w:t>
            </w:r>
            <w:r>
              <w:rPr>
                <w:rFonts w:hint="eastAsia" w:hAnsi="Times New Roman"/>
                <w:color w:val="auto"/>
                <w:sz w:val="24"/>
                <w:szCs w:val="24"/>
                <w:highlight w:val="none"/>
              </w:rPr>
              <w:t>中无组织排放限值</w:t>
            </w:r>
            <w:r>
              <w:rPr>
                <w:rFonts w:hint="eastAsia" w:hAnsi="Times New Roman"/>
                <w:color w:val="auto"/>
                <w:sz w:val="24"/>
                <w:szCs w:val="24"/>
                <w:highlight w:val="none"/>
                <w:lang w:eastAsia="zh-CN"/>
              </w:rPr>
              <w:t>，以及</w:t>
            </w:r>
            <w:r>
              <w:rPr>
                <w:rFonts w:hint="eastAsia"/>
                <w:color w:val="auto"/>
                <w:spacing w:val="-1"/>
                <w:sz w:val="24"/>
                <w:highlight w:val="none"/>
              </w:rPr>
              <w:t>《秦皇岛市人民政府办公室关于执行钢铁等行业大气污染物排放特别要求的通知》（2021-10）中无组织排放浓度特别管控要求：0.3mg/m³</w:t>
            </w:r>
            <w:r>
              <w:rPr>
                <w:rFonts w:hint="default" w:hAnsi="Times New Roman"/>
                <w:color w:val="auto"/>
                <w:sz w:val="24"/>
                <w:szCs w:val="24"/>
                <w:highlight w:val="none"/>
              </w:rPr>
              <w:t>。</w:t>
            </w:r>
          </w:p>
          <w:p w14:paraId="11763F89">
            <w:pPr>
              <w:pStyle w:val="31"/>
              <w:keepNext/>
              <w:keepLines/>
              <w:widowControl w:val="0"/>
              <w:suppressLineNumbers w:val="0"/>
              <w:autoSpaceDE w:val="0"/>
              <w:autoSpaceDN w:val="0"/>
              <w:adjustRightInd w:val="0"/>
              <w:spacing w:before="0" w:beforeAutospacing="0" w:after="0" w:afterAutospacing="0"/>
              <w:ind w:left="482" w:right="0" w:hanging="482" w:hangingChars="200"/>
              <w:jc w:val="center"/>
              <w:rPr>
                <w:rFonts w:hint="default"/>
                <w:color w:val="auto"/>
                <w:kern w:val="2"/>
                <w:szCs w:val="24"/>
                <w:highlight w:val="none"/>
              </w:rPr>
            </w:pPr>
            <w:r>
              <w:rPr>
                <w:rFonts w:hint="eastAsia" w:ascii="Times New Roman" w:hAnsi="Times New Roman" w:cs="宋体"/>
                <w:b/>
                <w:color w:val="auto"/>
                <w:kern w:val="21"/>
                <w:szCs w:val="24"/>
                <w:highlight w:val="none"/>
                <w:lang w:bidi="ar"/>
              </w:rPr>
              <w:t>表</w:t>
            </w:r>
            <w:r>
              <w:rPr>
                <w:rFonts w:hint="default" w:ascii="Times New Roman" w:hAnsi="Times New Roman"/>
                <w:b/>
                <w:color w:val="auto"/>
                <w:kern w:val="21"/>
                <w:szCs w:val="24"/>
                <w:highlight w:val="none"/>
                <w:lang w:bidi="ar"/>
              </w:rPr>
              <w:t>3-</w:t>
            </w:r>
            <w:r>
              <w:rPr>
                <w:rFonts w:hint="eastAsia" w:ascii="Times New Roman" w:hAnsi="Times New Roman"/>
                <w:b/>
                <w:color w:val="auto"/>
                <w:kern w:val="21"/>
                <w:szCs w:val="24"/>
                <w:highlight w:val="none"/>
                <w:lang w:val="en-US" w:eastAsia="zh-CN" w:bidi="ar"/>
              </w:rPr>
              <w:t>8</w:t>
            </w:r>
            <w:r>
              <w:rPr>
                <w:rFonts w:hint="default" w:ascii="Times New Roman" w:hAnsi="Times New Roman"/>
                <w:b/>
                <w:color w:val="auto"/>
                <w:kern w:val="21"/>
                <w:szCs w:val="24"/>
                <w:highlight w:val="none"/>
                <w:lang w:bidi="ar"/>
              </w:rPr>
              <w:t xml:space="preserve">  </w:t>
            </w:r>
            <w:r>
              <w:rPr>
                <w:rFonts w:hint="eastAsia" w:ascii="Times New Roman" w:hAnsi="Times New Roman" w:cs="宋体"/>
                <w:b/>
                <w:color w:val="auto"/>
                <w:kern w:val="21"/>
                <w:szCs w:val="24"/>
                <w:highlight w:val="none"/>
                <w:lang w:bidi="ar"/>
              </w:rPr>
              <w:t>运营期</w:t>
            </w:r>
            <w:r>
              <w:rPr>
                <w:rFonts w:hint="eastAsia" w:ascii="Times New Roman" w:hAnsi="Times New Roman" w:cs="宋体"/>
                <w:b/>
                <w:color w:val="auto"/>
                <w:kern w:val="2"/>
                <w:szCs w:val="24"/>
                <w:highlight w:val="none"/>
                <w:lang w:bidi="ar"/>
              </w:rPr>
              <w:t>大气污染物排放标准一览表</w:t>
            </w:r>
            <w:r>
              <w:rPr>
                <w:rFonts w:hint="default" w:ascii="Times New Roman" w:hAnsi="Times New Roman"/>
                <w:b/>
                <w:color w:val="auto"/>
                <w:kern w:val="2"/>
                <w:szCs w:val="24"/>
                <w:highlight w:val="none"/>
                <w:lang w:bidi="ar"/>
              </w:rPr>
              <w:t xml:space="preserve">  </w:t>
            </w:r>
          </w:p>
          <w:tbl>
            <w:tblPr>
              <w:tblStyle w:val="36"/>
              <w:tblW w:w="494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9"/>
              <w:gridCol w:w="1009"/>
              <w:gridCol w:w="2035"/>
              <w:gridCol w:w="4152"/>
            </w:tblGrid>
            <w:tr w14:paraId="5F1CE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662" w:type="pct"/>
                  <w:tcBorders>
                    <w:top w:val="single" w:color="auto" w:sz="4" w:space="0"/>
                    <w:left w:val="single" w:color="auto" w:sz="4" w:space="0"/>
                    <w:bottom w:val="single" w:color="auto" w:sz="4" w:space="0"/>
                    <w:right w:val="single" w:color="auto" w:sz="4" w:space="0"/>
                  </w:tcBorders>
                  <w:shd w:val="clear" w:color="auto" w:fill="auto"/>
                  <w:vAlign w:val="center"/>
                </w:tcPr>
                <w:p w14:paraId="00701290">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s="宋体"/>
                      <w:color w:val="auto"/>
                      <w:szCs w:val="21"/>
                      <w:highlight w:val="none"/>
                      <w:lang w:bidi="ar"/>
                    </w:rPr>
                    <w:t>污染源</w:t>
                  </w:r>
                </w:p>
              </w:tc>
              <w:tc>
                <w:tcPr>
                  <w:tcW w:w="608" w:type="pct"/>
                  <w:tcBorders>
                    <w:top w:val="single" w:color="auto" w:sz="4" w:space="0"/>
                    <w:left w:val="single" w:color="auto" w:sz="4" w:space="0"/>
                    <w:bottom w:val="single" w:color="auto" w:sz="4" w:space="0"/>
                    <w:right w:val="single" w:color="auto" w:sz="4" w:space="0"/>
                  </w:tcBorders>
                  <w:shd w:val="clear" w:color="auto" w:fill="auto"/>
                  <w:vAlign w:val="center"/>
                </w:tcPr>
                <w:p w14:paraId="6684BCBB">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s="宋体"/>
                      <w:color w:val="auto"/>
                      <w:szCs w:val="21"/>
                      <w:highlight w:val="none"/>
                      <w:lang w:bidi="ar"/>
                    </w:rPr>
                    <w:t>污染物</w:t>
                  </w:r>
                </w:p>
              </w:tc>
              <w:tc>
                <w:tcPr>
                  <w:tcW w:w="1226" w:type="pct"/>
                  <w:tcBorders>
                    <w:top w:val="single" w:color="auto" w:sz="4" w:space="0"/>
                    <w:left w:val="single" w:color="auto" w:sz="4" w:space="0"/>
                    <w:bottom w:val="single" w:color="auto" w:sz="4" w:space="0"/>
                    <w:right w:val="single" w:color="auto" w:sz="4" w:space="0"/>
                  </w:tcBorders>
                  <w:shd w:val="clear" w:color="auto" w:fill="auto"/>
                  <w:vAlign w:val="center"/>
                </w:tcPr>
                <w:p w14:paraId="0D494866">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排放控制要求</w:t>
                  </w:r>
                </w:p>
              </w:tc>
              <w:tc>
                <w:tcPr>
                  <w:tcW w:w="2502" w:type="pct"/>
                  <w:tcBorders>
                    <w:top w:val="single" w:color="auto" w:sz="4" w:space="0"/>
                    <w:left w:val="single" w:color="auto" w:sz="4" w:space="0"/>
                    <w:bottom w:val="single" w:color="auto" w:sz="4" w:space="0"/>
                    <w:right w:val="single" w:color="auto" w:sz="4" w:space="0"/>
                  </w:tcBorders>
                  <w:shd w:val="clear" w:color="auto" w:fill="auto"/>
                  <w:vAlign w:val="center"/>
                </w:tcPr>
                <w:p w14:paraId="4F6B36AA">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s="宋体"/>
                      <w:color w:val="auto"/>
                      <w:szCs w:val="21"/>
                      <w:highlight w:val="none"/>
                      <w:lang w:bidi="ar"/>
                    </w:rPr>
                    <w:t>执行标准</w:t>
                  </w:r>
                </w:p>
              </w:tc>
            </w:tr>
            <w:tr w14:paraId="06A72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4EE3D0B">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s="宋体"/>
                      <w:color w:val="auto"/>
                      <w:szCs w:val="21"/>
                      <w:highlight w:val="none"/>
                      <w:lang w:bidi="ar"/>
                    </w:rPr>
                    <w:t>厂界</w:t>
                  </w:r>
                  <w:r>
                    <w:rPr>
                      <w:rFonts w:hint="eastAsia" w:cs="宋体"/>
                      <w:color w:val="auto"/>
                      <w:szCs w:val="21"/>
                      <w:highlight w:val="none"/>
                      <w:lang w:val="en-US" w:eastAsia="zh-CN" w:bidi="ar"/>
                    </w:rPr>
                    <w:t>无组织</w:t>
                  </w:r>
                  <w:r>
                    <w:rPr>
                      <w:rFonts w:hint="eastAsia" w:cs="宋体"/>
                      <w:color w:val="auto"/>
                      <w:szCs w:val="21"/>
                      <w:highlight w:val="none"/>
                      <w:lang w:bidi="ar"/>
                    </w:rPr>
                    <w:t>废气</w:t>
                  </w:r>
                </w:p>
              </w:tc>
              <w:tc>
                <w:tcPr>
                  <w:tcW w:w="608" w:type="pct"/>
                  <w:vMerge w:val="restart"/>
                  <w:tcBorders>
                    <w:top w:val="single" w:color="auto" w:sz="4" w:space="0"/>
                    <w:left w:val="single" w:color="auto" w:sz="4" w:space="0"/>
                    <w:right w:val="single" w:color="auto" w:sz="4" w:space="0"/>
                  </w:tcBorders>
                  <w:shd w:val="clear" w:color="auto" w:fill="auto"/>
                  <w:vAlign w:val="center"/>
                </w:tcPr>
                <w:p w14:paraId="72A8D7BD">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宋体"/>
                      <w:color w:val="auto"/>
                      <w:szCs w:val="21"/>
                      <w:highlight w:val="none"/>
                      <w:lang w:bidi="ar"/>
                    </w:rPr>
                    <w:t>颗粒物</w:t>
                  </w:r>
                </w:p>
              </w:tc>
              <w:tc>
                <w:tcPr>
                  <w:tcW w:w="1226" w:type="pct"/>
                  <w:tcBorders>
                    <w:top w:val="single" w:color="auto" w:sz="4" w:space="0"/>
                    <w:left w:val="single" w:color="auto" w:sz="4" w:space="0"/>
                    <w:bottom w:val="single" w:color="auto" w:sz="4" w:space="0"/>
                    <w:right w:val="single" w:color="auto" w:sz="4" w:space="0"/>
                  </w:tcBorders>
                  <w:shd w:val="clear" w:color="auto" w:fill="auto"/>
                  <w:vAlign w:val="center"/>
                </w:tcPr>
                <w:p w14:paraId="52695A88">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highlight w:val="none"/>
                      <w:lang w:val="en-US" w:eastAsia="zh-CN" w:bidi="ar"/>
                    </w:rPr>
                  </w:pPr>
                  <w:r>
                    <w:rPr>
                      <w:rFonts w:hint="eastAsia"/>
                      <w:color w:val="auto"/>
                      <w:szCs w:val="21"/>
                      <w:highlight w:val="none"/>
                      <w:lang w:val="en-US" w:eastAsia="zh-CN" w:bidi="ar"/>
                    </w:rPr>
                    <w:t>1.0 mg/</w:t>
                  </w:r>
                  <w:r>
                    <w:rPr>
                      <w:rFonts w:hint="eastAsia"/>
                      <w:color w:val="auto"/>
                      <w:szCs w:val="21"/>
                      <w:highlight w:val="none"/>
                      <w:lang w:bidi="ar"/>
                    </w:rPr>
                    <w:t>m</w:t>
                  </w:r>
                  <w:r>
                    <w:rPr>
                      <w:rFonts w:hint="eastAsia"/>
                      <w:color w:val="auto"/>
                      <w:szCs w:val="21"/>
                      <w:highlight w:val="none"/>
                      <w:vertAlign w:val="superscript"/>
                      <w:lang w:bidi="ar"/>
                    </w:rPr>
                    <w:t>3</w:t>
                  </w:r>
                </w:p>
              </w:tc>
              <w:tc>
                <w:tcPr>
                  <w:tcW w:w="2502" w:type="pct"/>
                  <w:tcBorders>
                    <w:left w:val="single" w:color="auto" w:sz="4" w:space="0"/>
                    <w:bottom w:val="single" w:color="auto" w:sz="4" w:space="0"/>
                    <w:right w:val="single" w:color="auto" w:sz="4" w:space="0"/>
                  </w:tcBorders>
                  <w:shd w:val="clear" w:color="auto" w:fill="auto"/>
                  <w:vAlign w:val="center"/>
                </w:tcPr>
                <w:p w14:paraId="2EC2EA66">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lang w:bidi="ar"/>
                    </w:rPr>
                  </w:pPr>
                  <w:r>
                    <w:rPr>
                      <w:rFonts w:hint="default"/>
                      <w:color w:val="auto"/>
                      <w:sz w:val="21"/>
                      <w:szCs w:val="21"/>
                      <w:highlight w:val="none"/>
                      <w:lang w:bidi="ar"/>
                    </w:rPr>
                    <w:t>《</w:t>
                  </w:r>
                  <w:r>
                    <w:rPr>
                      <w:rFonts w:hint="eastAsia"/>
                      <w:color w:val="auto"/>
                      <w:sz w:val="21"/>
                      <w:szCs w:val="21"/>
                      <w:highlight w:val="none"/>
                      <w:lang w:eastAsia="zh-CN" w:bidi="ar"/>
                    </w:rPr>
                    <w:t>大气</w:t>
                  </w:r>
                  <w:r>
                    <w:rPr>
                      <w:rFonts w:hint="default"/>
                      <w:color w:val="auto"/>
                      <w:sz w:val="21"/>
                      <w:szCs w:val="21"/>
                      <w:highlight w:val="none"/>
                      <w:lang w:bidi="ar"/>
                    </w:rPr>
                    <w:t>污染物</w:t>
                  </w:r>
                  <w:r>
                    <w:rPr>
                      <w:rFonts w:hint="eastAsia"/>
                      <w:color w:val="auto"/>
                      <w:sz w:val="21"/>
                      <w:szCs w:val="21"/>
                      <w:highlight w:val="none"/>
                      <w:lang w:eastAsia="zh-CN" w:bidi="ar"/>
                    </w:rPr>
                    <w:t>综合</w:t>
                  </w:r>
                  <w:r>
                    <w:rPr>
                      <w:rFonts w:hint="default"/>
                      <w:color w:val="auto"/>
                      <w:sz w:val="21"/>
                      <w:szCs w:val="21"/>
                      <w:highlight w:val="none"/>
                      <w:lang w:bidi="ar"/>
                    </w:rPr>
                    <w:t xml:space="preserve">排放标准》（GB </w:t>
                  </w:r>
                  <w:r>
                    <w:rPr>
                      <w:rFonts w:hint="eastAsia"/>
                      <w:color w:val="auto"/>
                      <w:sz w:val="21"/>
                      <w:szCs w:val="21"/>
                      <w:highlight w:val="none"/>
                      <w:lang w:val="en-US" w:eastAsia="zh-CN" w:bidi="ar"/>
                    </w:rPr>
                    <w:t>19267-1996</w:t>
                  </w:r>
                  <w:r>
                    <w:rPr>
                      <w:rFonts w:hint="default"/>
                      <w:color w:val="auto"/>
                      <w:sz w:val="21"/>
                      <w:szCs w:val="21"/>
                      <w:highlight w:val="none"/>
                      <w:lang w:bidi="ar"/>
                    </w:rPr>
                    <w:t>）表</w:t>
                  </w:r>
                  <w:r>
                    <w:rPr>
                      <w:rFonts w:hint="eastAsia"/>
                      <w:color w:val="auto"/>
                      <w:sz w:val="21"/>
                      <w:szCs w:val="21"/>
                      <w:highlight w:val="none"/>
                      <w:lang w:val="en-US" w:eastAsia="zh-CN" w:bidi="ar"/>
                    </w:rPr>
                    <w:t>2</w:t>
                  </w:r>
                  <w:r>
                    <w:rPr>
                      <w:rFonts w:hint="eastAsia"/>
                      <w:color w:val="auto"/>
                      <w:sz w:val="21"/>
                      <w:szCs w:val="21"/>
                      <w:highlight w:val="none"/>
                      <w:lang w:bidi="ar"/>
                    </w:rPr>
                    <w:t>中无组织排放限值</w:t>
                  </w:r>
                </w:p>
              </w:tc>
            </w:tr>
            <w:tr w14:paraId="5C295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2" w:type="pct"/>
                  <w:vMerge w:val="continue"/>
                  <w:tcBorders>
                    <w:left w:val="single" w:color="auto" w:sz="4" w:space="0"/>
                    <w:right w:val="single" w:color="auto" w:sz="4" w:space="0"/>
                  </w:tcBorders>
                  <w:shd w:val="clear" w:color="auto" w:fill="auto"/>
                  <w:vAlign w:val="center"/>
                </w:tcPr>
                <w:p w14:paraId="2BCD6394">
                  <w:pPr>
                    <w:keepNext w:val="0"/>
                    <w:keepLines w:val="0"/>
                    <w:suppressLineNumbers w:val="0"/>
                    <w:adjustRightInd w:val="0"/>
                    <w:snapToGrid w:val="0"/>
                    <w:spacing w:before="0" w:beforeAutospacing="0" w:after="0" w:afterAutospacing="0"/>
                    <w:ind w:left="0" w:right="0"/>
                    <w:jc w:val="center"/>
                    <w:rPr>
                      <w:rFonts w:hint="eastAsia" w:cs="宋体"/>
                      <w:color w:val="auto"/>
                      <w:szCs w:val="21"/>
                      <w:highlight w:val="none"/>
                      <w:lang w:bidi="ar"/>
                    </w:rPr>
                  </w:pPr>
                </w:p>
              </w:tc>
              <w:tc>
                <w:tcPr>
                  <w:tcW w:w="608" w:type="pct"/>
                  <w:vMerge w:val="continue"/>
                  <w:tcBorders>
                    <w:left w:val="single" w:color="auto" w:sz="4" w:space="0"/>
                    <w:bottom w:val="single" w:color="auto" w:sz="4" w:space="0"/>
                    <w:right w:val="single" w:color="auto" w:sz="4" w:space="0"/>
                  </w:tcBorders>
                  <w:shd w:val="clear" w:color="auto" w:fill="auto"/>
                  <w:vAlign w:val="center"/>
                </w:tcPr>
                <w:p w14:paraId="4F8622AA">
                  <w:pPr>
                    <w:keepNext w:val="0"/>
                    <w:keepLines w:val="0"/>
                    <w:suppressLineNumbers w:val="0"/>
                    <w:adjustRightInd w:val="0"/>
                    <w:snapToGrid w:val="0"/>
                    <w:spacing w:before="0" w:beforeAutospacing="0" w:after="0" w:afterAutospacing="0"/>
                    <w:ind w:left="0" w:leftChars="0" w:right="0" w:rightChars="0"/>
                    <w:jc w:val="center"/>
                    <w:rPr>
                      <w:rFonts w:hint="eastAsia" w:cs="宋体"/>
                      <w:color w:val="auto"/>
                      <w:szCs w:val="21"/>
                      <w:highlight w:val="none"/>
                      <w:lang w:bidi="ar"/>
                    </w:rPr>
                  </w:pPr>
                </w:p>
              </w:tc>
              <w:tc>
                <w:tcPr>
                  <w:tcW w:w="1226" w:type="pct"/>
                  <w:tcBorders>
                    <w:top w:val="single" w:color="auto" w:sz="4" w:space="0"/>
                    <w:left w:val="single" w:color="auto" w:sz="4" w:space="0"/>
                    <w:bottom w:val="single" w:color="auto" w:sz="4" w:space="0"/>
                    <w:right w:val="single" w:color="auto" w:sz="4" w:space="0"/>
                  </w:tcBorders>
                  <w:shd w:val="clear" w:color="auto" w:fill="auto"/>
                  <w:vAlign w:val="center"/>
                </w:tcPr>
                <w:p w14:paraId="694061DA">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
                    </w:rPr>
                  </w:pPr>
                  <w:r>
                    <w:rPr>
                      <w:rFonts w:hint="eastAsia"/>
                      <w:color w:val="auto"/>
                      <w:szCs w:val="21"/>
                      <w:highlight w:val="none"/>
                      <w:lang w:bidi="ar"/>
                    </w:rPr>
                    <w:t>0.3</w:t>
                  </w:r>
                  <w:r>
                    <w:rPr>
                      <w:rFonts w:hint="eastAsia"/>
                      <w:color w:val="auto"/>
                      <w:szCs w:val="21"/>
                      <w:highlight w:val="none"/>
                      <w:lang w:val="en-US" w:eastAsia="zh-CN" w:bidi="ar"/>
                    </w:rPr>
                    <w:t xml:space="preserve"> </w:t>
                  </w:r>
                  <w:r>
                    <w:rPr>
                      <w:rFonts w:hint="eastAsia"/>
                      <w:color w:val="auto"/>
                      <w:szCs w:val="21"/>
                      <w:highlight w:val="none"/>
                      <w:lang w:bidi="ar"/>
                    </w:rPr>
                    <w:t>mg/m</w:t>
                  </w:r>
                  <w:r>
                    <w:rPr>
                      <w:rFonts w:hint="eastAsia"/>
                      <w:color w:val="auto"/>
                      <w:szCs w:val="21"/>
                      <w:highlight w:val="none"/>
                      <w:vertAlign w:val="superscript"/>
                      <w:lang w:bidi="ar"/>
                    </w:rPr>
                    <w:t>3</w:t>
                  </w:r>
                </w:p>
              </w:tc>
              <w:tc>
                <w:tcPr>
                  <w:tcW w:w="2502" w:type="pct"/>
                  <w:tcBorders>
                    <w:left w:val="single" w:color="auto" w:sz="4" w:space="0"/>
                    <w:bottom w:val="single" w:color="auto" w:sz="4" w:space="0"/>
                    <w:right w:val="single" w:color="auto" w:sz="4" w:space="0"/>
                  </w:tcBorders>
                  <w:shd w:val="clear" w:color="auto" w:fill="auto"/>
                  <w:vAlign w:val="center"/>
                </w:tcPr>
                <w:p w14:paraId="34F9B16A">
                  <w:pPr>
                    <w:keepNext/>
                    <w:keepLines/>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eastAsia"/>
                      <w:bCs/>
                      <w:color w:val="auto"/>
                      <w:sz w:val="21"/>
                      <w:szCs w:val="21"/>
                      <w:highlight w:val="none"/>
                    </w:rPr>
                    <w:t>《秦皇岛市人民政府办公室关于执行钢铁等行业大气污染物排放特别要求的通知》</w:t>
                  </w:r>
                  <w:r>
                    <w:rPr>
                      <w:rFonts w:hint="eastAsia"/>
                      <w:color w:val="auto"/>
                      <w:spacing w:val="-1"/>
                      <w:sz w:val="21"/>
                      <w:szCs w:val="21"/>
                      <w:highlight w:val="none"/>
                    </w:rPr>
                    <w:t>（2021-10）</w:t>
                  </w:r>
                </w:p>
              </w:tc>
            </w:tr>
          </w:tbl>
          <w:p w14:paraId="393D6B22">
            <w:pPr>
              <w:keepNext w:val="0"/>
              <w:keepLines w:val="0"/>
              <w:widowControl/>
              <w:suppressLineNumbers w:val="0"/>
              <w:spacing w:before="0" w:beforeAutospacing="0" w:after="0" w:afterAutospacing="0" w:line="360" w:lineRule="auto"/>
              <w:ind w:left="0" w:right="0" w:firstLine="482" w:firstLineChars="200"/>
              <w:jc w:val="left"/>
              <w:rPr>
                <w:rFonts w:hint="default"/>
                <w:b/>
                <w:bCs/>
                <w:color w:val="auto"/>
                <w:sz w:val="24"/>
                <w:highlight w:val="none"/>
              </w:rPr>
            </w:pPr>
            <w:r>
              <w:rPr>
                <w:rFonts w:hint="eastAsia"/>
                <w:b/>
                <w:bCs/>
                <w:color w:val="auto"/>
                <w:sz w:val="24"/>
                <w:highlight w:val="none"/>
              </w:rPr>
              <w:t>2、废水</w:t>
            </w:r>
          </w:p>
          <w:p w14:paraId="0443C402">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废水执行《污水综合排放标准》（GB 8978-1996）表4三级标准及</w:t>
            </w:r>
            <w:r>
              <w:rPr>
                <w:rFonts w:hint="eastAsia"/>
                <w:color w:val="auto"/>
                <w:sz w:val="24"/>
                <w:highlight w:val="none"/>
                <w:lang w:val="en-US" w:eastAsia="zh-CN"/>
              </w:rPr>
              <w:t>秦皇岛市第三</w:t>
            </w:r>
            <w:r>
              <w:rPr>
                <w:rFonts w:hint="eastAsia"/>
                <w:color w:val="auto"/>
                <w:sz w:val="24"/>
                <w:highlight w:val="none"/>
              </w:rPr>
              <w:t>污水处理厂</w:t>
            </w:r>
            <w:r>
              <w:rPr>
                <w:rFonts w:hint="default"/>
                <w:color w:val="auto"/>
                <w:sz w:val="24"/>
                <w:highlight w:val="none"/>
              </w:rPr>
              <w:t>收水标准。</w:t>
            </w:r>
          </w:p>
          <w:p w14:paraId="36C32D3C">
            <w:pPr>
              <w:keepNext w:val="0"/>
              <w:keepLines w:val="0"/>
              <w:suppressLineNumbers w:val="0"/>
              <w:adjustRightInd w:val="0"/>
              <w:snapToGrid w:val="0"/>
              <w:spacing w:before="0" w:beforeAutospacing="0" w:after="0" w:afterAutospacing="0" w:line="480" w:lineRule="atLeast"/>
              <w:ind w:left="0" w:right="0"/>
              <w:jc w:val="center"/>
              <w:rPr>
                <w:rFonts w:hint="default"/>
                <w:b/>
                <w:snapToGrid w:val="0"/>
                <w:color w:val="auto"/>
                <w:sz w:val="24"/>
                <w:highlight w:val="none"/>
              </w:rPr>
            </w:pPr>
            <w:r>
              <w:rPr>
                <w:rFonts w:hint="eastAsia"/>
                <w:b/>
                <w:snapToGrid w:val="0"/>
                <w:color w:val="auto"/>
                <w:sz w:val="24"/>
                <w:highlight w:val="none"/>
              </w:rPr>
              <w:t>表3-</w:t>
            </w:r>
            <w:r>
              <w:rPr>
                <w:rFonts w:hint="eastAsia"/>
                <w:b/>
                <w:snapToGrid w:val="0"/>
                <w:color w:val="auto"/>
                <w:sz w:val="24"/>
                <w:highlight w:val="none"/>
                <w:lang w:val="en-US" w:eastAsia="zh-CN"/>
              </w:rPr>
              <w:t>9</w:t>
            </w:r>
            <w:r>
              <w:rPr>
                <w:rFonts w:hint="eastAsia"/>
                <w:b/>
                <w:snapToGrid w:val="0"/>
                <w:color w:val="auto"/>
                <w:sz w:val="24"/>
                <w:highlight w:val="none"/>
              </w:rPr>
              <w:t xml:space="preserve">  废水水质标准限值</w:t>
            </w:r>
          </w:p>
          <w:tbl>
            <w:tblPr>
              <w:tblStyle w:val="35"/>
              <w:tblW w:w="8338" w:type="dxa"/>
              <w:jc w:val="center"/>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Layout w:type="fixed"/>
              <w:tblCellMar>
                <w:top w:w="15" w:type="dxa"/>
                <w:left w:w="15" w:type="dxa"/>
                <w:bottom w:w="15" w:type="dxa"/>
                <w:right w:w="15" w:type="dxa"/>
              </w:tblCellMar>
            </w:tblPr>
            <w:tblGrid>
              <w:gridCol w:w="1834"/>
              <w:gridCol w:w="2510"/>
              <w:gridCol w:w="1659"/>
              <w:gridCol w:w="2335"/>
            </w:tblGrid>
            <w:tr w14:paraId="6299AFBA">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15" w:type="dxa"/>
                  <w:left w:w="15" w:type="dxa"/>
                  <w:bottom w:w="15" w:type="dxa"/>
                  <w:right w:w="15" w:type="dxa"/>
                </w:tblCellMar>
              </w:tblPrEx>
              <w:trPr>
                <w:trHeight w:val="397" w:hRule="atLeast"/>
                <w:jc w:val="center"/>
              </w:trPr>
              <w:tc>
                <w:tcPr>
                  <w:tcW w:w="1834" w:type="dxa"/>
                  <w:tcBorders>
                    <w:top w:val="single" w:color="auto" w:sz="4" w:space="0"/>
                    <w:left w:val="single" w:color="auto" w:sz="0" w:space="0"/>
                    <w:bottom w:val="single" w:color="auto" w:sz="4" w:space="0"/>
                    <w:right w:val="single" w:color="auto" w:sz="4" w:space="0"/>
                    <w:tl2br w:val="nil"/>
                    <w:tr2bl w:val="nil"/>
                  </w:tcBorders>
                  <w:noWrap w:val="0"/>
                  <w:vAlign w:val="center"/>
                </w:tcPr>
                <w:p w14:paraId="5515163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eastAsia="宋体" w:cs="Times New Roman"/>
                      <w:color w:val="auto"/>
                      <w:szCs w:val="21"/>
                      <w:highlight w:val="none"/>
                      <w:lang w:val="en-US" w:eastAsia="zh-CN" w:bidi="ar"/>
                    </w:rPr>
                    <w:t>项目</w:t>
                  </w:r>
                </w:p>
              </w:tc>
              <w:tc>
                <w:tcPr>
                  <w:tcW w:w="25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AF70EA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eastAsia="宋体" w:cs="Times New Roman"/>
                      <w:color w:val="auto"/>
                      <w:szCs w:val="21"/>
                      <w:highlight w:val="none"/>
                      <w:lang w:val="en-US" w:eastAsia="zh-CN" w:bidi="ar"/>
                    </w:rPr>
                    <w:t>《污水综合排放标准》（GB 8978-1996）表4三级标准</w:t>
                  </w:r>
                </w:p>
              </w:tc>
              <w:tc>
                <w:tcPr>
                  <w:tcW w:w="16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3777BD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eastAsia="宋体" w:cs="Times New Roman"/>
                      <w:color w:val="auto"/>
                      <w:szCs w:val="21"/>
                      <w:highlight w:val="none"/>
                      <w:lang w:val="en-US" w:eastAsia="zh-CN" w:bidi="ar"/>
                    </w:rPr>
                    <w:t>污水处理厂进水水质</w:t>
                  </w:r>
                  <w:r>
                    <w:rPr>
                      <w:rFonts w:hint="eastAsia" w:cs="Times New Roman"/>
                      <w:color w:val="auto"/>
                      <w:szCs w:val="21"/>
                      <w:highlight w:val="none"/>
                      <w:lang w:val="en-US" w:eastAsia="zh-CN" w:bidi="ar"/>
                    </w:rPr>
                    <w:t>要求</w:t>
                  </w:r>
                </w:p>
              </w:tc>
              <w:tc>
                <w:tcPr>
                  <w:tcW w:w="23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E83E13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eastAsia="宋体" w:cs="Times New Roman"/>
                      <w:color w:val="auto"/>
                      <w:szCs w:val="21"/>
                      <w:highlight w:val="none"/>
                      <w:lang w:val="en-US" w:eastAsia="zh-CN" w:bidi="ar"/>
                    </w:rPr>
                    <w:t>本项目执行标准值</w:t>
                  </w:r>
                </w:p>
              </w:tc>
            </w:tr>
            <w:tr w14:paraId="095AEABF">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15" w:type="dxa"/>
                  <w:left w:w="15" w:type="dxa"/>
                  <w:bottom w:w="15" w:type="dxa"/>
                  <w:right w:w="15" w:type="dxa"/>
                </w:tblCellMar>
              </w:tblPrEx>
              <w:trPr>
                <w:trHeight w:val="340" w:hRule="atLeast"/>
                <w:jc w:val="center"/>
              </w:trPr>
              <w:tc>
                <w:tcPr>
                  <w:tcW w:w="183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35CB5B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eastAsia="宋体" w:cs="Times New Roman"/>
                      <w:color w:val="auto"/>
                      <w:szCs w:val="21"/>
                      <w:highlight w:val="none"/>
                      <w:lang w:val="en-US" w:eastAsia="zh-CN" w:bidi="ar"/>
                    </w:rPr>
                    <w:t>CODcr</w:t>
                  </w:r>
                </w:p>
              </w:tc>
              <w:tc>
                <w:tcPr>
                  <w:tcW w:w="25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A9556D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eastAsia="宋体" w:cs="Times New Roman"/>
                      <w:color w:val="auto"/>
                      <w:szCs w:val="21"/>
                      <w:highlight w:val="none"/>
                      <w:lang w:val="en-US" w:eastAsia="zh-CN" w:bidi="ar"/>
                    </w:rPr>
                    <w:t>500</w:t>
                  </w:r>
                </w:p>
              </w:tc>
              <w:tc>
                <w:tcPr>
                  <w:tcW w:w="16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F77866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eastAsia" w:cs="Times New Roman"/>
                      <w:color w:val="auto"/>
                      <w:szCs w:val="21"/>
                      <w:highlight w:val="none"/>
                      <w:lang w:val="en-US" w:eastAsia="zh-CN" w:bidi="ar"/>
                    </w:rPr>
                    <w:t>450</w:t>
                  </w:r>
                </w:p>
              </w:tc>
              <w:tc>
                <w:tcPr>
                  <w:tcW w:w="23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5D88D8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eastAsia" w:cs="Times New Roman"/>
                      <w:color w:val="auto"/>
                      <w:szCs w:val="21"/>
                      <w:highlight w:val="none"/>
                      <w:lang w:val="en-US" w:eastAsia="zh-CN" w:bidi="ar"/>
                    </w:rPr>
                    <w:t>450</w:t>
                  </w:r>
                </w:p>
              </w:tc>
            </w:tr>
            <w:tr w14:paraId="40F793AD">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15" w:type="dxa"/>
                  <w:left w:w="15" w:type="dxa"/>
                  <w:bottom w:w="15" w:type="dxa"/>
                  <w:right w:w="15" w:type="dxa"/>
                </w:tblCellMar>
              </w:tblPrEx>
              <w:trPr>
                <w:trHeight w:val="340" w:hRule="atLeast"/>
                <w:jc w:val="center"/>
              </w:trPr>
              <w:tc>
                <w:tcPr>
                  <w:tcW w:w="183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F57314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eastAsia" w:ascii="Times New Roman" w:hAnsi="Times New Roman" w:eastAsia="宋体" w:cs="Times New Roman"/>
                      <w:color w:val="auto"/>
                      <w:szCs w:val="21"/>
                      <w:highlight w:val="none"/>
                      <w:lang w:val="en-US" w:eastAsia="zh-CN" w:bidi="ar"/>
                    </w:rPr>
                    <w:t>BOD</w:t>
                  </w:r>
                  <w:r>
                    <w:rPr>
                      <w:rFonts w:hint="eastAsia" w:ascii="Times New Roman" w:hAnsi="Times New Roman" w:eastAsia="宋体" w:cs="Times New Roman"/>
                      <w:color w:val="auto"/>
                      <w:szCs w:val="21"/>
                      <w:highlight w:val="none"/>
                      <w:vertAlign w:val="subscript"/>
                      <w:lang w:val="en-US" w:eastAsia="zh-CN" w:bidi="ar"/>
                    </w:rPr>
                    <w:t>5</w:t>
                  </w:r>
                </w:p>
              </w:tc>
              <w:tc>
                <w:tcPr>
                  <w:tcW w:w="25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3D905B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eastAsia" w:ascii="Times New Roman" w:hAnsi="Times New Roman" w:eastAsia="宋体" w:cs="Times New Roman"/>
                      <w:color w:val="auto"/>
                      <w:szCs w:val="21"/>
                      <w:highlight w:val="none"/>
                      <w:lang w:val="en-US" w:eastAsia="zh-CN" w:bidi="ar"/>
                    </w:rPr>
                    <w:t>300</w:t>
                  </w:r>
                </w:p>
              </w:tc>
              <w:tc>
                <w:tcPr>
                  <w:tcW w:w="16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E72049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eastAsia" w:cs="Times New Roman"/>
                      <w:color w:val="auto"/>
                      <w:szCs w:val="21"/>
                      <w:highlight w:val="none"/>
                      <w:lang w:val="en-US" w:eastAsia="zh-CN" w:bidi="ar"/>
                    </w:rPr>
                    <w:t>200</w:t>
                  </w:r>
                </w:p>
              </w:tc>
              <w:tc>
                <w:tcPr>
                  <w:tcW w:w="23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B6CC73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eastAsia" w:cs="Times New Roman"/>
                      <w:color w:val="auto"/>
                      <w:szCs w:val="21"/>
                      <w:highlight w:val="none"/>
                      <w:lang w:val="en-US" w:eastAsia="zh-CN" w:bidi="ar"/>
                    </w:rPr>
                    <w:t>200</w:t>
                  </w:r>
                </w:p>
              </w:tc>
            </w:tr>
            <w:tr w14:paraId="25BD19A5">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15" w:type="dxa"/>
                  <w:left w:w="15" w:type="dxa"/>
                  <w:bottom w:w="15" w:type="dxa"/>
                  <w:right w:w="15" w:type="dxa"/>
                </w:tblCellMar>
              </w:tblPrEx>
              <w:trPr>
                <w:trHeight w:val="340" w:hRule="atLeast"/>
                <w:jc w:val="center"/>
              </w:trPr>
              <w:tc>
                <w:tcPr>
                  <w:tcW w:w="183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0938DE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eastAsia="宋体" w:cs="Times New Roman"/>
                      <w:color w:val="auto"/>
                      <w:szCs w:val="21"/>
                      <w:highlight w:val="none"/>
                      <w:lang w:val="en-US" w:eastAsia="zh-CN" w:bidi="ar"/>
                    </w:rPr>
                    <w:t>SS</w:t>
                  </w:r>
                </w:p>
              </w:tc>
              <w:tc>
                <w:tcPr>
                  <w:tcW w:w="25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B667B3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eastAsia="宋体" w:cs="Times New Roman"/>
                      <w:color w:val="auto"/>
                      <w:szCs w:val="21"/>
                      <w:highlight w:val="none"/>
                      <w:lang w:val="en-US" w:eastAsia="zh-CN" w:bidi="ar"/>
                    </w:rPr>
                    <w:t>400</w:t>
                  </w:r>
                </w:p>
              </w:tc>
              <w:tc>
                <w:tcPr>
                  <w:tcW w:w="16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9F2224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eastAsia" w:cs="Times New Roman"/>
                      <w:color w:val="auto"/>
                      <w:szCs w:val="21"/>
                      <w:highlight w:val="none"/>
                      <w:lang w:val="en-US" w:eastAsia="zh-CN" w:bidi="ar"/>
                    </w:rPr>
                    <w:t>275</w:t>
                  </w:r>
                </w:p>
              </w:tc>
              <w:tc>
                <w:tcPr>
                  <w:tcW w:w="23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7351FD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eastAsia" w:cs="Times New Roman"/>
                      <w:color w:val="auto"/>
                      <w:szCs w:val="21"/>
                      <w:highlight w:val="none"/>
                      <w:lang w:val="en-US" w:eastAsia="zh-CN" w:bidi="ar"/>
                    </w:rPr>
                    <w:t>275</w:t>
                  </w:r>
                </w:p>
              </w:tc>
            </w:tr>
            <w:tr w14:paraId="7815501F">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15" w:type="dxa"/>
                  <w:left w:w="15" w:type="dxa"/>
                  <w:bottom w:w="15" w:type="dxa"/>
                  <w:right w:w="15" w:type="dxa"/>
                </w:tblCellMar>
              </w:tblPrEx>
              <w:trPr>
                <w:trHeight w:val="340" w:hRule="atLeast"/>
                <w:jc w:val="center"/>
              </w:trPr>
              <w:tc>
                <w:tcPr>
                  <w:tcW w:w="183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3FD80A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eastAsia="宋体" w:cs="Times New Roman"/>
                      <w:color w:val="auto"/>
                      <w:szCs w:val="21"/>
                      <w:highlight w:val="none"/>
                      <w:lang w:val="en-US" w:eastAsia="zh-CN" w:bidi="ar"/>
                    </w:rPr>
                    <w:t>NH</w:t>
                  </w:r>
                  <w:r>
                    <w:rPr>
                      <w:rFonts w:hint="default" w:ascii="Times New Roman" w:hAnsi="Times New Roman" w:eastAsia="宋体" w:cs="Times New Roman"/>
                      <w:color w:val="auto"/>
                      <w:szCs w:val="21"/>
                      <w:highlight w:val="none"/>
                      <w:vertAlign w:val="subscript"/>
                      <w:lang w:val="en-US" w:eastAsia="zh-CN" w:bidi="ar"/>
                    </w:rPr>
                    <w:t>3</w:t>
                  </w:r>
                  <w:r>
                    <w:rPr>
                      <w:rFonts w:hint="default" w:ascii="Times New Roman" w:hAnsi="Times New Roman" w:eastAsia="宋体" w:cs="Times New Roman"/>
                      <w:color w:val="auto"/>
                      <w:szCs w:val="21"/>
                      <w:highlight w:val="none"/>
                      <w:lang w:val="en-US" w:eastAsia="zh-CN" w:bidi="ar"/>
                    </w:rPr>
                    <w:t>-N</w:t>
                  </w:r>
                </w:p>
              </w:tc>
              <w:tc>
                <w:tcPr>
                  <w:tcW w:w="25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BF6414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eastAsia="宋体" w:cs="Times New Roman"/>
                      <w:color w:val="auto"/>
                      <w:szCs w:val="21"/>
                      <w:highlight w:val="none"/>
                      <w:lang w:val="en-US" w:eastAsia="zh-CN" w:bidi="ar"/>
                    </w:rPr>
                    <w:t>/</w:t>
                  </w:r>
                </w:p>
              </w:tc>
              <w:tc>
                <w:tcPr>
                  <w:tcW w:w="16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E29BAE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eastAsia" w:cs="Times New Roman"/>
                      <w:color w:val="auto"/>
                      <w:szCs w:val="21"/>
                      <w:highlight w:val="none"/>
                      <w:lang w:val="en-US" w:eastAsia="zh-CN" w:bidi="ar"/>
                    </w:rPr>
                    <w:t>36</w:t>
                  </w:r>
                </w:p>
              </w:tc>
              <w:tc>
                <w:tcPr>
                  <w:tcW w:w="23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1C374B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eastAsia" w:cs="Times New Roman"/>
                      <w:color w:val="auto"/>
                      <w:szCs w:val="21"/>
                      <w:highlight w:val="none"/>
                      <w:lang w:val="en-US" w:eastAsia="zh-CN" w:bidi="ar"/>
                    </w:rPr>
                    <w:t>36</w:t>
                  </w:r>
                </w:p>
              </w:tc>
            </w:tr>
            <w:tr w14:paraId="2D10760E">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15" w:type="dxa"/>
                  <w:left w:w="15" w:type="dxa"/>
                  <w:bottom w:w="15" w:type="dxa"/>
                  <w:right w:w="15" w:type="dxa"/>
                </w:tblCellMar>
              </w:tblPrEx>
              <w:trPr>
                <w:trHeight w:val="340" w:hRule="atLeast"/>
                <w:jc w:val="center"/>
              </w:trPr>
              <w:tc>
                <w:tcPr>
                  <w:tcW w:w="183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141D0C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eastAsia="宋体" w:cs="Times New Roman"/>
                      <w:color w:val="auto"/>
                      <w:szCs w:val="21"/>
                      <w:highlight w:val="none"/>
                      <w:lang w:val="en-US" w:eastAsia="zh-CN" w:bidi="ar"/>
                    </w:rPr>
                    <w:t>pH</w:t>
                  </w:r>
                </w:p>
              </w:tc>
              <w:tc>
                <w:tcPr>
                  <w:tcW w:w="25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DACA99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eastAsia="宋体" w:cs="Times New Roman"/>
                      <w:color w:val="auto"/>
                      <w:szCs w:val="21"/>
                      <w:highlight w:val="none"/>
                      <w:lang w:val="en-US" w:eastAsia="zh-CN" w:bidi="ar"/>
                    </w:rPr>
                    <w:t>6～9</w:t>
                  </w:r>
                </w:p>
              </w:tc>
              <w:tc>
                <w:tcPr>
                  <w:tcW w:w="16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0822CC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eastAsia="宋体" w:cs="Times New Roman"/>
                      <w:color w:val="auto"/>
                      <w:szCs w:val="21"/>
                      <w:highlight w:val="none"/>
                      <w:lang w:val="en-US" w:eastAsia="zh-CN" w:bidi="ar"/>
                    </w:rPr>
                    <w:t>6～9</w:t>
                  </w:r>
                </w:p>
              </w:tc>
              <w:tc>
                <w:tcPr>
                  <w:tcW w:w="23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5F94FD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default" w:ascii="Times New Roman" w:hAnsi="Times New Roman" w:eastAsia="宋体" w:cs="Times New Roman"/>
                      <w:color w:val="auto"/>
                      <w:szCs w:val="21"/>
                      <w:highlight w:val="none"/>
                      <w:lang w:val="en-US" w:eastAsia="zh-CN" w:bidi="ar"/>
                    </w:rPr>
                    <w:t>6～9</w:t>
                  </w:r>
                </w:p>
              </w:tc>
            </w:tr>
            <w:tr w14:paraId="08EC3053">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15" w:type="dxa"/>
                  <w:left w:w="15" w:type="dxa"/>
                  <w:bottom w:w="15" w:type="dxa"/>
                  <w:right w:w="15" w:type="dxa"/>
                </w:tblCellMar>
              </w:tblPrEx>
              <w:trPr>
                <w:trHeight w:val="340" w:hRule="atLeast"/>
                <w:jc w:val="center"/>
              </w:trPr>
              <w:tc>
                <w:tcPr>
                  <w:tcW w:w="183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0B4FC2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eastAsia" w:cs="Times New Roman"/>
                      <w:color w:val="auto"/>
                      <w:szCs w:val="21"/>
                      <w:highlight w:val="none"/>
                      <w:lang w:val="en-US" w:eastAsia="zh-CN" w:bidi="ar"/>
                    </w:rPr>
                    <w:t>石油类</w:t>
                  </w:r>
                </w:p>
              </w:tc>
              <w:tc>
                <w:tcPr>
                  <w:tcW w:w="25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9572D5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eastAsia" w:cs="Times New Roman"/>
                      <w:color w:val="auto"/>
                      <w:szCs w:val="21"/>
                      <w:highlight w:val="none"/>
                      <w:lang w:val="en-US" w:eastAsia="zh-CN" w:bidi="ar"/>
                    </w:rPr>
                    <w:t>20</w:t>
                  </w:r>
                </w:p>
              </w:tc>
              <w:tc>
                <w:tcPr>
                  <w:tcW w:w="16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19E706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eastAsia" w:cs="Times New Roman"/>
                      <w:color w:val="auto"/>
                      <w:szCs w:val="21"/>
                      <w:highlight w:val="none"/>
                      <w:lang w:val="en-US" w:eastAsia="zh-CN" w:bidi="ar"/>
                    </w:rPr>
                    <w:t>/</w:t>
                  </w:r>
                </w:p>
              </w:tc>
              <w:tc>
                <w:tcPr>
                  <w:tcW w:w="23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F07F35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bidi="ar"/>
                    </w:rPr>
                  </w:pPr>
                  <w:r>
                    <w:rPr>
                      <w:rFonts w:hint="eastAsia" w:cs="Times New Roman"/>
                      <w:color w:val="auto"/>
                      <w:szCs w:val="21"/>
                      <w:highlight w:val="none"/>
                      <w:lang w:val="en-US" w:eastAsia="zh-CN" w:bidi="ar"/>
                    </w:rPr>
                    <w:t>20</w:t>
                  </w:r>
                </w:p>
              </w:tc>
            </w:tr>
            <w:tr w14:paraId="3D02B427">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15" w:type="dxa"/>
                  <w:left w:w="15" w:type="dxa"/>
                  <w:bottom w:w="15" w:type="dxa"/>
                  <w:right w:w="15" w:type="dxa"/>
                </w:tblCellMar>
              </w:tblPrEx>
              <w:trPr>
                <w:trHeight w:val="340" w:hRule="atLeast"/>
                <w:jc w:val="center"/>
              </w:trPr>
              <w:tc>
                <w:tcPr>
                  <w:tcW w:w="183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C23FE5A">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lang w:val="en-US" w:eastAsia="zh-CN" w:bidi="ar"/>
                    </w:rPr>
                  </w:pPr>
                  <w:r>
                    <w:rPr>
                      <w:rFonts w:hint="eastAsia" w:cs="Times New Roman"/>
                      <w:color w:val="auto"/>
                      <w:szCs w:val="21"/>
                      <w:highlight w:val="none"/>
                      <w:lang w:val="en-US" w:eastAsia="zh-CN" w:bidi="ar"/>
                    </w:rPr>
                    <w:t>动植物油</w:t>
                  </w:r>
                </w:p>
              </w:tc>
              <w:tc>
                <w:tcPr>
                  <w:tcW w:w="25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5B9BA70">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lang w:val="en-US" w:eastAsia="zh-CN" w:bidi="ar"/>
                    </w:rPr>
                  </w:pPr>
                  <w:r>
                    <w:rPr>
                      <w:rFonts w:hint="eastAsia" w:cs="Times New Roman"/>
                      <w:color w:val="auto"/>
                      <w:szCs w:val="21"/>
                      <w:highlight w:val="none"/>
                      <w:lang w:val="en-US" w:eastAsia="zh-CN" w:bidi="ar"/>
                    </w:rPr>
                    <w:t>100</w:t>
                  </w:r>
                </w:p>
              </w:tc>
              <w:tc>
                <w:tcPr>
                  <w:tcW w:w="16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D3017B2">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lang w:val="en-US" w:eastAsia="zh-CN" w:bidi="ar"/>
                    </w:rPr>
                  </w:pPr>
                  <w:r>
                    <w:rPr>
                      <w:rFonts w:hint="eastAsia" w:cs="Times New Roman"/>
                      <w:color w:val="auto"/>
                      <w:szCs w:val="21"/>
                      <w:highlight w:val="none"/>
                      <w:lang w:val="en-US" w:eastAsia="zh-CN" w:bidi="ar"/>
                    </w:rPr>
                    <w:t>/</w:t>
                  </w:r>
                </w:p>
              </w:tc>
              <w:tc>
                <w:tcPr>
                  <w:tcW w:w="23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D1C223F">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lang w:val="en-US" w:eastAsia="zh-CN" w:bidi="ar"/>
                    </w:rPr>
                  </w:pPr>
                  <w:r>
                    <w:rPr>
                      <w:rFonts w:hint="eastAsia" w:cs="Times New Roman"/>
                      <w:color w:val="auto"/>
                      <w:szCs w:val="21"/>
                      <w:highlight w:val="none"/>
                      <w:lang w:val="en-US" w:eastAsia="zh-CN" w:bidi="ar"/>
                    </w:rPr>
                    <w:t>100</w:t>
                  </w:r>
                </w:p>
              </w:tc>
            </w:tr>
            <w:tr w14:paraId="36D9799C">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15" w:type="dxa"/>
                  <w:left w:w="15" w:type="dxa"/>
                  <w:bottom w:w="15" w:type="dxa"/>
                  <w:right w:w="15" w:type="dxa"/>
                </w:tblCellMar>
              </w:tblPrEx>
              <w:trPr>
                <w:trHeight w:val="340" w:hRule="atLeast"/>
                <w:jc w:val="center"/>
              </w:trPr>
              <w:tc>
                <w:tcPr>
                  <w:tcW w:w="183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A40A23A">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lang w:val="en-US" w:eastAsia="zh-CN" w:bidi="ar"/>
                    </w:rPr>
                  </w:pPr>
                  <w:r>
                    <w:rPr>
                      <w:rFonts w:hint="eastAsia" w:cs="Times New Roman"/>
                      <w:color w:val="auto"/>
                      <w:szCs w:val="21"/>
                      <w:highlight w:val="none"/>
                      <w:lang w:val="en-US" w:eastAsia="zh-CN" w:bidi="ar"/>
                    </w:rPr>
                    <w:t>阴离子表面活性剂</w:t>
                  </w:r>
                </w:p>
              </w:tc>
              <w:tc>
                <w:tcPr>
                  <w:tcW w:w="25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8C8EE4E">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lang w:val="en-US" w:eastAsia="zh-CN" w:bidi="ar"/>
                    </w:rPr>
                  </w:pPr>
                  <w:r>
                    <w:rPr>
                      <w:rFonts w:hint="eastAsia" w:cs="Times New Roman"/>
                      <w:color w:val="auto"/>
                      <w:szCs w:val="21"/>
                      <w:highlight w:val="none"/>
                      <w:lang w:val="en-US" w:eastAsia="zh-CN" w:bidi="ar"/>
                    </w:rPr>
                    <w:t>20</w:t>
                  </w:r>
                </w:p>
              </w:tc>
              <w:tc>
                <w:tcPr>
                  <w:tcW w:w="16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0263AEC">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lang w:val="en-US" w:eastAsia="zh-CN" w:bidi="ar"/>
                    </w:rPr>
                  </w:pPr>
                  <w:r>
                    <w:rPr>
                      <w:rFonts w:hint="eastAsia" w:cs="Times New Roman"/>
                      <w:color w:val="auto"/>
                      <w:szCs w:val="21"/>
                      <w:highlight w:val="none"/>
                      <w:lang w:val="en-US" w:eastAsia="zh-CN" w:bidi="ar"/>
                    </w:rPr>
                    <w:t>/</w:t>
                  </w:r>
                </w:p>
              </w:tc>
              <w:tc>
                <w:tcPr>
                  <w:tcW w:w="23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E408EA5">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lang w:val="en-US" w:eastAsia="zh-CN" w:bidi="ar"/>
                    </w:rPr>
                  </w:pPr>
                  <w:r>
                    <w:rPr>
                      <w:rFonts w:hint="eastAsia" w:cs="Times New Roman"/>
                      <w:color w:val="auto"/>
                      <w:szCs w:val="21"/>
                      <w:highlight w:val="none"/>
                      <w:lang w:val="en-US" w:eastAsia="zh-CN" w:bidi="ar"/>
                    </w:rPr>
                    <w:t>20</w:t>
                  </w:r>
                </w:p>
              </w:tc>
            </w:tr>
            <w:tr w14:paraId="5E4B6C89">
              <w:tblPrEx>
                <w:tblBorders>
                  <w:top w:val="single" w:color="000000" w:sz="6" w:space="0"/>
                  <w:left w:val="none" w:color="auto" w:sz="0" w:space="0"/>
                  <w:bottom w:val="single" w:color="000000" w:sz="6" w:space="0"/>
                  <w:right w:val="none" w:color="auto" w:sz="0" w:space="0"/>
                  <w:insideH w:val="single" w:color="000000" w:sz="6" w:space="0"/>
                  <w:insideV w:val="single" w:color="000000" w:sz="6" w:space="0"/>
                </w:tblBorders>
                <w:tblCellMar>
                  <w:top w:w="15" w:type="dxa"/>
                  <w:left w:w="15" w:type="dxa"/>
                  <w:bottom w:w="15" w:type="dxa"/>
                  <w:right w:w="15" w:type="dxa"/>
                </w:tblCellMar>
              </w:tblPrEx>
              <w:trPr>
                <w:trHeight w:val="340" w:hRule="atLeast"/>
                <w:jc w:val="center"/>
              </w:trPr>
              <w:tc>
                <w:tcPr>
                  <w:tcW w:w="183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4AAA12F">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lang w:val="en-US" w:eastAsia="zh-CN" w:bidi="ar"/>
                    </w:rPr>
                  </w:pPr>
                  <w:r>
                    <w:rPr>
                      <w:rFonts w:hint="eastAsia" w:cs="Times New Roman"/>
                      <w:color w:val="auto"/>
                      <w:szCs w:val="21"/>
                      <w:highlight w:val="none"/>
                      <w:lang w:val="en-US" w:eastAsia="zh-CN" w:bidi="ar"/>
                    </w:rPr>
                    <w:t>磷酸盐</w:t>
                  </w:r>
                </w:p>
              </w:tc>
              <w:tc>
                <w:tcPr>
                  <w:tcW w:w="2510"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6C17B03">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lang w:val="en-US" w:eastAsia="zh-CN" w:bidi="ar"/>
                    </w:rPr>
                  </w:pPr>
                  <w:r>
                    <w:rPr>
                      <w:rFonts w:hint="eastAsia" w:cs="Times New Roman"/>
                      <w:color w:val="auto"/>
                      <w:szCs w:val="21"/>
                      <w:highlight w:val="none"/>
                      <w:lang w:val="en-US" w:eastAsia="zh-CN" w:bidi="ar"/>
                    </w:rPr>
                    <w:t>/</w:t>
                  </w:r>
                </w:p>
              </w:tc>
              <w:tc>
                <w:tcPr>
                  <w:tcW w:w="16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18E437C">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lang w:val="en-US" w:eastAsia="zh-CN" w:bidi="ar"/>
                    </w:rPr>
                  </w:pPr>
                  <w:r>
                    <w:rPr>
                      <w:rFonts w:hint="eastAsia" w:cs="Times New Roman"/>
                      <w:color w:val="auto"/>
                      <w:szCs w:val="21"/>
                      <w:highlight w:val="none"/>
                      <w:lang w:val="en-US" w:eastAsia="zh-CN" w:bidi="ar"/>
                    </w:rPr>
                    <w:t>/</w:t>
                  </w:r>
                </w:p>
              </w:tc>
              <w:tc>
                <w:tcPr>
                  <w:tcW w:w="2335"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B82438E">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lang w:val="en-US" w:eastAsia="zh-CN" w:bidi="ar"/>
                    </w:rPr>
                  </w:pPr>
                  <w:r>
                    <w:rPr>
                      <w:rFonts w:hint="eastAsia" w:cs="Times New Roman"/>
                      <w:color w:val="auto"/>
                      <w:szCs w:val="21"/>
                      <w:highlight w:val="none"/>
                      <w:lang w:val="en-US" w:eastAsia="zh-CN" w:bidi="ar"/>
                    </w:rPr>
                    <w:t>/</w:t>
                  </w:r>
                </w:p>
              </w:tc>
            </w:tr>
          </w:tbl>
          <w:p w14:paraId="08179220">
            <w:pPr>
              <w:keepNext w:val="0"/>
              <w:keepLines w:val="0"/>
              <w:widowControl/>
              <w:suppressLineNumbers w:val="0"/>
              <w:spacing w:before="0" w:beforeAutospacing="0" w:after="0" w:afterAutospacing="0" w:line="480" w:lineRule="exact"/>
              <w:ind w:left="0" w:right="0" w:firstLine="482" w:firstLineChars="200"/>
              <w:rPr>
                <w:rFonts w:hint="default"/>
                <w:b/>
                <w:bCs/>
                <w:color w:val="auto"/>
                <w:sz w:val="24"/>
                <w:highlight w:val="none"/>
              </w:rPr>
            </w:pPr>
            <w:r>
              <w:rPr>
                <w:rFonts w:hint="eastAsia"/>
                <w:b/>
                <w:bCs/>
                <w:color w:val="auto"/>
                <w:sz w:val="24"/>
                <w:highlight w:val="none"/>
              </w:rPr>
              <w:t>3、噪声</w:t>
            </w:r>
          </w:p>
          <w:p w14:paraId="0B4D9145">
            <w:pPr>
              <w:pStyle w:val="63"/>
              <w:keepNext w:val="0"/>
              <w:keepLines w:val="0"/>
              <w:suppressLineNumbers w:val="0"/>
              <w:spacing w:before="0" w:beforeAutospacing="0" w:after="0" w:afterAutospacing="0"/>
              <w:ind w:left="0" w:right="0"/>
              <w:jc w:val="left"/>
              <w:rPr>
                <w:rFonts w:hint="default" w:ascii="Times New Roman" w:hAnsi="Times New Roman" w:eastAsia="宋体"/>
                <w:color w:val="auto"/>
                <w:sz w:val="24"/>
                <w:szCs w:val="24"/>
                <w:highlight w:val="none"/>
              </w:rPr>
            </w:pPr>
            <w:r>
              <w:rPr>
                <w:rFonts w:hint="default" w:ascii="Times New Roman" w:hAnsi="Times New Roman" w:eastAsia="宋体"/>
                <w:color w:val="auto"/>
                <w:sz w:val="24"/>
                <w:szCs w:val="24"/>
                <w:highlight w:val="none"/>
              </w:rPr>
              <w:t>本项目运营期厂界噪声执行《</w:t>
            </w:r>
            <w:r>
              <w:rPr>
                <w:rFonts w:hint="default" w:ascii="Times New Roman" w:hAnsi="Times New Roman" w:eastAsia="宋体"/>
                <w:color w:val="auto"/>
                <w:sz w:val="24"/>
                <w:szCs w:val="24"/>
                <w:highlight w:val="none"/>
                <w:lang w:val="en-GB"/>
              </w:rPr>
              <w:t>工业企业厂界环境噪声排放标准</w:t>
            </w:r>
            <w:r>
              <w:rPr>
                <w:rFonts w:hint="default" w:ascii="Times New Roman" w:hAnsi="Times New Roman" w:eastAsia="宋体"/>
                <w:color w:val="auto"/>
                <w:sz w:val="24"/>
                <w:szCs w:val="24"/>
                <w:highlight w:val="none"/>
              </w:rPr>
              <w:t>》（</w:t>
            </w:r>
            <w:r>
              <w:rPr>
                <w:rFonts w:hint="default" w:ascii="Times New Roman" w:hAnsi="Times New Roman" w:eastAsia="宋体"/>
                <w:color w:val="auto"/>
                <w:sz w:val="24"/>
                <w:szCs w:val="24"/>
                <w:highlight w:val="none"/>
                <w:lang w:val="en-GB"/>
              </w:rPr>
              <w:t>GB12348-2008</w:t>
            </w:r>
            <w:r>
              <w:rPr>
                <w:rFonts w:hint="default" w:ascii="Times New Roman" w:hAnsi="Times New Roman" w:eastAsia="宋体"/>
                <w:color w:val="auto"/>
                <w:sz w:val="24"/>
                <w:szCs w:val="24"/>
                <w:highlight w:val="none"/>
              </w:rPr>
              <w:t>）中3类标准，具体见下</w:t>
            </w:r>
            <w:r>
              <w:rPr>
                <w:rFonts w:hint="default" w:ascii="Times New Roman" w:hAnsi="Times New Roman" w:eastAsia="宋体"/>
                <w:color w:val="auto"/>
                <w:sz w:val="24"/>
                <w:szCs w:val="24"/>
                <w:highlight w:val="none"/>
              </w:rPr>
              <w:fldChar w:fldCharType="begin"/>
            </w:r>
            <w:r>
              <w:rPr>
                <w:rFonts w:hint="default" w:ascii="Times New Roman" w:hAnsi="Times New Roman" w:eastAsia="宋体"/>
                <w:color w:val="auto"/>
                <w:sz w:val="24"/>
                <w:szCs w:val="24"/>
                <w:highlight w:val="none"/>
              </w:rPr>
              <w:instrText xml:space="preserve"> REF _Ref124514011 \h </w:instrText>
            </w:r>
            <w:r>
              <w:rPr>
                <w:rFonts w:hint="default" w:ascii="Times New Roman" w:hAnsi="Times New Roman" w:eastAsia="宋体"/>
                <w:color w:val="auto"/>
                <w:sz w:val="24"/>
                <w:szCs w:val="24"/>
                <w:highlight w:val="none"/>
              </w:rPr>
              <w:fldChar w:fldCharType="separate"/>
            </w:r>
            <w:r>
              <w:rPr>
                <w:rFonts w:hint="default" w:ascii="Times New Roman" w:hAnsi="Times New Roman" w:eastAsia="宋体"/>
                <w:color w:val="auto"/>
                <w:sz w:val="24"/>
                <w:szCs w:val="24"/>
                <w:highlight w:val="none"/>
              </w:rPr>
              <w:t>表</w:t>
            </w:r>
            <w:r>
              <w:rPr>
                <w:rFonts w:hint="default" w:ascii="Times New Roman" w:hAnsi="Times New Roman" w:eastAsia="宋体"/>
                <w:color w:val="auto"/>
                <w:sz w:val="24"/>
                <w:szCs w:val="24"/>
                <w:highlight w:val="none"/>
              </w:rPr>
              <w:fldChar w:fldCharType="end"/>
            </w:r>
            <w:r>
              <w:rPr>
                <w:rFonts w:hint="default" w:ascii="Times New Roman" w:hAnsi="Times New Roman" w:eastAsia="宋体"/>
                <w:color w:val="auto"/>
                <w:sz w:val="24"/>
                <w:szCs w:val="24"/>
                <w:highlight w:val="none"/>
              </w:rPr>
              <w:t>。</w:t>
            </w:r>
          </w:p>
          <w:p w14:paraId="39CACE05">
            <w:pPr>
              <w:pStyle w:val="63"/>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b/>
                <w:bCs/>
                <w:color w:val="auto"/>
                <w:sz w:val="24"/>
                <w:szCs w:val="24"/>
                <w:highlight w:val="none"/>
              </w:rPr>
            </w:pPr>
            <w:r>
              <w:rPr>
                <w:rFonts w:hint="default" w:ascii="Times New Roman" w:hAnsi="Times New Roman" w:eastAsia="宋体"/>
                <w:b/>
                <w:bCs/>
                <w:color w:val="auto"/>
                <w:sz w:val="24"/>
                <w:szCs w:val="24"/>
                <w:highlight w:val="none"/>
              </w:rPr>
              <w:t>表3-</w:t>
            </w:r>
            <w:r>
              <w:rPr>
                <w:rFonts w:hint="eastAsia" w:ascii="Times New Roman" w:hAnsi="Times New Roman" w:eastAsia="宋体"/>
                <w:b/>
                <w:bCs/>
                <w:color w:val="auto"/>
                <w:sz w:val="24"/>
                <w:szCs w:val="24"/>
                <w:highlight w:val="none"/>
              </w:rPr>
              <w:t>1</w:t>
            </w:r>
            <w:r>
              <w:rPr>
                <w:rFonts w:hint="eastAsia" w:ascii="Times New Roman" w:hAnsi="Times New Roman" w:eastAsia="宋体"/>
                <w:b/>
                <w:bCs/>
                <w:color w:val="auto"/>
                <w:sz w:val="24"/>
                <w:szCs w:val="24"/>
                <w:highlight w:val="none"/>
                <w:lang w:val="en-US" w:eastAsia="zh-CN"/>
              </w:rPr>
              <w:t>0</w:t>
            </w:r>
            <w:r>
              <w:rPr>
                <w:rFonts w:hint="default" w:ascii="Times New Roman" w:hAnsi="Times New Roman" w:eastAsia="宋体"/>
                <w:b/>
                <w:bCs/>
                <w:color w:val="auto"/>
                <w:sz w:val="24"/>
                <w:szCs w:val="24"/>
                <w:highlight w:val="none"/>
              </w:rPr>
              <w:t xml:space="preserve">  本项目厂界环境噪声排放执行标准  单位：dB(A)</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3"/>
              <w:gridCol w:w="2063"/>
              <w:gridCol w:w="820"/>
              <w:gridCol w:w="1245"/>
              <w:gridCol w:w="3509"/>
            </w:tblGrid>
            <w:tr w14:paraId="614AF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9" w:type="dxa"/>
                  <w:vAlign w:val="center"/>
                </w:tcPr>
                <w:p w14:paraId="344E7A5F">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厂界</w:t>
                  </w:r>
                </w:p>
              </w:tc>
              <w:tc>
                <w:tcPr>
                  <w:tcW w:w="2023" w:type="dxa"/>
                  <w:vAlign w:val="center"/>
                </w:tcPr>
                <w:p w14:paraId="41B95F36">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声环境功能区类别</w:t>
                  </w:r>
                </w:p>
              </w:tc>
              <w:tc>
                <w:tcPr>
                  <w:tcW w:w="804" w:type="dxa"/>
                  <w:vAlign w:val="center"/>
                </w:tcPr>
                <w:p w14:paraId="7F866624">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时段</w:t>
                  </w:r>
                </w:p>
              </w:tc>
              <w:tc>
                <w:tcPr>
                  <w:tcW w:w="1221" w:type="dxa"/>
                  <w:vAlign w:val="center"/>
                </w:tcPr>
                <w:p w14:paraId="620976E0">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排放限值</w:t>
                  </w:r>
                </w:p>
              </w:tc>
              <w:tc>
                <w:tcPr>
                  <w:tcW w:w="3440" w:type="dxa"/>
                  <w:vAlign w:val="center"/>
                </w:tcPr>
                <w:p w14:paraId="20225CB3">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标准来源</w:t>
                  </w:r>
                </w:p>
              </w:tc>
            </w:tr>
            <w:tr w14:paraId="37C3C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729" w:type="dxa"/>
                  <w:vMerge w:val="restart"/>
                  <w:vAlign w:val="center"/>
                </w:tcPr>
                <w:p w14:paraId="135A2FA2">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厂界</w:t>
                  </w:r>
                </w:p>
              </w:tc>
              <w:tc>
                <w:tcPr>
                  <w:tcW w:w="2023" w:type="dxa"/>
                  <w:vMerge w:val="restart"/>
                  <w:vAlign w:val="center"/>
                </w:tcPr>
                <w:p w14:paraId="05E21666">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3类</w:t>
                  </w:r>
                </w:p>
              </w:tc>
              <w:tc>
                <w:tcPr>
                  <w:tcW w:w="804" w:type="dxa"/>
                  <w:vAlign w:val="center"/>
                </w:tcPr>
                <w:p w14:paraId="4D81F18A">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昼间</w:t>
                  </w:r>
                </w:p>
              </w:tc>
              <w:tc>
                <w:tcPr>
                  <w:tcW w:w="1221" w:type="dxa"/>
                  <w:vAlign w:val="center"/>
                </w:tcPr>
                <w:p w14:paraId="0D1C149A">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65</w:t>
                  </w:r>
                </w:p>
              </w:tc>
              <w:tc>
                <w:tcPr>
                  <w:tcW w:w="3440" w:type="dxa"/>
                  <w:vMerge w:val="restart"/>
                  <w:vAlign w:val="center"/>
                </w:tcPr>
                <w:p w14:paraId="094F06C7">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highlight w:val="none"/>
                    </w:rPr>
                    <w:t>《工业企业厂界环境噪声排放标准》（GB12348-2008）表1工业企业厂界环境噪声排放限值</w:t>
                  </w:r>
                </w:p>
              </w:tc>
            </w:tr>
            <w:tr w14:paraId="4B059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9" w:type="dxa"/>
                  <w:vMerge w:val="continue"/>
                  <w:vAlign w:val="center"/>
                </w:tcPr>
                <w:p w14:paraId="6CD99B72">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2023" w:type="dxa"/>
                  <w:vMerge w:val="continue"/>
                  <w:vAlign w:val="center"/>
                </w:tcPr>
                <w:p w14:paraId="732D6823">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804" w:type="dxa"/>
                  <w:vAlign w:val="center"/>
                </w:tcPr>
                <w:p w14:paraId="3000ED25">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夜间</w:t>
                  </w:r>
                </w:p>
              </w:tc>
              <w:tc>
                <w:tcPr>
                  <w:tcW w:w="1221" w:type="dxa"/>
                  <w:vAlign w:val="center"/>
                </w:tcPr>
                <w:p w14:paraId="2E96639B">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55</w:t>
                  </w:r>
                </w:p>
              </w:tc>
              <w:tc>
                <w:tcPr>
                  <w:tcW w:w="3440" w:type="dxa"/>
                  <w:vMerge w:val="continue"/>
                  <w:vAlign w:val="center"/>
                </w:tcPr>
                <w:p w14:paraId="5A780FDE">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r>
          </w:tbl>
          <w:p w14:paraId="30FE6AD3">
            <w:pPr>
              <w:keepNext w:val="0"/>
              <w:keepLines w:val="0"/>
              <w:suppressLineNumbers w:val="0"/>
              <w:adjustRightInd w:val="0"/>
              <w:snapToGrid w:val="0"/>
              <w:spacing w:before="0" w:beforeAutospacing="0" w:after="0" w:afterAutospacing="0" w:line="480" w:lineRule="exact"/>
              <w:ind w:left="0" w:right="0" w:firstLine="482" w:firstLineChars="200"/>
              <w:rPr>
                <w:rFonts w:hint="default"/>
                <w:b/>
                <w:bCs/>
                <w:color w:val="auto"/>
                <w:sz w:val="24"/>
                <w:highlight w:val="none"/>
              </w:rPr>
            </w:pPr>
            <w:r>
              <w:rPr>
                <w:rFonts w:hint="eastAsia"/>
                <w:b/>
                <w:bCs/>
                <w:color w:val="auto"/>
                <w:sz w:val="24"/>
                <w:highlight w:val="none"/>
              </w:rPr>
              <w:t>4、固体废物</w:t>
            </w:r>
          </w:p>
          <w:p w14:paraId="2B54E01E">
            <w:pPr>
              <w:pStyle w:val="49"/>
              <w:keepNext w:val="0"/>
              <w:keepLines w:val="0"/>
              <w:suppressLineNumbers w:val="0"/>
              <w:spacing w:before="0" w:beforeAutospacing="0" w:after="0" w:afterAutospacing="0" w:line="480" w:lineRule="exact"/>
              <w:ind w:left="0" w:right="0" w:firstLine="480"/>
              <w:rPr>
                <w:rFonts w:hint="default"/>
                <w:color w:val="auto"/>
                <w:sz w:val="24"/>
                <w:highlight w:val="none"/>
              </w:rPr>
            </w:pPr>
            <w:r>
              <w:rPr>
                <w:rFonts w:hint="default"/>
                <w:color w:val="auto"/>
                <w:sz w:val="24"/>
                <w:highlight w:val="none"/>
              </w:rPr>
              <w:t>一般固体废物执行《中华人民共和国固体废物污染环境防治法》</w:t>
            </w:r>
            <w:r>
              <w:rPr>
                <w:rFonts w:hint="eastAsia"/>
                <w:color w:val="auto"/>
                <w:sz w:val="24"/>
                <w:highlight w:val="none"/>
              </w:rPr>
              <w:t>第二十条</w:t>
            </w:r>
            <w:r>
              <w:rPr>
                <w:rFonts w:hint="default"/>
                <w:color w:val="auto"/>
                <w:sz w:val="24"/>
                <w:highlight w:val="none"/>
              </w:rPr>
              <w:t>要求</w:t>
            </w:r>
            <w:r>
              <w:rPr>
                <w:rFonts w:hint="eastAsia"/>
                <w:color w:val="auto"/>
                <w:sz w:val="24"/>
                <w:highlight w:val="none"/>
              </w:rPr>
              <w:t>，产生、收集、贮存、运输、利用、处置固体废物的单位和其他生产经营者，应当采取防扬散、防流失、防渗漏或者其他防止污染环境的措施，不得擅自倾倒、堆放、丢弃、遗撒固体废物</w:t>
            </w:r>
            <w:r>
              <w:rPr>
                <w:rFonts w:hint="default"/>
                <w:color w:val="auto"/>
                <w:sz w:val="24"/>
                <w:highlight w:val="none"/>
              </w:rPr>
              <w:t>。</w:t>
            </w:r>
          </w:p>
          <w:p w14:paraId="40856DCD">
            <w:pPr>
              <w:pStyle w:val="49"/>
              <w:keepNext w:val="0"/>
              <w:keepLines w:val="0"/>
              <w:suppressLineNumbers w:val="0"/>
              <w:spacing w:before="0" w:beforeAutospacing="0" w:after="0" w:afterAutospacing="0" w:line="480" w:lineRule="exact"/>
              <w:ind w:left="0" w:right="0" w:firstLine="480"/>
              <w:rPr>
                <w:rFonts w:hint="default"/>
                <w:color w:val="auto"/>
                <w:sz w:val="24"/>
                <w:highlight w:val="none"/>
              </w:rPr>
            </w:pPr>
            <w:r>
              <w:rPr>
                <w:rFonts w:hint="eastAsia"/>
                <w:color w:val="auto"/>
                <w:sz w:val="24"/>
                <w:highlight w:val="none"/>
              </w:rPr>
              <w:t>危险废物执行《危险废物贮存污染控制标准》（GB18597-2023）标准要求。</w:t>
            </w:r>
          </w:p>
          <w:p w14:paraId="7226B2F7">
            <w:pPr>
              <w:keepNext w:val="0"/>
              <w:keepLines w:val="0"/>
              <w:suppressLineNumbers w:val="0"/>
              <w:adjustRightInd w:val="0"/>
              <w:snapToGrid w:val="0"/>
              <w:spacing w:before="0" w:beforeAutospacing="0" w:after="0" w:afterAutospacing="0" w:line="480" w:lineRule="exact"/>
              <w:ind w:left="0" w:right="0" w:firstLine="480" w:firstLineChars="200"/>
              <w:rPr>
                <w:rFonts w:hint="default"/>
                <w:color w:val="auto"/>
                <w:sz w:val="24"/>
                <w:highlight w:val="none"/>
              </w:rPr>
            </w:pPr>
          </w:p>
          <w:p w14:paraId="2883F6A9">
            <w:pPr>
              <w:keepNext w:val="0"/>
              <w:keepLines w:val="0"/>
              <w:suppressLineNumbers w:val="0"/>
              <w:adjustRightInd w:val="0"/>
              <w:snapToGrid w:val="0"/>
              <w:spacing w:before="0" w:beforeAutospacing="0" w:after="0" w:afterAutospacing="0" w:line="480" w:lineRule="exact"/>
              <w:ind w:left="0" w:right="0" w:firstLine="480" w:firstLineChars="200"/>
              <w:rPr>
                <w:rFonts w:hint="default"/>
                <w:color w:val="auto"/>
                <w:sz w:val="24"/>
                <w:highlight w:val="none"/>
              </w:rPr>
            </w:pPr>
          </w:p>
          <w:p w14:paraId="7DB21E46">
            <w:pPr>
              <w:keepNext w:val="0"/>
              <w:keepLines w:val="0"/>
              <w:suppressLineNumbers w:val="0"/>
              <w:adjustRightInd w:val="0"/>
              <w:snapToGrid w:val="0"/>
              <w:spacing w:before="0" w:beforeAutospacing="0" w:after="0" w:afterAutospacing="0" w:line="480" w:lineRule="exact"/>
              <w:ind w:left="0" w:right="0" w:firstLine="480" w:firstLineChars="200"/>
              <w:rPr>
                <w:rFonts w:hint="default"/>
                <w:color w:val="auto"/>
                <w:sz w:val="24"/>
                <w:highlight w:val="none"/>
              </w:rPr>
            </w:pPr>
          </w:p>
          <w:p w14:paraId="145851A6">
            <w:pPr>
              <w:keepNext w:val="0"/>
              <w:keepLines w:val="0"/>
              <w:suppressLineNumbers w:val="0"/>
              <w:adjustRightInd w:val="0"/>
              <w:snapToGrid w:val="0"/>
              <w:spacing w:before="0" w:beforeAutospacing="0" w:after="0" w:afterAutospacing="0" w:line="480" w:lineRule="exact"/>
              <w:ind w:left="0" w:right="0" w:firstLine="480" w:firstLineChars="200"/>
              <w:rPr>
                <w:rFonts w:hint="default"/>
                <w:color w:val="auto"/>
                <w:sz w:val="24"/>
                <w:highlight w:val="none"/>
              </w:rPr>
            </w:pPr>
          </w:p>
          <w:p w14:paraId="011C06F4">
            <w:pPr>
              <w:keepNext w:val="0"/>
              <w:keepLines w:val="0"/>
              <w:suppressLineNumbers w:val="0"/>
              <w:adjustRightInd w:val="0"/>
              <w:snapToGrid w:val="0"/>
              <w:spacing w:before="0" w:beforeAutospacing="0" w:after="0" w:afterAutospacing="0" w:line="480" w:lineRule="exact"/>
              <w:ind w:left="0" w:right="0" w:firstLine="480" w:firstLineChars="200"/>
              <w:rPr>
                <w:rFonts w:hint="default"/>
                <w:color w:val="auto"/>
                <w:sz w:val="24"/>
                <w:highlight w:val="none"/>
              </w:rPr>
            </w:pPr>
          </w:p>
          <w:p w14:paraId="21B8DE51">
            <w:pPr>
              <w:keepNext w:val="0"/>
              <w:keepLines w:val="0"/>
              <w:suppressLineNumbers w:val="0"/>
              <w:adjustRightInd w:val="0"/>
              <w:snapToGrid w:val="0"/>
              <w:spacing w:before="0" w:beforeAutospacing="0" w:after="0" w:afterAutospacing="0" w:line="480" w:lineRule="exact"/>
              <w:ind w:left="0" w:right="0" w:firstLine="480" w:firstLineChars="200"/>
              <w:rPr>
                <w:rFonts w:hint="default"/>
                <w:color w:val="auto"/>
                <w:sz w:val="24"/>
                <w:highlight w:val="none"/>
              </w:rPr>
            </w:pPr>
          </w:p>
          <w:p w14:paraId="2B8FDFBD">
            <w:pPr>
              <w:keepNext w:val="0"/>
              <w:keepLines w:val="0"/>
              <w:suppressLineNumbers w:val="0"/>
              <w:adjustRightInd w:val="0"/>
              <w:snapToGrid w:val="0"/>
              <w:spacing w:before="0" w:beforeAutospacing="0" w:after="0" w:afterAutospacing="0" w:line="480" w:lineRule="exact"/>
              <w:ind w:left="0" w:right="0" w:firstLine="480" w:firstLineChars="200"/>
              <w:rPr>
                <w:rFonts w:hint="default"/>
                <w:color w:val="auto"/>
                <w:sz w:val="24"/>
                <w:highlight w:val="none"/>
              </w:rPr>
            </w:pPr>
          </w:p>
          <w:p w14:paraId="53822F42">
            <w:pPr>
              <w:keepNext w:val="0"/>
              <w:keepLines w:val="0"/>
              <w:suppressLineNumbers w:val="0"/>
              <w:adjustRightInd w:val="0"/>
              <w:snapToGrid w:val="0"/>
              <w:spacing w:before="0" w:beforeAutospacing="0" w:after="0" w:afterAutospacing="0" w:line="480" w:lineRule="exact"/>
              <w:ind w:left="0" w:right="0" w:firstLine="480" w:firstLineChars="200"/>
              <w:rPr>
                <w:rFonts w:hint="default"/>
                <w:color w:val="auto"/>
                <w:sz w:val="24"/>
                <w:highlight w:val="none"/>
              </w:rPr>
            </w:pPr>
          </w:p>
          <w:p w14:paraId="7A077954">
            <w:pPr>
              <w:keepNext w:val="0"/>
              <w:keepLines w:val="0"/>
              <w:suppressLineNumbers w:val="0"/>
              <w:adjustRightInd w:val="0"/>
              <w:snapToGrid w:val="0"/>
              <w:spacing w:before="0" w:beforeAutospacing="0" w:after="0" w:afterAutospacing="0" w:line="480" w:lineRule="exact"/>
              <w:ind w:left="0" w:right="0" w:firstLine="480" w:firstLineChars="200"/>
              <w:rPr>
                <w:rFonts w:hint="default"/>
                <w:color w:val="auto"/>
                <w:sz w:val="24"/>
                <w:highlight w:val="none"/>
              </w:rPr>
            </w:pPr>
          </w:p>
          <w:p w14:paraId="4E5C9A73">
            <w:pPr>
              <w:keepNext w:val="0"/>
              <w:keepLines w:val="0"/>
              <w:suppressLineNumbers w:val="0"/>
              <w:adjustRightInd w:val="0"/>
              <w:snapToGrid w:val="0"/>
              <w:spacing w:before="0" w:beforeAutospacing="0" w:after="0" w:afterAutospacing="0" w:line="480" w:lineRule="exact"/>
              <w:ind w:left="0" w:right="0" w:firstLine="480" w:firstLineChars="200"/>
              <w:rPr>
                <w:rFonts w:hint="default"/>
                <w:color w:val="auto"/>
                <w:sz w:val="24"/>
                <w:highlight w:val="none"/>
              </w:rPr>
            </w:pPr>
          </w:p>
          <w:p w14:paraId="0A8417CD">
            <w:pPr>
              <w:keepNext w:val="0"/>
              <w:keepLines w:val="0"/>
              <w:suppressLineNumbers w:val="0"/>
              <w:adjustRightInd w:val="0"/>
              <w:snapToGrid w:val="0"/>
              <w:spacing w:before="0" w:beforeAutospacing="0" w:after="0" w:afterAutospacing="0" w:line="480" w:lineRule="exact"/>
              <w:ind w:left="0" w:right="0" w:firstLine="480" w:firstLineChars="200"/>
              <w:rPr>
                <w:rFonts w:hint="default"/>
                <w:color w:val="auto"/>
                <w:sz w:val="24"/>
                <w:highlight w:val="none"/>
              </w:rPr>
            </w:pPr>
          </w:p>
          <w:p w14:paraId="7B07C904">
            <w:pPr>
              <w:keepNext w:val="0"/>
              <w:keepLines w:val="0"/>
              <w:suppressLineNumbers w:val="0"/>
              <w:adjustRightInd w:val="0"/>
              <w:snapToGrid w:val="0"/>
              <w:spacing w:before="0" w:beforeAutospacing="0" w:after="0" w:afterAutospacing="0" w:line="480" w:lineRule="exact"/>
              <w:ind w:left="0" w:right="0" w:firstLine="480" w:firstLineChars="200"/>
              <w:rPr>
                <w:rFonts w:hint="default"/>
                <w:color w:val="auto"/>
                <w:sz w:val="24"/>
                <w:highlight w:val="none"/>
              </w:rPr>
            </w:pPr>
          </w:p>
          <w:p w14:paraId="60E2D6BD">
            <w:pPr>
              <w:keepNext w:val="0"/>
              <w:keepLines w:val="0"/>
              <w:suppressLineNumbers w:val="0"/>
              <w:adjustRightInd w:val="0"/>
              <w:snapToGrid w:val="0"/>
              <w:spacing w:before="0" w:beforeAutospacing="0" w:after="0" w:afterAutospacing="0" w:line="480" w:lineRule="exact"/>
              <w:ind w:left="0" w:right="0" w:firstLine="480" w:firstLineChars="200"/>
              <w:rPr>
                <w:rFonts w:hint="default"/>
                <w:color w:val="auto"/>
                <w:sz w:val="24"/>
                <w:highlight w:val="none"/>
              </w:rPr>
            </w:pPr>
          </w:p>
          <w:p w14:paraId="148C95F0">
            <w:pPr>
              <w:keepNext w:val="0"/>
              <w:keepLines w:val="0"/>
              <w:suppressLineNumbers w:val="0"/>
              <w:adjustRightInd w:val="0"/>
              <w:snapToGrid w:val="0"/>
              <w:spacing w:before="0" w:beforeAutospacing="0" w:after="0" w:afterAutospacing="0" w:line="480" w:lineRule="exact"/>
              <w:ind w:left="0" w:right="0"/>
              <w:rPr>
                <w:rFonts w:hint="default"/>
                <w:color w:val="auto"/>
                <w:sz w:val="24"/>
                <w:highlight w:val="none"/>
              </w:rPr>
            </w:pPr>
          </w:p>
        </w:tc>
      </w:tr>
      <w:tr w14:paraId="2639C2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87" w:hRule="atLeast"/>
          <w:jc w:val="center"/>
        </w:trPr>
        <w:tc>
          <w:tcPr>
            <w:tcW w:w="455" w:type="dxa"/>
            <w:vAlign w:val="center"/>
          </w:tcPr>
          <w:p w14:paraId="6C05599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893007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F9BB73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89D338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2A175C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7E3962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6A93EE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818A21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AE6367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F9DD7D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147B85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E4FB1C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2886F1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5FA034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6A2F09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6F3FDD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D1E70B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77448C3">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总量</w:t>
            </w:r>
          </w:p>
          <w:p w14:paraId="73183F8C">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控制</w:t>
            </w:r>
          </w:p>
          <w:p w14:paraId="044ACE7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指标</w:t>
            </w:r>
          </w:p>
          <w:p w14:paraId="3AF1BF7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14AE0D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DDB8AC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236F63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7C30D24">
            <w:pPr>
              <w:keepNext w:val="0"/>
              <w:keepLines w:val="0"/>
              <w:suppressLineNumbers w:val="0"/>
              <w:autoSpaceDE w:val="0"/>
              <w:autoSpaceDN w:val="0"/>
              <w:adjustRightInd w:val="0"/>
              <w:snapToGrid w:val="0"/>
              <w:spacing w:before="0" w:beforeAutospacing="0" w:after="0" w:afterAutospacing="0"/>
              <w:ind w:left="0" w:right="0"/>
              <w:jc w:val="both"/>
              <w:rPr>
                <w:rFonts w:hint="eastAsia" w:ascii="Times New Roman" w:hAnsi="Times New Roman" w:eastAsia="宋体" w:cs="Times New Roman"/>
                <w:b/>
                <w:bCs/>
                <w:color w:val="auto"/>
                <w:kern w:val="0"/>
                <w:sz w:val="28"/>
                <w:szCs w:val="28"/>
                <w:highlight w:val="none"/>
              </w:rPr>
            </w:pPr>
          </w:p>
          <w:p w14:paraId="74D17BF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9D1910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64C60F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557555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C7B3F9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7C193F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211CD8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C8B7E3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7648501">
            <w:pPr>
              <w:keepNext w:val="0"/>
              <w:keepLines w:val="0"/>
              <w:suppressLineNumbers w:val="0"/>
              <w:autoSpaceDE w:val="0"/>
              <w:autoSpaceDN w:val="0"/>
              <w:adjustRightInd w:val="0"/>
              <w:snapToGrid w:val="0"/>
              <w:spacing w:before="0" w:beforeAutospacing="0" w:after="0" w:afterAutospacing="0"/>
              <w:ind w:left="0" w:right="0"/>
              <w:jc w:val="both"/>
              <w:rPr>
                <w:rFonts w:hint="default" w:ascii="Times New Roman" w:hAnsi="Times New Roman" w:eastAsia="宋体" w:cs="Times New Roman"/>
                <w:b/>
                <w:bCs/>
                <w:color w:val="auto"/>
                <w:kern w:val="0"/>
                <w:sz w:val="28"/>
                <w:szCs w:val="28"/>
                <w:highlight w:val="none"/>
              </w:rPr>
            </w:pPr>
          </w:p>
        </w:tc>
        <w:tc>
          <w:tcPr>
            <w:tcW w:w="8606" w:type="dxa"/>
            <w:vAlign w:val="center"/>
          </w:tcPr>
          <w:p w14:paraId="33EF24CA">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auto"/>
                <w:sz w:val="24"/>
                <w:highlight w:val="none"/>
              </w:rPr>
            </w:pPr>
            <w:r>
              <w:rPr>
                <w:rFonts w:hint="default"/>
                <w:color w:val="auto"/>
                <w:sz w:val="24"/>
                <w:highlight w:val="none"/>
              </w:rPr>
              <w:t>根据《“十四五”污染减排综合工作方案编制技术指南》（环办综合函【2020】603号）及《关于进一步做好建设项目大气主要污染物排放总量指标审核管理工作的通知（冀环办字函[2020]247号）</w:t>
            </w:r>
            <w:r>
              <w:rPr>
                <w:rFonts w:hint="eastAsia"/>
                <w:color w:val="auto"/>
                <w:sz w:val="24"/>
                <w:highlight w:val="none"/>
              </w:rPr>
              <w:t>）</w:t>
            </w:r>
            <w:r>
              <w:rPr>
                <w:rFonts w:hint="default"/>
                <w:color w:val="auto"/>
                <w:sz w:val="24"/>
                <w:highlight w:val="none"/>
              </w:rPr>
              <w:t>要求及秦皇岛市生态环境局《关于做好建设项目VOCs排放总量指标确认及管理的通知》，本项目不涉及锅炉，不涉及SO</w:t>
            </w:r>
            <w:r>
              <w:rPr>
                <w:rFonts w:hint="default"/>
                <w:color w:val="auto"/>
                <w:sz w:val="24"/>
                <w:highlight w:val="none"/>
                <w:vertAlign w:val="subscript"/>
              </w:rPr>
              <w:t>2</w:t>
            </w:r>
            <w:r>
              <w:rPr>
                <w:rFonts w:hint="default"/>
                <w:color w:val="auto"/>
                <w:sz w:val="24"/>
                <w:highlight w:val="none"/>
              </w:rPr>
              <w:t>、NOx的排放。结合建设项目污染物产生和排放特点项目污染物总量控制项目为：COD、NH</w:t>
            </w:r>
            <w:r>
              <w:rPr>
                <w:rFonts w:hint="default"/>
                <w:color w:val="auto"/>
                <w:sz w:val="24"/>
                <w:highlight w:val="none"/>
                <w:vertAlign w:val="subscript"/>
              </w:rPr>
              <w:t>3</w:t>
            </w:r>
            <w:r>
              <w:rPr>
                <w:rFonts w:hint="default"/>
                <w:color w:val="auto"/>
                <w:sz w:val="24"/>
                <w:highlight w:val="none"/>
              </w:rPr>
              <w:t>-N。</w:t>
            </w:r>
          </w:p>
          <w:p w14:paraId="78632FB2">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auto"/>
                <w:sz w:val="24"/>
                <w:highlight w:val="none"/>
              </w:rPr>
            </w:pPr>
            <w:r>
              <w:rPr>
                <w:rFonts w:hint="eastAsia"/>
                <w:color w:val="auto"/>
                <w:sz w:val="24"/>
                <w:highlight w:val="none"/>
                <w:lang w:val="en-US" w:eastAsia="zh-CN"/>
              </w:rPr>
              <w:t>1</w:t>
            </w:r>
            <w:r>
              <w:rPr>
                <w:rFonts w:hint="default"/>
                <w:color w:val="auto"/>
                <w:sz w:val="24"/>
                <w:highlight w:val="none"/>
              </w:rPr>
              <w:t>、废水</w:t>
            </w:r>
          </w:p>
          <w:p w14:paraId="1029C976">
            <w:pPr>
              <w:keepNext w:val="0"/>
              <w:keepLines w:val="0"/>
              <w:suppressLineNumbers w:val="0"/>
              <w:adjustRightInd w:val="0"/>
              <w:snapToGrid w:val="0"/>
              <w:spacing w:before="0" w:beforeAutospacing="0" w:after="0" w:afterAutospacing="0" w:line="360" w:lineRule="auto"/>
              <w:ind w:left="0" w:right="0" w:firstLine="480" w:firstLineChars="200"/>
              <w:rPr>
                <w:rFonts w:hint="default"/>
                <w:color w:val="auto"/>
                <w:sz w:val="24"/>
                <w:highlight w:val="none"/>
              </w:rPr>
            </w:pPr>
            <w:r>
              <w:rPr>
                <w:rFonts w:hint="default"/>
                <w:color w:val="auto"/>
                <w:sz w:val="24"/>
                <w:highlight w:val="none"/>
              </w:rPr>
              <w:t>项目</w:t>
            </w:r>
            <w:r>
              <w:rPr>
                <w:rFonts w:hint="eastAsia"/>
                <w:color w:val="auto"/>
                <w:sz w:val="24"/>
                <w:highlight w:val="none"/>
                <w:lang w:eastAsia="zh-CN"/>
              </w:rPr>
              <w:t>生产废水和</w:t>
            </w:r>
            <w:r>
              <w:rPr>
                <w:rFonts w:hint="default"/>
                <w:color w:val="auto"/>
                <w:sz w:val="24"/>
                <w:highlight w:val="none"/>
              </w:rPr>
              <w:t>生活污水排放量为</w:t>
            </w:r>
            <w:r>
              <w:rPr>
                <w:rFonts w:hint="default"/>
                <w:b w:val="0"/>
                <w:bCs/>
                <w:snapToGrid w:val="0"/>
                <w:color w:val="auto"/>
                <w:sz w:val="24"/>
                <w:szCs w:val="24"/>
                <w:highlight w:val="none"/>
                <w:vertAlign w:val="baseline"/>
                <w:lang w:val="en-US" w:eastAsia="zh-CN"/>
              </w:rPr>
              <w:fldChar w:fldCharType="begin"/>
            </w:r>
            <w:r>
              <w:rPr>
                <w:rFonts w:hint="default"/>
                <w:b w:val="0"/>
                <w:bCs/>
                <w:snapToGrid w:val="0"/>
                <w:color w:val="auto"/>
                <w:sz w:val="24"/>
                <w:szCs w:val="24"/>
                <w:highlight w:val="none"/>
                <w:vertAlign w:val="baseline"/>
                <w:lang w:val="en-US" w:eastAsia="zh-CN"/>
              </w:rPr>
              <w:instrText xml:space="preserve"> = sum(H4:H8) \* MERGEFORMAT </w:instrText>
            </w:r>
            <w:r>
              <w:rPr>
                <w:rFonts w:hint="default"/>
                <w:b w:val="0"/>
                <w:bCs/>
                <w:snapToGrid w:val="0"/>
                <w:color w:val="auto"/>
                <w:sz w:val="24"/>
                <w:szCs w:val="24"/>
                <w:highlight w:val="none"/>
                <w:vertAlign w:val="baseline"/>
                <w:lang w:val="en-US" w:eastAsia="zh-CN"/>
              </w:rPr>
              <w:fldChar w:fldCharType="separate"/>
            </w:r>
            <w:r>
              <w:rPr>
                <w:rFonts w:hint="default"/>
                <w:b w:val="0"/>
                <w:bCs/>
                <w:snapToGrid w:val="0"/>
                <w:color w:val="auto"/>
                <w:sz w:val="24"/>
                <w:szCs w:val="24"/>
                <w:highlight w:val="none"/>
                <w:vertAlign w:val="baseline"/>
                <w:lang w:val="en-US" w:eastAsia="zh-CN"/>
              </w:rPr>
              <w:t>781.2000015</w:t>
            </w:r>
            <w:r>
              <w:rPr>
                <w:rFonts w:hint="default"/>
                <w:b w:val="0"/>
                <w:bCs/>
                <w:snapToGrid w:val="0"/>
                <w:color w:val="auto"/>
                <w:sz w:val="24"/>
                <w:szCs w:val="24"/>
                <w:highlight w:val="none"/>
                <w:vertAlign w:val="baseline"/>
                <w:lang w:val="en-US" w:eastAsia="zh-CN"/>
              </w:rPr>
              <w:fldChar w:fldCharType="end"/>
            </w:r>
            <w:r>
              <w:rPr>
                <w:rFonts w:hint="default"/>
                <w:color w:val="auto"/>
                <w:sz w:val="24"/>
                <w:szCs w:val="24"/>
                <w:highlight w:val="none"/>
              </w:rPr>
              <w:t>m³/a，</w:t>
            </w:r>
            <w:r>
              <w:rPr>
                <w:rFonts w:hint="eastAsia"/>
                <w:color w:val="auto"/>
                <w:sz w:val="24"/>
                <w:highlight w:val="none"/>
                <w:lang w:eastAsia="zh-CN"/>
              </w:rPr>
              <w:t>生产废水经“</w:t>
            </w:r>
            <w:r>
              <w:rPr>
                <w:rFonts w:hint="eastAsia"/>
                <w:color w:val="auto"/>
                <w:sz w:val="24"/>
                <w:highlight w:val="none"/>
                <w:lang w:val="en-US" w:eastAsia="zh-CN"/>
              </w:rPr>
              <w:t>破乳-絮凝-沉淀</w:t>
            </w:r>
            <w:r>
              <w:rPr>
                <w:rFonts w:hint="eastAsia"/>
                <w:color w:val="auto"/>
                <w:sz w:val="24"/>
                <w:highlight w:val="none"/>
                <w:lang w:eastAsia="zh-CN"/>
              </w:rPr>
              <w:t>”处理和</w:t>
            </w:r>
            <w:r>
              <w:rPr>
                <w:rFonts w:hint="default"/>
                <w:color w:val="auto"/>
                <w:sz w:val="24"/>
                <w:highlight w:val="none"/>
              </w:rPr>
              <w:t>生活污水经</w:t>
            </w:r>
            <w:r>
              <w:rPr>
                <w:rFonts w:hint="eastAsia"/>
                <w:color w:val="auto"/>
                <w:sz w:val="24"/>
                <w:highlight w:val="none"/>
                <w:lang w:eastAsia="zh-CN"/>
              </w:rPr>
              <w:t>化粪池处理后均经</w:t>
            </w:r>
            <w:r>
              <w:rPr>
                <w:rFonts w:hint="default"/>
                <w:color w:val="auto"/>
                <w:sz w:val="24"/>
                <w:highlight w:val="none"/>
              </w:rPr>
              <w:t>市政污水管网</w:t>
            </w:r>
            <w:r>
              <w:rPr>
                <w:rFonts w:hint="eastAsia"/>
                <w:color w:val="auto"/>
                <w:sz w:val="24"/>
                <w:highlight w:val="none"/>
                <w:lang w:eastAsia="zh-CN"/>
              </w:rPr>
              <w:t>最终</w:t>
            </w:r>
            <w:r>
              <w:rPr>
                <w:rFonts w:hint="default"/>
                <w:color w:val="auto"/>
                <w:sz w:val="24"/>
                <w:highlight w:val="none"/>
              </w:rPr>
              <w:t>排入</w:t>
            </w:r>
            <w:r>
              <w:rPr>
                <w:rFonts w:hint="eastAsia"/>
                <w:color w:val="auto"/>
                <w:sz w:val="24"/>
                <w:highlight w:val="none"/>
                <w:lang w:val="en-US" w:eastAsia="zh-CN"/>
              </w:rPr>
              <w:t>秦皇岛市第三</w:t>
            </w:r>
            <w:r>
              <w:rPr>
                <w:rFonts w:hint="eastAsia"/>
                <w:color w:val="auto"/>
                <w:sz w:val="24"/>
                <w:highlight w:val="none"/>
              </w:rPr>
              <w:t>污水处理厂</w:t>
            </w:r>
            <w:r>
              <w:rPr>
                <w:rFonts w:hint="default"/>
                <w:color w:val="auto"/>
                <w:sz w:val="24"/>
                <w:highlight w:val="none"/>
              </w:rPr>
              <w:t>处理，因此采用企业废水总排放口排放标准及</w:t>
            </w:r>
            <w:r>
              <w:rPr>
                <w:rFonts w:hint="eastAsia"/>
                <w:color w:val="auto"/>
                <w:sz w:val="24"/>
                <w:highlight w:val="none"/>
                <w:lang w:val="en-US" w:eastAsia="zh-CN"/>
              </w:rPr>
              <w:t>秦皇岛市第三</w:t>
            </w:r>
            <w:r>
              <w:rPr>
                <w:rFonts w:hint="eastAsia"/>
                <w:color w:val="auto"/>
                <w:sz w:val="24"/>
                <w:highlight w:val="none"/>
              </w:rPr>
              <w:t>污水处理厂</w:t>
            </w:r>
            <w:r>
              <w:rPr>
                <w:rFonts w:hint="default"/>
                <w:color w:val="auto"/>
                <w:sz w:val="24"/>
                <w:highlight w:val="none"/>
              </w:rPr>
              <w:t>出水标准作为排放标准分别核算COD、氨氮排放量。</w:t>
            </w:r>
            <w:r>
              <w:rPr>
                <w:rFonts w:hint="eastAsia"/>
                <w:color w:val="auto"/>
                <w:sz w:val="24"/>
                <w:highlight w:val="none"/>
                <w:lang w:val="en-US" w:eastAsia="zh-CN"/>
              </w:rPr>
              <w:t>秦皇岛市第三</w:t>
            </w:r>
            <w:r>
              <w:rPr>
                <w:rFonts w:hint="eastAsia"/>
                <w:color w:val="auto"/>
                <w:sz w:val="24"/>
                <w:highlight w:val="none"/>
              </w:rPr>
              <w:t>污水处理厂</w:t>
            </w:r>
            <w:r>
              <w:rPr>
                <w:rFonts w:hint="default"/>
                <w:color w:val="auto"/>
                <w:sz w:val="24"/>
                <w:highlight w:val="none"/>
              </w:rPr>
              <w:t>出水水质满足《城镇污水处理厂污染物排放标准》(GB18918-2002)一级A标准，即COD≤</w:t>
            </w:r>
            <w:r>
              <w:rPr>
                <w:rFonts w:hint="eastAsia"/>
                <w:color w:val="auto"/>
                <w:sz w:val="24"/>
                <w:highlight w:val="none"/>
                <w:lang w:val="en-US" w:eastAsia="zh-CN"/>
              </w:rPr>
              <w:t>5</w:t>
            </w:r>
            <w:r>
              <w:rPr>
                <w:rFonts w:hint="default"/>
                <w:color w:val="auto"/>
                <w:sz w:val="24"/>
                <w:highlight w:val="none"/>
              </w:rPr>
              <w:t>0mg/L，氨氨≤</w:t>
            </w:r>
            <w:r>
              <w:rPr>
                <w:rFonts w:hint="eastAsia"/>
                <w:color w:val="auto"/>
                <w:sz w:val="24"/>
                <w:highlight w:val="none"/>
                <w:lang w:val="en-US" w:eastAsia="zh-CN"/>
              </w:rPr>
              <w:t>5</w:t>
            </w:r>
            <w:r>
              <w:rPr>
                <w:rFonts w:hint="default"/>
                <w:color w:val="auto"/>
                <w:sz w:val="24"/>
                <w:highlight w:val="none"/>
              </w:rPr>
              <w:t>mg/L。</w:t>
            </w:r>
          </w:p>
          <w:p w14:paraId="4FE248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（1）项目采用企业废水总排放口排放标准核算 COD、氨氮排放量为：</w:t>
            </w:r>
          </w:p>
          <w:p w14:paraId="244941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COD：</w:t>
            </w:r>
            <w:r>
              <w:rPr>
                <w:rFonts w:hint="eastAsia" w:cs="Times New Roman"/>
                <w:color w:val="auto"/>
                <w:sz w:val="24"/>
                <w:szCs w:val="24"/>
                <w:highlight w:val="none"/>
                <w:lang w:val="en-US" w:eastAsia="zh-CN"/>
              </w:rPr>
              <w:t>781.2000015</w:t>
            </w:r>
            <w:r>
              <w:rPr>
                <w:rFonts w:hint="default" w:ascii="Times New Roman" w:hAnsi="Times New Roman" w:cs="Times New Roman"/>
                <w:color w:val="auto"/>
                <w:sz w:val="24"/>
                <w:szCs w:val="24"/>
                <w:highlight w:val="none"/>
                <w:lang w:val="en-US" w:eastAsia="zh-CN"/>
              </w:rPr>
              <w:t>m³/a×4</w:t>
            </w:r>
            <w:r>
              <w:rPr>
                <w:rFonts w:hint="eastAsia" w:cs="Times New Roman"/>
                <w:color w:val="auto"/>
                <w:sz w:val="24"/>
                <w:szCs w:val="24"/>
                <w:highlight w:val="none"/>
                <w:lang w:val="en-US" w:eastAsia="zh-CN"/>
              </w:rPr>
              <w:t>50</w:t>
            </w:r>
            <w:r>
              <w:rPr>
                <w:rFonts w:hint="default" w:ascii="Times New Roman" w:hAnsi="Times New Roman" w:cs="Times New Roman"/>
                <w:color w:val="auto"/>
                <w:sz w:val="24"/>
                <w:szCs w:val="24"/>
                <w:highlight w:val="none"/>
                <w:lang w:val="en-US" w:eastAsia="zh-CN"/>
              </w:rPr>
              <w:t>mg/L×10</w:t>
            </w:r>
            <w:r>
              <w:rPr>
                <w:rFonts w:hint="default" w:ascii="Times New Roman" w:hAnsi="Times New Roman" w:cs="Times New Roman"/>
                <w:color w:val="auto"/>
                <w:sz w:val="24"/>
                <w:szCs w:val="24"/>
                <w:highlight w:val="none"/>
                <w:vertAlign w:val="superscript"/>
                <w:lang w:val="en-US" w:eastAsia="zh-CN"/>
              </w:rPr>
              <w:t>-6</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0.352</w:t>
            </w:r>
            <w:r>
              <w:rPr>
                <w:rFonts w:hint="default" w:ascii="Times New Roman" w:hAnsi="Times New Roman" w:cs="Times New Roman"/>
                <w:color w:val="auto"/>
                <w:sz w:val="24"/>
                <w:szCs w:val="24"/>
                <w:highlight w:val="none"/>
                <w:lang w:val="en-US" w:eastAsia="zh-CN"/>
              </w:rPr>
              <w:t xml:space="preserve">t/a。 </w:t>
            </w:r>
          </w:p>
          <w:p w14:paraId="5B16F5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氨氮：</w:t>
            </w:r>
            <w:r>
              <w:rPr>
                <w:rFonts w:hint="eastAsia" w:cs="Times New Roman"/>
                <w:color w:val="auto"/>
                <w:sz w:val="24"/>
                <w:szCs w:val="24"/>
                <w:highlight w:val="none"/>
                <w:lang w:val="en-US" w:eastAsia="zh-CN"/>
              </w:rPr>
              <w:t>781.2000015</w:t>
            </w:r>
            <w:r>
              <w:rPr>
                <w:rFonts w:hint="default" w:ascii="Times New Roman" w:hAnsi="Times New Roman" w:cs="Times New Roman"/>
                <w:color w:val="auto"/>
                <w:sz w:val="24"/>
                <w:szCs w:val="24"/>
                <w:highlight w:val="none"/>
                <w:lang w:val="en-US" w:eastAsia="zh-CN"/>
              </w:rPr>
              <w:t>m³/a×</w:t>
            </w:r>
            <w:r>
              <w:rPr>
                <w:rFonts w:hint="eastAsia" w:cs="Times New Roman"/>
                <w:color w:val="auto"/>
                <w:sz w:val="24"/>
                <w:szCs w:val="24"/>
                <w:highlight w:val="none"/>
                <w:lang w:val="en-US" w:eastAsia="zh-CN"/>
              </w:rPr>
              <w:t>36</w:t>
            </w:r>
            <w:r>
              <w:rPr>
                <w:rFonts w:hint="default" w:ascii="Times New Roman" w:hAnsi="Times New Roman" w:cs="Times New Roman"/>
                <w:color w:val="auto"/>
                <w:sz w:val="24"/>
                <w:szCs w:val="24"/>
                <w:highlight w:val="none"/>
                <w:lang w:val="en-US" w:eastAsia="zh-CN"/>
              </w:rPr>
              <w:t>mg/L×10</w:t>
            </w:r>
            <w:r>
              <w:rPr>
                <w:rFonts w:hint="default" w:ascii="Times New Roman" w:hAnsi="Times New Roman" w:cs="Times New Roman"/>
                <w:color w:val="auto"/>
                <w:sz w:val="24"/>
                <w:szCs w:val="24"/>
                <w:highlight w:val="none"/>
                <w:vertAlign w:val="superscript"/>
                <w:lang w:val="en-US" w:eastAsia="zh-CN"/>
              </w:rPr>
              <w:t>-6</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0.028</w:t>
            </w:r>
            <w:r>
              <w:rPr>
                <w:rFonts w:hint="default" w:ascii="Times New Roman" w:hAnsi="Times New Roman" w:cs="Times New Roman"/>
                <w:color w:val="auto"/>
                <w:sz w:val="24"/>
                <w:szCs w:val="24"/>
                <w:highlight w:val="none"/>
                <w:lang w:val="en-US" w:eastAsia="zh-CN"/>
              </w:rPr>
              <w:t>t/a。</w:t>
            </w:r>
          </w:p>
          <w:p w14:paraId="640591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（2）项目采用污水处理厂出水标准核算废水COD、氨氮排放量为：</w:t>
            </w:r>
          </w:p>
          <w:p w14:paraId="5A607B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COD：</w:t>
            </w:r>
            <w:r>
              <w:rPr>
                <w:rFonts w:hint="eastAsia" w:cs="Times New Roman"/>
                <w:color w:val="auto"/>
                <w:sz w:val="24"/>
                <w:szCs w:val="24"/>
                <w:highlight w:val="none"/>
                <w:lang w:val="en-US" w:eastAsia="zh-CN"/>
              </w:rPr>
              <w:t>781.2000015</w:t>
            </w:r>
            <w:r>
              <w:rPr>
                <w:rFonts w:hint="default" w:ascii="Times New Roman" w:hAnsi="Times New Roman" w:cs="Times New Roman"/>
                <w:color w:val="auto"/>
                <w:sz w:val="24"/>
                <w:szCs w:val="24"/>
                <w:highlight w:val="none"/>
                <w:lang w:val="en-US" w:eastAsia="zh-CN"/>
              </w:rPr>
              <w:t>m³/a×50mg/L×10</w:t>
            </w:r>
            <w:r>
              <w:rPr>
                <w:rFonts w:hint="default" w:ascii="Times New Roman" w:hAnsi="Times New Roman" w:cs="Times New Roman"/>
                <w:color w:val="auto"/>
                <w:sz w:val="24"/>
                <w:szCs w:val="24"/>
                <w:highlight w:val="none"/>
                <w:vertAlign w:val="superscript"/>
                <w:lang w:val="en-US" w:eastAsia="zh-CN"/>
              </w:rPr>
              <w:t>-6</w:t>
            </w:r>
            <w:r>
              <w:rPr>
                <w:rFonts w:hint="default" w:ascii="Times New Roman" w:hAnsi="Times New Roman" w:cs="Times New Roman"/>
                <w:color w:val="auto"/>
                <w:sz w:val="24"/>
                <w:szCs w:val="24"/>
                <w:highlight w:val="none"/>
                <w:lang w:val="en-US" w:eastAsia="zh-CN"/>
              </w:rPr>
              <w:t>＝0.0</w:t>
            </w:r>
            <w:r>
              <w:rPr>
                <w:rFonts w:hint="eastAsia" w:cs="Times New Roman"/>
                <w:color w:val="auto"/>
                <w:sz w:val="24"/>
                <w:szCs w:val="24"/>
                <w:highlight w:val="none"/>
                <w:lang w:val="en-US" w:eastAsia="zh-CN"/>
              </w:rPr>
              <w:t>39</w:t>
            </w:r>
            <w:r>
              <w:rPr>
                <w:rFonts w:hint="default" w:ascii="Times New Roman" w:hAnsi="Times New Roman" w:cs="Times New Roman"/>
                <w:color w:val="auto"/>
                <w:sz w:val="24"/>
                <w:szCs w:val="24"/>
                <w:highlight w:val="none"/>
                <w:lang w:val="en-US" w:eastAsia="zh-CN"/>
              </w:rPr>
              <w:t xml:space="preserve">t/a。 </w:t>
            </w:r>
          </w:p>
          <w:p w14:paraId="4EA9B2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氨氮：</w:t>
            </w:r>
            <w:r>
              <w:rPr>
                <w:rFonts w:hint="eastAsia" w:cs="Times New Roman"/>
                <w:color w:val="auto"/>
                <w:sz w:val="24"/>
                <w:szCs w:val="24"/>
                <w:highlight w:val="none"/>
                <w:lang w:val="en-US" w:eastAsia="zh-CN"/>
              </w:rPr>
              <w:t>781.2000015</w:t>
            </w:r>
            <w:r>
              <w:rPr>
                <w:rFonts w:hint="default" w:ascii="Times New Roman" w:hAnsi="Times New Roman" w:cs="Times New Roman"/>
                <w:color w:val="auto"/>
                <w:sz w:val="24"/>
                <w:szCs w:val="24"/>
                <w:highlight w:val="none"/>
                <w:lang w:val="en-US" w:eastAsia="zh-CN"/>
              </w:rPr>
              <w:t>m³/a×5mg/L×10</w:t>
            </w:r>
            <w:r>
              <w:rPr>
                <w:rFonts w:hint="default" w:ascii="Times New Roman" w:hAnsi="Times New Roman" w:cs="Times New Roman"/>
                <w:color w:val="auto"/>
                <w:sz w:val="24"/>
                <w:szCs w:val="24"/>
                <w:highlight w:val="none"/>
                <w:vertAlign w:val="superscript"/>
                <w:lang w:val="en-US" w:eastAsia="zh-CN"/>
              </w:rPr>
              <w:t>-6</w:t>
            </w:r>
            <w:r>
              <w:rPr>
                <w:rFonts w:hint="default" w:ascii="Times New Roman" w:hAnsi="Times New Roman" w:cs="Times New Roman"/>
                <w:color w:val="auto"/>
                <w:sz w:val="24"/>
                <w:szCs w:val="24"/>
                <w:highlight w:val="none"/>
                <w:lang w:val="en-US" w:eastAsia="zh-CN"/>
              </w:rPr>
              <w:t>＝0.00</w:t>
            </w:r>
            <w:r>
              <w:rPr>
                <w:rFonts w:hint="eastAsia" w:cs="Times New Roman"/>
                <w:color w:val="auto"/>
                <w:sz w:val="24"/>
                <w:szCs w:val="24"/>
                <w:highlight w:val="none"/>
                <w:lang w:val="en-US" w:eastAsia="zh-CN"/>
              </w:rPr>
              <w:t>39</w:t>
            </w:r>
            <w:r>
              <w:rPr>
                <w:rFonts w:hint="default" w:ascii="Times New Roman" w:hAnsi="Times New Roman" w:cs="Times New Roman"/>
                <w:color w:val="auto"/>
                <w:sz w:val="24"/>
                <w:szCs w:val="24"/>
                <w:highlight w:val="none"/>
                <w:lang w:val="en-US" w:eastAsia="zh-CN"/>
              </w:rPr>
              <w:t>t/a。</w:t>
            </w:r>
          </w:p>
          <w:p w14:paraId="527DF1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以污水处理厂进水指标核算：</w:t>
            </w:r>
          </w:p>
          <w:p w14:paraId="7C2088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本项目总量控制指标为氮氧化物</w:t>
            </w:r>
            <w:r>
              <w:rPr>
                <w:rFonts w:hint="eastAsia"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lang w:val="en-US" w:eastAsia="zh-CN"/>
              </w:rPr>
              <w:t>t/a、二氧化硫</w:t>
            </w:r>
            <w:r>
              <w:rPr>
                <w:rFonts w:hint="eastAsia" w:ascii="Times New Roman" w:hAnsi="Times New Roman" w:eastAsia="宋体" w:cs="Times New Roman"/>
                <w:color w:val="auto"/>
                <w:sz w:val="24"/>
                <w:szCs w:val="24"/>
                <w:highlight w:val="none"/>
                <w:lang w:val="en-US" w:eastAsia="zh-CN"/>
              </w:rPr>
              <w:t>0</w:t>
            </w:r>
            <w:r>
              <w:rPr>
                <w:rFonts w:hint="eastAsia"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lang w:val="en-US" w:eastAsia="zh-CN"/>
              </w:rPr>
              <w:t>t/a、CODcr</w:t>
            </w:r>
            <w:r>
              <w:rPr>
                <w:rFonts w:hint="eastAsia"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val="en-US" w:eastAsia="zh-CN"/>
              </w:rPr>
              <w:t>0.</w:t>
            </w:r>
            <w:r>
              <w:rPr>
                <w:rFonts w:hint="eastAsia" w:cs="Times New Roman"/>
                <w:color w:val="auto"/>
                <w:sz w:val="24"/>
                <w:szCs w:val="24"/>
                <w:highlight w:val="none"/>
                <w:lang w:val="en-US" w:eastAsia="zh-CN"/>
              </w:rPr>
              <w:t xml:space="preserve">352 </w:t>
            </w:r>
            <w:r>
              <w:rPr>
                <w:rFonts w:hint="default" w:ascii="Times New Roman" w:hAnsi="Times New Roman" w:eastAsia="宋体" w:cs="Times New Roman"/>
                <w:color w:val="auto"/>
                <w:sz w:val="24"/>
                <w:szCs w:val="24"/>
                <w:highlight w:val="none"/>
                <w:lang w:val="en-US" w:eastAsia="zh-CN"/>
              </w:rPr>
              <w:t>t/a、氨氮</w:t>
            </w:r>
            <w:r>
              <w:rPr>
                <w:rFonts w:hint="eastAsia" w:ascii="Times New Roman" w:hAnsi="Times New Roman" w:eastAsia="宋体" w:cs="Times New Roman"/>
                <w:color w:val="auto"/>
                <w:sz w:val="24"/>
                <w:szCs w:val="24"/>
                <w:highlight w:val="none"/>
                <w:lang w:val="en-US" w:eastAsia="zh-CN"/>
              </w:rPr>
              <w:t>0.0</w:t>
            </w:r>
            <w:r>
              <w:rPr>
                <w:rFonts w:hint="eastAsia" w:cs="Times New Roman"/>
                <w:color w:val="auto"/>
                <w:sz w:val="24"/>
                <w:szCs w:val="24"/>
                <w:highlight w:val="none"/>
                <w:lang w:val="en-US" w:eastAsia="zh-CN"/>
              </w:rPr>
              <w:t xml:space="preserve">28 </w:t>
            </w:r>
            <w:r>
              <w:rPr>
                <w:rFonts w:hint="default" w:ascii="Times New Roman" w:hAnsi="Times New Roman" w:eastAsia="宋体" w:cs="Times New Roman"/>
                <w:color w:val="auto"/>
                <w:sz w:val="24"/>
                <w:szCs w:val="24"/>
                <w:highlight w:val="none"/>
                <w:lang w:val="en-US" w:eastAsia="zh-CN"/>
              </w:rPr>
              <w:t>t/a。</w:t>
            </w:r>
          </w:p>
          <w:p w14:paraId="63A24B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以污水处理厂出水指标核算：</w:t>
            </w:r>
          </w:p>
          <w:p w14:paraId="39A28E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本项目总量控制指标为氮氧化物</w:t>
            </w:r>
            <w:r>
              <w:rPr>
                <w:rFonts w:hint="eastAsia" w:ascii="Times New Roman" w:hAnsi="Times New Roman" w:eastAsia="宋体" w:cs="Times New Roman"/>
                <w:color w:val="auto"/>
                <w:sz w:val="24"/>
                <w:szCs w:val="24"/>
                <w:highlight w:val="none"/>
                <w:lang w:val="en-US" w:eastAsia="zh-CN"/>
              </w:rPr>
              <w:t>0</w:t>
            </w:r>
            <w:r>
              <w:rPr>
                <w:rFonts w:hint="eastAsia"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lang w:val="en-US" w:eastAsia="zh-CN"/>
              </w:rPr>
              <w:t>t/a、二氧化硫</w:t>
            </w:r>
            <w:r>
              <w:rPr>
                <w:rFonts w:hint="eastAsia" w:ascii="Times New Roman" w:hAnsi="Times New Roman" w:eastAsia="宋体" w:cs="Times New Roman"/>
                <w:color w:val="auto"/>
                <w:sz w:val="24"/>
                <w:szCs w:val="24"/>
                <w:highlight w:val="none"/>
                <w:lang w:val="en-US" w:eastAsia="zh-CN"/>
              </w:rPr>
              <w:t>0</w:t>
            </w:r>
            <w:r>
              <w:rPr>
                <w:rFonts w:hint="eastAsia"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lang w:val="en-US" w:eastAsia="zh-CN"/>
              </w:rPr>
              <w:t>t/a、CODcr</w:t>
            </w:r>
            <w:r>
              <w:rPr>
                <w:rFonts w:hint="eastAsia"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val="en-US" w:eastAsia="zh-CN"/>
              </w:rPr>
              <w:t>0.0</w:t>
            </w:r>
            <w:r>
              <w:rPr>
                <w:rFonts w:hint="eastAsia" w:cs="Times New Roman"/>
                <w:color w:val="auto"/>
                <w:sz w:val="24"/>
                <w:szCs w:val="24"/>
                <w:highlight w:val="none"/>
                <w:lang w:val="en-US" w:eastAsia="zh-CN"/>
              </w:rPr>
              <w:t xml:space="preserve">39 </w:t>
            </w:r>
            <w:r>
              <w:rPr>
                <w:rFonts w:hint="default" w:ascii="Times New Roman" w:hAnsi="Times New Roman" w:eastAsia="宋体" w:cs="Times New Roman"/>
                <w:color w:val="auto"/>
                <w:sz w:val="24"/>
                <w:szCs w:val="24"/>
                <w:highlight w:val="none"/>
                <w:lang w:val="en-US" w:eastAsia="zh-CN"/>
              </w:rPr>
              <w:t>t/a、氨氮</w:t>
            </w:r>
            <w:r>
              <w:rPr>
                <w:rFonts w:hint="eastAsia" w:ascii="Times New Roman" w:hAnsi="Times New Roman" w:eastAsia="宋体" w:cs="Times New Roman"/>
                <w:color w:val="auto"/>
                <w:sz w:val="24"/>
                <w:szCs w:val="24"/>
                <w:highlight w:val="none"/>
                <w:lang w:val="en-US" w:eastAsia="zh-CN"/>
              </w:rPr>
              <w:t>0.00</w:t>
            </w:r>
            <w:r>
              <w:rPr>
                <w:rFonts w:hint="eastAsia" w:cs="Times New Roman"/>
                <w:color w:val="auto"/>
                <w:sz w:val="24"/>
                <w:szCs w:val="24"/>
                <w:highlight w:val="none"/>
                <w:lang w:val="en-US" w:eastAsia="zh-CN"/>
              </w:rPr>
              <w:t xml:space="preserve">39 </w:t>
            </w:r>
            <w:r>
              <w:rPr>
                <w:rFonts w:hint="default" w:ascii="Times New Roman" w:hAnsi="Times New Roman" w:eastAsia="宋体" w:cs="Times New Roman"/>
                <w:color w:val="auto"/>
                <w:sz w:val="24"/>
                <w:szCs w:val="24"/>
                <w:highlight w:val="none"/>
                <w:lang w:val="en-US" w:eastAsia="zh-CN"/>
              </w:rPr>
              <w:t>t/a。</w:t>
            </w:r>
          </w:p>
          <w:p w14:paraId="56E6369E">
            <w:pPr>
              <w:pStyle w:val="56"/>
              <w:keepNext w:val="0"/>
              <w:keepLines w:val="0"/>
              <w:suppressLineNumbers w:val="0"/>
              <w:spacing w:before="0" w:beforeAutospacing="0" w:after="0" w:afterAutospacing="0"/>
              <w:ind w:left="0" w:right="0"/>
              <w:jc w:val="left"/>
              <w:rPr>
                <w:rFonts w:hint="default" w:ascii="Times New Roman" w:hAnsi="Times New Roman"/>
                <w:color w:val="auto"/>
                <w:highlight w:val="none"/>
              </w:rPr>
            </w:pPr>
          </w:p>
          <w:p w14:paraId="67DAE53A">
            <w:pPr>
              <w:pStyle w:val="56"/>
              <w:keepNext w:val="0"/>
              <w:keepLines w:val="0"/>
              <w:suppressLineNumbers w:val="0"/>
              <w:spacing w:before="0" w:beforeAutospacing="0" w:after="0" w:afterAutospacing="0"/>
              <w:ind w:left="0" w:right="0"/>
              <w:jc w:val="left"/>
              <w:rPr>
                <w:rFonts w:hint="default" w:ascii="Times New Roman" w:hAnsi="Times New Roman"/>
                <w:color w:val="auto"/>
                <w:highlight w:val="none"/>
              </w:rPr>
            </w:pPr>
          </w:p>
          <w:p w14:paraId="5398C13A">
            <w:pPr>
              <w:pStyle w:val="56"/>
              <w:keepNext w:val="0"/>
              <w:keepLines w:val="0"/>
              <w:suppressLineNumbers w:val="0"/>
              <w:spacing w:before="0" w:beforeAutospacing="0" w:after="0" w:afterAutospacing="0"/>
              <w:ind w:left="0" w:right="0" w:firstLine="0" w:firstLineChars="0"/>
              <w:jc w:val="left"/>
              <w:rPr>
                <w:rFonts w:hint="default" w:ascii="Times New Roman" w:hAnsi="Times New Roman"/>
                <w:color w:val="auto"/>
                <w:highlight w:val="none"/>
              </w:rPr>
            </w:pPr>
          </w:p>
        </w:tc>
      </w:tr>
    </w:tbl>
    <w:p w14:paraId="10D97A0E">
      <w:pPr>
        <w:pStyle w:val="31"/>
        <w:spacing w:before="0" w:beforeAutospacing="0" w:after="0" w:afterAutospacing="0"/>
        <w:jc w:val="center"/>
        <w:outlineLvl w:val="0"/>
        <w:rPr>
          <w:rFonts w:ascii="黑体" w:hAnsi="黑体" w:eastAsia="黑体"/>
          <w:snapToGrid w:val="0"/>
          <w:color w:val="auto"/>
          <w:sz w:val="30"/>
          <w:szCs w:val="30"/>
          <w:highlight w:val="none"/>
        </w:rPr>
      </w:pPr>
      <w:r>
        <w:rPr>
          <w:rFonts w:ascii="黑体" w:hAnsi="黑体" w:eastAsia="黑体"/>
          <w:snapToGrid w:val="0"/>
          <w:color w:val="auto"/>
          <w:sz w:val="36"/>
          <w:szCs w:val="36"/>
          <w:highlight w:val="none"/>
        </w:rPr>
        <w:br w:type="page"/>
      </w:r>
      <w:bookmarkStart w:id="8" w:name="_Toc26585"/>
      <w:r>
        <w:rPr>
          <w:rFonts w:hint="eastAsia" w:ascii="黑体" w:hAnsi="黑体" w:eastAsia="黑体"/>
          <w:snapToGrid w:val="0"/>
          <w:color w:val="auto"/>
          <w:sz w:val="30"/>
          <w:szCs w:val="30"/>
          <w:highlight w:val="none"/>
        </w:rPr>
        <w:t>四、主要环境影响和保护措施</w:t>
      </w:r>
      <w:bookmarkEnd w:id="8"/>
    </w:p>
    <w:tbl>
      <w:tblPr>
        <w:tblStyle w:val="35"/>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2"/>
        <w:gridCol w:w="8549"/>
      </w:tblGrid>
      <w:tr w14:paraId="788151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98" w:hRule="atLeast"/>
          <w:jc w:val="center"/>
        </w:trPr>
        <w:tc>
          <w:tcPr>
            <w:tcW w:w="432" w:type="dxa"/>
            <w:tcMar>
              <w:left w:w="28" w:type="dxa"/>
              <w:right w:w="28" w:type="dxa"/>
            </w:tcMar>
            <w:vAlign w:val="center"/>
          </w:tcPr>
          <w:p w14:paraId="0E9A098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12CAFB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D00378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E56119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1A38B8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9EFA24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1D966A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250456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05EAD8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B93B7F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938003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2F5750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BA8C11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18C7D4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1BFEC5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施工期环境保护措施</w:t>
            </w:r>
          </w:p>
          <w:p w14:paraId="76408F2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14E864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6AEC8F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60E7B2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7AE4EB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66393E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FE3C98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99922F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A0B40B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82A7CE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07E161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5CE454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65D5D7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A382DFA">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p>
        </w:tc>
        <w:tc>
          <w:tcPr>
            <w:tcW w:w="8549" w:type="dxa"/>
          </w:tcPr>
          <w:p w14:paraId="6ADB4209">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rPr>
            </w:pPr>
            <w:r>
              <w:rPr>
                <w:rFonts w:hint="default"/>
                <w:color w:val="auto"/>
                <w:sz w:val="24"/>
                <w:highlight w:val="none"/>
              </w:rPr>
              <w:t>项目租用现有空厂房，无拆除工序，无土建施工，仅进行简单的设备安装，不会产生</w:t>
            </w:r>
            <w:r>
              <w:rPr>
                <w:rFonts w:hint="default" w:ascii="Times New Roman" w:hAnsi="Times New Roman" w:eastAsia="宋体" w:cs="Times New Roman"/>
                <w:color w:val="auto"/>
                <w:sz w:val="24"/>
                <w:highlight w:val="none"/>
              </w:rPr>
              <w:t>明显的扬尘，且设备在夜间不进行搬运、安装，</w:t>
            </w:r>
            <w:r>
              <w:rPr>
                <w:rFonts w:hint="eastAsia" w:ascii="Times New Roman" w:hAnsi="Times New Roman" w:eastAsia="宋体" w:cs="Times New Roman"/>
                <w:color w:val="auto"/>
                <w:sz w:val="24"/>
                <w:highlight w:val="none"/>
                <w:lang w:val="en-US" w:eastAsia="zh-CN"/>
              </w:rPr>
              <w:t>本项目</w:t>
            </w:r>
            <w:r>
              <w:rPr>
                <w:rFonts w:hint="eastAsia" w:ascii="Times New Roman" w:hAnsi="Times New Roman" w:eastAsia="宋体" w:cs="Times New Roman"/>
                <w:color w:val="auto"/>
                <w:sz w:val="24"/>
                <w:highlight w:val="none"/>
              </w:rPr>
              <w:t>工程量小</w:t>
            </w:r>
            <w:r>
              <w:rPr>
                <w:rFonts w:hint="default" w:ascii="Times New Roman" w:hAnsi="Times New Roman" w:eastAsia="宋体" w:cs="Times New Roman"/>
                <w:color w:val="auto"/>
                <w:sz w:val="24"/>
                <w:highlight w:val="none"/>
              </w:rPr>
              <w:t>，施工期较短，在施工期间，通过合理组织安排，加强管理等措施，对周围环境影响较小</w:t>
            </w:r>
            <w:r>
              <w:rPr>
                <w:rFonts w:hint="eastAsia" w:ascii="Times New Roman" w:hAnsi="Times New Roman" w:eastAsia="宋体" w:cs="Times New Roman"/>
                <w:color w:val="auto"/>
                <w:sz w:val="24"/>
                <w:highlight w:val="none"/>
                <w:lang w:eastAsia="zh-CN"/>
              </w:rPr>
              <w:t>。</w:t>
            </w:r>
          </w:p>
          <w:p w14:paraId="48F1D31B">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1</w:t>
            </w:r>
            <w:r>
              <w:rPr>
                <w:rFonts w:hint="eastAsia" w:ascii="Times New Roman" w:hAnsi="Times New Roman" w:eastAsia="宋体" w:cs="Times New Roman"/>
                <w:color w:val="auto"/>
                <w:sz w:val="24"/>
                <w:highlight w:val="none"/>
              </w:rPr>
              <w:t>、废水</w:t>
            </w:r>
          </w:p>
          <w:p w14:paraId="1C43E388">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rPr>
              <w:t>施工期废水主要为设备安装</w:t>
            </w:r>
            <w:r>
              <w:rPr>
                <w:rFonts w:hint="eastAsia" w:ascii="Times New Roman" w:hAnsi="Times New Roman" w:eastAsia="宋体" w:cs="Times New Roman"/>
                <w:color w:val="auto"/>
                <w:sz w:val="24"/>
                <w:highlight w:val="none"/>
                <w:lang w:val="en-US" w:eastAsia="zh-CN"/>
              </w:rPr>
              <w:t>人员</w:t>
            </w:r>
            <w:r>
              <w:rPr>
                <w:rFonts w:hint="default" w:ascii="Times New Roman" w:hAnsi="Times New Roman" w:eastAsia="宋体" w:cs="Times New Roman"/>
                <w:color w:val="auto"/>
                <w:sz w:val="24"/>
                <w:highlight w:val="none"/>
                <w:lang w:val="en-US"/>
              </w:rPr>
              <w:t>的生活污水，施工人员较少，且施工期短，</w:t>
            </w:r>
            <w:r>
              <w:rPr>
                <w:rFonts w:hint="eastAsia" w:ascii="Times New Roman" w:hAnsi="Times New Roman" w:eastAsia="宋体" w:cs="Times New Roman"/>
                <w:color w:val="auto"/>
                <w:sz w:val="24"/>
                <w:highlight w:val="none"/>
                <w:lang w:val="en-US"/>
              </w:rPr>
              <w:t>利用厂区内现有化粪池处理</w:t>
            </w:r>
            <w:r>
              <w:rPr>
                <w:rFonts w:hint="eastAsia" w:ascii="Times New Roman" w:hAnsi="Times New Roman" w:eastAsia="宋体" w:cs="Times New Roman"/>
                <w:color w:val="auto"/>
                <w:sz w:val="24"/>
                <w:highlight w:val="none"/>
              </w:rPr>
              <w:t>。</w:t>
            </w:r>
          </w:p>
          <w:p w14:paraId="2787ECB2">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2</w:t>
            </w:r>
            <w:r>
              <w:rPr>
                <w:rFonts w:hint="eastAsia" w:ascii="Times New Roman" w:hAnsi="Times New Roman" w:eastAsia="宋体" w:cs="Times New Roman"/>
                <w:color w:val="auto"/>
                <w:sz w:val="24"/>
                <w:highlight w:val="none"/>
              </w:rPr>
              <w:t>、噪声</w:t>
            </w:r>
          </w:p>
          <w:p w14:paraId="5B79646E">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rPr>
            </w:pPr>
            <w:r>
              <w:rPr>
                <w:rFonts w:hint="default" w:ascii="Times New Roman" w:hAnsi="Times New Roman" w:eastAsia="宋体" w:cs="Times New Roman"/>
                <w:color w:val="auto"/>
                <w:sz w:val="24"/>
                <w:highlight w:val="none"/>
                <w:lang w:val="en-US"/>
              </w:rPr>
              <w:t>项目施工期设备安装产生的施工噪声主要来自于电钻、电焊机等。 根据类比调查，工程施工期主要噪声源声压级为 90~110dB（A）。项目施工期拟采取以下控制措施：</w:t>
            </w:r>
          </w:p>
          <w:p w14:paraId="2D57E30E">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rPr>
            </w:pPr>
            <w:r>
              <w:rPr>
                <w:rFonts w:hint="default" w:ascii="Times New Roman" w:hAnsi="Times New Roman" w:eastAsia="宋体" w:cs="Times New Roman"/>
                <w:color w:val="auto"/>
                <w:sz w:val="24"/>
                <w:highlight w:val="none"/>
                <w:lang w:val="en-US"/>
              </w:rPr>
              <w:t>（1）合理安排施工时间，禁止夜间22:00-6:00施工；</w:t>
            </w:r>
          </w:p>
          <w:p w14:paraId="630F83E0">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rPr>
            </w:pPr>
            <w:r>
              <w:rPr>
                <w:rFonts w:hint="default" w:ascii="Times New Roman" w:hAnsi="Times New Roman" w:eastAsia="宋体" w:cs="Times New Roman"/>
                <w:color w:val="auto"/>
                <w:sz w:val="24"/>
                <w:highlight w:val="none"/>
                <w:lang w:val="en-US"/>
              </w:rPr>
              <w:t>（2）设备装卸、搬运严禁抛掷；</w:t>
            </w:r>
          </w:p>
          <w:p w14:paraId="3635BC7D">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rPr>
              <w:t>（3）加强施工人员管理，文明施工，禁止高声喧哗</w:t>
            </w:r>
            <w:r>
              <w:rPr>
                <w:rFonts w:hint="eastAsia" w:ascii="Times New Roman" w:hAnsi="Times New Roman" w:eastAsia="宋体" w:cs="Times New Roman"/>
                <w:color w:val="auto"/>
                <w:sz w:val="24"/>
                <w:highlight w:val="none"/>
              </w:rPr>
              <w:t>。</w:t>
            </w:r>
          </w:p>
          <w:p w14:paraId="11598271">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1D41D5"/>
                <w:sz w:val="24"/>
                <w:highlight w:val="none"/>
                <w:lang w:val="en-US" w:eastAsia="zh-CN"/>
              </w:rPr>
            </w:pPr>
            <w:r>
              <w:rPr>
                <w:rFonts w:hint="eastAsia" w:ascii="Times New Roman" w:hAnsi="Times New Roman" w:eastAsia="宋体" w:cs="Times New Roman"/>
                <w:color w:val="auto"/>
                <w:sz w:val="24"/>
                <w:highlight w:val="none"/>
                <w:lang w:val="en-US" w:eastAsia="zh-CN"/>
              </w:rPr>
              <w:t>通过采取措施后，施工期噪声对环境影响较小。</w:t>
            </w:r>
          </w:p>
          <w:p w14:paraId="403A7757">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3</w:t>
            </w:r>
            <w:r>
              <w:rPr>
                <w:rFonts w:hint="eastAsia" w:ascii="Times New Roman" w:hAnsi="Times New Roman" w:eastAsia="宋体" w:cs="Times New Roman"/>
                <w:color w:val="auto"/>
                <w:sz w:val="24"/>
                <w:highlight w:val="none"/>
              </w:rPr>
              <w:t>、固废</w:t>
            </w:r>
          </w:p>
          <w:p w14:paraId="60823583">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rPr>
              <w:t>项目施工期产生的固体废物主要为</w:t>
            </w:r>
            <w:r>
              <w:rPr>
                <w:rFonts w:hint="eastAsia" w:ascii="Times New Roman" w:hAnsi="Times New Roman" w:eastAsia="宋体" w:cs="Times New Roman"/>
                <w:color w:val="auto"/>
                <w:sz w:val="24"/>
                <w:highlight w:val="none"/>
                <w:lang w:val="en-US" w:eastAsia="zh-CN"/>
              </w:rPr>
              <w:t>设备安装</w:t>
            </w:r>
            <w:r>
              <w:rPr>
                <w:rFonts w:hint="default" w:ascii="Times New Roman" w:hAnsi="Times New Roman" w:eastAsia="宋体" w:cs="Times New Roman"/>
                <w:color w:val="auto"/>
                <w:sz w:val="24"/>
                <w:highlight w:val="none"/>
                <w:lang w:val="en-US"/>
              </w:rPr>
              <w:t>人员生活垃圾以及废包装材料</w:t>
            </w:r>
            <w:r>
              <w:rPr>
                <w:rFonts w:hint="eastAsia" w:ascii="Times New Roman" w:hAnsi="Times New Roman" w:eastAsia="宋体" w:cs="Times New Roman"/>
                <w:color w:val="auto"/>
                <w:sz w:val="24"/>
                <w:highlight w:val="none"/>
                <w:lang w:val="en-US"/>
              </w:rPr>
              <w:t>。</w:t>
            </w:r>
            <w:r>
              <w:rPr>
                <w:rFonts w:hint="default" w:ascii="Times New Roman" w:hAnsi="Times New Roman" w:eastAsia="宋体" w:cs="Times New Roman"/>
                <w:color w:val="auto"/>
                <w:sz w:val="24"/>
                <w:highlight w:val="none"/>
                <w:lang w:val="en-US"/>
              </w:rPr>
              <w:t>生活垃圾分类收集后由环卫部门定期清运处理；废包装材料集中收集后外售废品回收站</w:t>
            </w:r>
            <w:r>
              <w:rPr>
                <w:rFonts w:hint="eastAsia" w:ascii="Times New Roman" w:hAnsi="Times New Roman" w:eastAsia="宋体" w:cs="Times New Roman"/>
                <w:color w:val="auto"/>
                <w:sz w:val="24"/>
                <w:highlight w:val="none"/>
              </w:rPr>
              <w:t>。施工期固废不会对周边环境产生明显影响。</w:t>
            </w:r>
          </w:p>
          <w:p w14:paraId="618FD8FC">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4、生态环境</w:t>
            </w:r>
          </w:p>
          <w:p w14:paraId="5FA3FC28">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1D41D5"/>
                <w:sz w:val="24"/>
                <w:highlight w:val="none"/>
                <w:lang w:eastAsia="zh-CN"/>
              </w:rPr>
            </w:pPr>
            <w:r>
              <w:rPr>
                <w:rFonts w:hint="default" w:ascii="Times New Roman" w:hAnsi="Times New Roman" w:eastAsia="宋体" w:cs="Times New Roman"/>
                <w:color w:val="auto"/>
                <w:sz w:val="24"/>
                <w:highlight w:val="none"/>
              </w:rPr>
              <w:t>根据现场调查，</w:t>
            </w:r>
            <w:r>
              <w:rPr>
                <w:rFonts w:hint="eastAsia" w:ascii="Times New Roman" w:hAnsi="Times New Roman" w:eastAsia="宋体" w:cs="Times New Roman"/>
                <w:color w:val="auto"/>
                <w:sz w:val="24"/>
                <w:highlight w:val="none"/>
                <w:lang w:val="en-US" w:eastAsia="zh-CN"/>
              </w:rPr>
              <w:t>车间、</w:t>
            </w:r>
            <w:r>
              <w:rPr>
                <w:rFonts w:hint="eastAsia" w:ascii="Times New Roman" w:hAnsi="Times New Roman" w:eastAsia="宋体" w:cs="Times New Roman"/>
                <w:color w:val="auto"/>
                <w:sz w:val="24"/>
                <w:highlight w:val="none"/>
              </w:rPr>
              <w:t>厂区</w:t>
            </w:r>
            <w:r>
              <w:rPr>
                <w:rFonts w:hint="default" w:ascii="Times New Roman" w:hAnsi="Times New Roman" w:eastAsia="宋体" w:cs="Times New Roman"/>
                <w:color w:val="auto"/>
                <w:sz w:val="24"/>
                <w:highlight w:val="none"/>
              </w:rPr>
              <w:t>地面已硬化，项目施工期主要涉及设备安装等工序，</w:t>
            </w:r>
            <w:r>
              <w:rPr>
                <w:rFonts w:hint="eastAsia" w:ascii="Times New Roman" w:hAnsi="Times New Roman" w:eastAsia="宋体" w:cs="Times New Roman"/>
                <w:color w:val="auto"/>
                <w:sz w:val="24"/>
                <w:highlight w:val="none"/>
                <w:lang w:val="en-US" w:eastAsia="zh-CN"/>
              </w:rPr>
              <w:t>项目</w:t>
            </w:r>
            <w:r>
              <w:rPr>
                <w:rFonts w:hint="default" w:ascii="Times New Roman" w:hAnsi="Times New Roman" w:eastAsia="宋体" w:cs="Times New Roman"/>
                <w:color w:val="auto"/>
                <w:sz w:val="24"/>
                <w:highlight w:val="none"/>
              </w:rPr>
              <w:t>对区域生态环境无</w:t>
            </w:r>
            <w:r>
              <w:rPr>
                <w:rFonts w:hint="eastAsia" w:ascii="Times New Roman" w:hAnsi="Times New Roman" w:eastAsia="宋体" w:cs="Times New Roman"/>
                <w:color w:val="auto"/>
                <w:sz w:val="24"/>
                <w:highlight w:val="none"/>
                <w:lang w:val="en-US" w:eastAsia="zh-CN"/>
              </w:rPr>
              <w:t>明显</w:t>
            </w:r>
            <w:r>
              <w:rPr>
                <w:rFonts w:hint="default" w:ascii="Times New Roman" w:hAnsi="Times New Roman" w:eastAsia="宋体" w:cs="Times New Roman"/>
                <w:color w:val="auto"/>
                <w:sz w:val="24"/>
                <w:highlight w:val="none"/>
              </w:rPr>
              <w:t>影响</w:t>
            </w:r>
            <w:r>
              <w:rPr>
                <w:rFonts w:hint="eastAsia" w:ascii="Times New Roman" w:hAnsi="Times New Roman" w:eastAsia="宋体" w:cs="Times New Roman"/>
                <w:color w:val="auto"/>
                <w:sz w:val="24"/>
                <w:highlight w:val="none"/>
                <w:lang w:eastAsia="zh-CN"/>
              </w:rPr>
              <w:t>。</w:t>
            </w:r>
          </w:p>
          <w:p w14:paraId="3113F682">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p>
        </w:tc>
      </w:tr>
      <w:tr w14:paraId="1E2B9F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68" w:hRule="atLeast"/>
          <w:jc w:val="center"/>
        </w:trPr>
        <w:tc>
          <w:tcPr>
            <w:tcW w:w="432" w:type="dxa"/>
            <w:tcMar>
              <w:left w:w="28" w:type="dxa"/>
              <w:right w:w="28" w:type="dxa"/>
            </w:tcMar>
            <w:vAlign w:val="center"/>
          </w:tcPr>
          <w:p w14:paraId="3EF22F0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98C6FE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2F1EC9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FE0DD7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43C0AF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BFDD34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5A4B54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EDF5EB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E0E03E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06A80D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F10A72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B994D4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6FAC22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4215E12">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运营</w:t>
            </w:r>
          </w:p>
          <w:p w14:paraId="5F228AAA">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期环</w:t>
            </w:r>
          </w:p>
          <w:p w14:paraId="4B2E8974">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境影</w:t>
            </w:r>
          </w:p>
          <w:p w14:paraId="535BFDFB">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响和</w:t>
            </w:r>
          </w:p>
          <w:p w14:paraId="0B2B7408">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保护</w:t>
            </w:r>
          </w:p>
          <w:p w14:paraId="1D0F155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措施</w:t>
            </w:r>
          </w:p>
          <w:p w14:paraId="2840A77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F727C8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480680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91322E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BC2EAF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A12A2E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AA32A9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FFF8A2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7E9E43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C935E9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8781DD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8A7DCE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AEDF08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FD08C9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979185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91CB01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949F57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005BDE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59EE37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807ABD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DBA2FE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C29944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DD5E19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B6A449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F3AB68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1B6CEC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B0EAEAB">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运营</w:t>
            </w:r>
          </w:p>
          <w:p w14:paraId="18CD17A8">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期环</w:t>
            </w:r>
          </w:p>
          <w:p w14:paraId="25779363">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境影</w:t>
            </w:r>
          </w:p>
          <w:p w14:paraId="52E9A422">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响和</w:t>
            </w:r>
          </w:p>
          <w:p w14:paraId="77F5E1D2">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保护</w:t>
            </w:r>
          </w:p>
          <w:p w14:paraId="7932097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措施</w:t>
            </w:r>
          </w:p>
          <w:p w14:paraId="58E370D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312862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234015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F933DD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DF8149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F30CAF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A3E05B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FAD12C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F2E66B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D61402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DD6654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A03477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B7C948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878637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9B4875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F3DE45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36689F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281711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D29554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2B6B17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6D39A4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DF0E4B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F7550F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75FA27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D81AFE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965787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B269692">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运营</w:t>
            </w:r>
          </w:p>
          <w:p w14:paraId="35364FC7">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期环</w:t>
            </w:r>
          </w:p>
          <w:p w14:paraId="30B28059">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境影</w:t>
            </w:r>
          </w:p>
          <w:p w14:paraId="1D29388B">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响和</w:t>
            </w:r>
          </w:p>
          <w:p w14:paraId="34CD30C8">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保护</w:t>
            </w:r>
          </w:p>
          <w:p w14:paraId="6308C4D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措施</w:t>
            </w:r>
          </w:p>
          <w:p w14:paraId="6CDF490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D89FCA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D3E9F3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417438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8BCF9F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7563DF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9CA2F6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52D7CB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026210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0C2CBB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4E4A35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1698DF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C2AFF9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F2CC99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88F56C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856847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A81D84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9C577E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B87272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5B1F8A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5B223E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80CF67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5F1408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6CF2CE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4E3340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72274C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53E5FB8">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运营</w:t>
            </w:r>
          </w:p>
          <w:p w14:paraId="335D0125">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期环</w:t>
            </w:r>
          </w:p>
          <w:p w14:paraId="70D8EBB0">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境影</w:t>
            </w:r>
          </w:p>
          <w:p w14:paraId="06243626">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响和</w:t>
            </w:r>
          </w:p>
          <w:p w14:paraId="5895A598">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保护</w:t>
            </w:r>
          </w:p>
          <w:p w14:paraId="1472138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措施</w:t>
            </w:r>
          </w:p>
          <w:p w14:paraId="62A8769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EE504C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B1F9E9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28E5BC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8808EC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D4F5D1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4D7F4B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F7D1D7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9D3FE9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934AEE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7CD5AF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E30A23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E0EDEE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BBD1F3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3570CF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890BAB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7D5F5B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60C53E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918955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72BE4A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D43A46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72144D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56ECE7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021CCA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64E587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B7B446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36AD516">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运营</w:t>
            </w:r>
          </w:p>
          <w:p w14:paraId="130DD179">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期环</w:t>
            </w:r>
          </w:p>
          <w:p w14:paraId="78D745A9">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境影</w:t>
            </w:r>
          </w:p>
          <w:p w14:paraId="4B1E2BA7">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响和</w:t>
            </w:r>
          </w:p>
          <w:p w14:paraId="27C0DECF">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保护</w:t>
            </w:r>
          </w:p>
          <w:p w14:paraId="2EAF107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措施</w:t>
            </w:r>
          </w:p>
          <w:p w14:paraId="5358664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90F0A7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722609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EB9DB9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3E59C2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FED086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309578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D588C4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82BD70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FD8EDF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2E9CFE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EB5B63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AFF5AD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4C7B61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341A58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0DBC31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2A1A1E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A4A739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D8050A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2618B3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5BA90D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F33EC9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3F7216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D4484E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236896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DB99FB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CDCCB9C">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运营</w:t>
            </w:r>
          </w:p>
          <w:p w14:paraId="7A1D4D3F">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期环</w:t>
            </w:r>
          </w:p>
          <w:p w14:paraId="177BBD49">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境影</w:t>
            </w:r>
          </w:p>
          <w:p w14:paraId="734DDC96">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响和</w:t>
            </w:r>
          </w:p>
          <w:p w14:paraId="4E78310E">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保护</w:t>
            </w:r>
          </w:p>
          <w:p w14:paraId="25B67A7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措施</w:t>
            </w:r>
          </w:p>
          <w:p w14:paraId="22ACD97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4AF048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B99618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F40A87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1CA8C8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46AF8D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E44594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C8F3FE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FABC25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0AF326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E7D573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040BD4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A298B7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A3EF2D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3A53FC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0C283E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D474D9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DCD4E0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CC6636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5745FB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C70983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B13BA2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77E18C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5531C4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DDDB3D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3B0189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29B99F8">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运营</w:t>
            </w:r>
          </w:p>
          <w:p w14:paraId="7A992E0C">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期环</w:t>
            </w:r>
          </w:p>
          <w:p w14:paraId="17118883">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境影</w:t>
            </w:r>
          </w:p>
          <w:p w14:paraId="430606A3">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响和</w:t>
            </w:r>
          </w:p>
          <w:p w14:paraId="1B5D4855">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保护</w:t>
            </w:r>
          </w:p>
          <w:p w14:paraId="41350E7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措施</w:t>
            </w:r>
          </w:p>
          <w:p w14:paraId="1F5FFF1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B68795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5EA816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FFB89E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57E99F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23C1CA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975CD0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49DACD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A7697A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C6B381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8DD4FE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59F4D4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BF2D5C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9F8A6A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002A9D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D566C8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6AEB57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BA65BE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0C7259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A4CF89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5AF1D7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CAEAD6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E3D856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A50D79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170764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4CC229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07F8962">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运营</w:t>
            </w:r>
          </w:p>
          <w:p w14:paraId="03A57573">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期环</w:t>
            </w:r>
          </w:p>
          <w:p w14:paraId="0CF1853B">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境影</w:t>
            </w:r>
          </w:p>
          <w:p w14:paraId="7F5F190C">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响和</w:t>
            </w:r>
          </w:p>
          <w:p w14:paraId="76E4259D">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保护</w:t>
            </w:r>
          </w:p>
          <w:p w14:paraId="3A5FC27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措施</w:t>
            </w:r>
          </w:p>
          <w:p w14:paraId="6F33712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D6D737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9FFF9E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647D75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CEAC2B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43025B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4FCE0B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B6C689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3CD70E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0F07BB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31CE2B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CA79CF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2F7854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7CCF2C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F81953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4CC809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C5FBD5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06F058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CD4DFB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18DC30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798905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DFECBC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86B004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352002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7922EC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249520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F168727">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运营</w:t>
            </w:r>
          </w:p>
          <w:p w14:paraId="7D41DE19">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期环</w:t>
            </w:r>
          </w:p>
          <w:p w14:paraId="389B3847">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境影</w:t>
            </w:r>
          </w:p>
          <w:p w14:paraId="43224AE3">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响和</w:t>
            </w:r>
          </w:p>
          <w:p w14:paraId="754F3DD3">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保护</w:t>
            </w:r>
          </w:p>
          <w:p w14:paraId="39D1840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措施</w:t>
            </w:r>
          </w:p>
          <w:p w14:paraId="0D2A3AA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0AF339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F82EA3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67DBE6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514CDA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5E89E6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14E51D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3DEAE7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4A08B3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13E6A5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3CF95A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7B5AE2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ADC7C9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2B4087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2439BE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40740C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5E9D44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9D59A2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A356E9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36CE82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C36943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D528C1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6C0EB2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840438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767D1F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F7A5AA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6ABDB94">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运营</w:t>
            </w:r>
          </w:p>
          <w:p w14:paraId="6D5B788F">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期环</w:t>
            </w:r>
          </w:p>
          <w:p w14:paraId="4CFFB673">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境影</w:t>
            </w:r>
          </w:p>
          <w:p w14:paraId="7C0285F8">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响和</w:t>
            </w:r>
          </w:p>
          <w:p w14:paraId="05D1BCE3">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保护</w:t>
            </w:r>
          </w:p>
          <w:p w14:paraId="57238C9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措施</w:t>
            </w:r>
          </w:p>
          <w:p w14:paraId="67B7ECF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4439F2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73B183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07F327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D673A7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EAF7F7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99A6EC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BB285F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2E3B64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33E672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04DDD8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4D0C5E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CCE63F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D3708F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C66135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08DD32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1F2E09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A9D70D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838A1F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130DA9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B5E387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34A2F6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FD4A69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7B5771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C033CF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CCAC96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3D209CC">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运营</w:t>
            </w:r>
          </w:p>
          <w:p w14:paraId="6101C42C">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期环</w:t>
            </w:r>
          </w:p>
          <w:p w14:paraId="0563BC80">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境影</w:t>
            </w:r>
          </w:p>
          <w:p w14:paraId="395F7214">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响和</w:t>
            </w:r>
          </w:p>
          <w:p w14:paraId="3B9A2C63">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保护</w:t>
            </w:r>
          </w:p>
          <w:p w14:paraId="39D75B5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措施</w:t>
            </w:r>
          </w:p>
          <w:p w14:paraId="522676C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6907E5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321D9A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5DB700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12A810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2FCF60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709CB5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EA644F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4F5297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26CE40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ED4816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563F53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351E01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907673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345932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5D4E05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1D7D97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76DC19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C3D0C7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A08ED4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6DB40F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2B2227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0ED529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FB5F58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8E352A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6AB571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3DD98D5">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运营</w:t>
            </w:r>
          </w:p>
          <w:p w14:paraId="5FEB9996">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期环</w:t>
            </w:r>
          </w:p>
          <w:p w14:paraId="266A3250">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境影</w:t>
            </w:r>
          </w:p>
          <w:p w14:paraId="4D026155">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响和</w:t>
            </w:r>
          </w:p>
          <w:p w14:paraId="0228A21C">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保护</w:t>
            </w:r>
          </w:p>
          <w:p w14:paraId="03F21A0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措施</w:t>
            </w:r>
          </w:p>
          <w:p w14:paraId="761C0B2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BC9093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5C1BE0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96ADDA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D07FF3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84C19C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43DBDF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3B85B0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7A426F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8AAF36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8C1023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80E57A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865856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A8695A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C87ED0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E7C39D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AF59BD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8514C1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C5D30C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331BA2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270333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033E5F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1E173E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DBEB78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F10CFD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410013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722CA80">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运营</w:t>
            </w:r>
          </w:p>
          <w:p w14:paraId="318D849C">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期环</w:t>
            </w:r>
          </w:p>
          <w:p w14:paraId="2A524F3A">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境影</w:t>
            </w:r>
          </w:p>
          <w:p w14:paraId="241DB5E9">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响和</w:t>
            </w:r>
          </w:p>
          <w:p w14:paraId="5794688D">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保护</w:t>
            </w:r>
          </w:p>
          <w:p w14:paraId="3F68E2A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措施</w:t>
            </w:r>
          </w:p>
          <w:p w14:paraId="45B7D6C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4EFE99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03961E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A7C5D4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AE3B04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C63C92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386BF7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B44636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DD9CB1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C233ED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6B8927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AEF6C7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9FDDAF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932231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95686E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539161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318F8D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5EDA78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07A1AF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8E3AAB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6A731F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325E90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0746ED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786A6B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C95677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A56712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2151E91">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运营</w:t>
            </w:r>
          </w:p>
          <w:p w14:paraId="35EF02C2">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期环</w:t>
            </w:r>
          </w:p>
          <w:p w14:paraId="4ECAAF00">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境影</w:t>
            </w:r>
          </w:p>
          <w:p w14:paraId="7A780867">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响和</w:t>
            </w:r>
          </w:p>
          <w:p w14:paraId="63A151CE">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保护</w:t>
            </w:r>
          </w:p>
          <w:p w14:paraId="1BE09B7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措施</w:t>
            </w:r>
          </w:p>
          <w:p w14:paraId="5FD804F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6CAAD6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766D39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B5F116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F4C94B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E3E071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6C9CE9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76D87F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FB7EC8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C85BAD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005F60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1354B9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36E6B7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3651A8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B0BCC2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DCE105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05DD24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621CF1E">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ECED11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93E636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DBE351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416A78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BDD3B2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464752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8D05FF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010456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DE6E3BB">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运营</w:t>
            </w:r>
          </w:p>
          <w:p w14:paraId="5A224564">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期环</w:t>
            </w:r>
          </w:p>
          <w:p w14:paraId="4A1FF093">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境影</w:t>
            </w:r>
          </w:p>
          <w:p w14:paraId="4466B484">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响和</w:t>
            </w:r>
          </w:p>
          <w:p w14:paraId="0AF4F20B">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保护</w:t>
            </w:r>
          </w:p>
          <w:p w14:paraId="34F1C65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措施</w:t>
            </w:r>
          </w:p>
          <w:p w14:paraId="30C64CB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97ED2E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F8723E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64BF94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92E09F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E795F1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1A1D86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182C9E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D403C4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E7A53F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6D9DAD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248930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9D3768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15EA6F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59D86C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07E3EB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780333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8A86A4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BADEA1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F1E4E2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9D0C49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69FA13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8399DF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92190F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E768DF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0B7871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4C1F598">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运营</w:t>
            </w:r>
          </w:p>
          <w:p w14:paraId="5D6FB49C">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期环</w:t>
            </w:r>
          </w:p>
          <w:p w14:paraId="696F3587">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境影</w:t>
            </w:r>
          </w:p>
          <w:p w14:paraId="3E96036C">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响和</w:t>
            </w:r>
          </w:p>
          <w:p w14:paraId="0516C49A">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保护</w:t>
            </w:r>
          </w:p>
          <w:p w14:paraId="7684434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措施</w:t>
            </w:r>
          </w:p>
          <w:p w14:paraId="78C9487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24F005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EDD867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9B12E9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ADA2F4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9E2DBC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4D663D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722565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B1A7E3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3EDF22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EBD6C1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6B481D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04BC0D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42B994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DCF7E0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B871BF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342948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B5E120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7BA03B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F84DEF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7EF8C8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C09734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5BDC0B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A77F44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29D225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746A36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B7F97FF">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运营</w:t>
            </w:r>
          </w:p>
          <w:p w14:paraId="08F95DA2">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期环</w:t>
            </w:r>
          </w:p>
          <w:p w14:paraId="3683040F">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境影</w:t>
            </w:r>
          </w:p>
          <w:p w14:paraId="3EE1A2BF">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响和</w:t>
            </w:r>
          </w:p>
          <w:p w14:paraId="01DAA2E1">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保护</w:t>
            </w:r>
          </w:p>
          <w:p w14:paraId="6511E9C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措施</w:t>
            </w:r>
          </w:p>
          <w:p w14:paraId="2EED153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589082D">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03264B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4FA827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E3D5D7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7F9048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CBB07A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D0512F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C1CBB0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3DF3C4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B7FCCE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D3B8B6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0A3F97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82C581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8459AE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85D77A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26EBA1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445E820">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A7F64F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49DA38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76E1AB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F22C6C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7F89927">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78F258F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C3B6C5C">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7F0E605">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C0D4FCE">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运营</w:t>
            </w:r>
          </w:p>
          <w:p w14:paraId="3A6F2A06">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期环</w:t>
            </w:r>
          </w:p>
          <w:p w14:paraId="345C6511">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境影</w:t>
            </w:r>
          </w:p>
          <w:p w14:paraId="12C77943">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响和</w:t>
            </w:r>
          </w:p>
          <w:p w14:paraId="1BA27225">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保护</w:t>
            </w:r>
          </w:p>
          <w:p w14:paraId="60510F32">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r>
              <w:rPr>
                <w:rFonts w:hint="eastAsia" w:ascii="Times New Roman" w:hAnsi="Times New Roman" w:eastAsia="宋体" w:cs="Times New Roman"/>
                <w:b/>
                <w:bCs/>
                <w:color w:val="auto"/>
                <w:kern w:val="0"/>
                <w:sz w:val="28"/>
                <w:szCs w:val="28"/>
                <w:highlight w:val="none"/>
              </w:rPr>
              <w:t>措施</w:t>
            </w:r>
          </w:p>
          <w:p w14:paraId="13B8FF06">
            <w:pPr>
              <w:keepNext w:val="0"/>
              <w:keepLines w:val="0"/>
              <w:suppressLineNumbers w:val="0"/>
              <w:autoSpaceDE w:val="0"/>
              <w:autoSpaceDN w:val="0"/>
              <w:adjustRightInd w:val="0"/>
              <w:snapToGrid w:val="0"/>
              <w:spacing w:before="0" w:beforeAutospacing="0" w:after="0" w:afterAutospacing="0"/>
              <w:ind w:left="0" w:right="0"/>
              <w:jc w:val="both"/>
              <w:rPr>
                <w:rFonts w:hint="eastAsia" w:ascii="Times New Roman" w:hAnsi="Times New Roman" w:eastAsia="宋体" w:cs="Times New Roman"/>
                <w:b/>
                <w:bCs/>
                <w:color w:val="auto"/>
                <w:kern w:val="0"/>
                <w:sz w:val="28"/>
                <w:szCs w:val="28"/>
                <w:highlight w:val="none"/>
              </w:rPr>
            </w:pPr>
          </w:p>
          <w:p w14:paraId="010AFDC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90D90C4">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25FF93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1383F54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252254A">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60697F9B">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358C4691">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2C3B2DD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1A9E193">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4D17B1FF">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5284E3F6">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0"/>
                <w:sz w:val="28"/>
                <w:szCs w:val="28"/>
                <w:highlight w:val="none"/>
              </w:rPr>
            </w:pPr>
          </w:p>
          <w:p w14:paraId="0627942D">
            <w:pPr>
              <w:keepNext w:val="0"/>
              <w:keepLines w:val="0"/>
              <w:suppressLineNumbers w:val="0"/>
              <w:autoSpaceDE w:val="0"/>
              <w:autoSpaceDN w:val="0"/>
              <w:adjustRightInd w:val="0"/>
              <w:snapToGrid w:val="0"/>
              <w:spacing w:before="0" w:beforeAutospacing="0" w:after="0" w:afterAutospacing="0"/>
              <w:ind w:left="0" w:right="0"/>
              <w:jc w:val="both"/>
              <w:rPr>
                <w:rFonts w:hint="default" w:ascii="Times New Roman" w:hAnsi="Times New Roman" w:eastAsia="宋体" w:cs="Times New Roman"/>
                <w:b/>
                <w:bCs/>
                <w:color w:val="auto"/>
                <w:kern w:val="0"/>
                <w:sz w:val="28"/>
                <w:szCs w:val="28"/>
                <w:highlight w:val="none"/>
              </w:rPr>
            </w:pPr>
          </w:p>
        </w:tc>
        <w:tc>
          <w:tcPr>
            <w:tcW w:w="8549" w:type="dxa"/>
            <w:vAlign w:val="center"/>
          </w:tcPr>
          <w:p w14:paraId="66B1D064">
            <w:pPr>
              <w:keepNext w:val="0"/>
              <w:keepLines w:val="0"/>
              <w:suppressLineNumbers w:val="0"/>
              <w:spacing w:before="0" w:beforeAutospacing="0" w:after="0" w:afterAutospacing="0" w:line="360" w:lineRule="auto"/>
              <w:ind w:left="0" w:right="0"/>
              <w:jc w:val="left"/>
              <w:rPr>
                <w:rFonts w:hint="default"/>
                <w:b/>
                <w:bCs/>
                <w:color w:val="auto"/>
                <w:sz w:val="24"/>
                <w:highlight w:val="none"/>
              </w:rPr>
            </w:pPr>
            <w:r>
              <w:rPr>
                <w:rFonts w:hint="default"/>
                <w:b/>
                <w:bCs/>
                <w:color w:val="auto"/>
                <w:sz w:val="24"/>
                <w:highlight w:val="none"/>
              </w:rPr>
              <w:t>1、大气环境影响分析</w:t>
            </w:r>
          </w:p>
          <w:p w14:paraId="4E9471DB">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1</w:t>
            </w:r>
            <w:r>
              <w:rPr>
                <w:rFonts w:hint="eastAsia"/>
                <w:color w:val="auto"/>
                <w:sz w:val="24"/>
                <w:highlight w:val="none"/>
                <w:lang w:val="en-US" w:eastAsia="zh-CN"/>
              </w:rPr>
              <w:t>.1</w:t>
            </w:r>
            <w:r>
              <w:rPr>
                <w:rFonts w:hint="default"/>
                <w:color w:val="auto"/>
                <w:sz w:val="24"/>
                <w:highlight w:val="none"/>
              </w:rPr>
              <w:t>、核算源强情况</w:t>
            </w:r>
          </w:p>
          <w:p w14:paraId="2FE0BD1F">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本项目产生的废气主要为：</w:t>
            </w:r>
            <w:r>
              <w:rPr>
                <w:rFonts w:hint="eastAsia"/>
                <w:color w:val="auto"/>
                <w:sz w:val="24"/>
                <w:highlight w:val="none"/>
                <w:lang w:eastAsia="zh-CN"/>
              </w:rPr>
              <w:t>打磨、抛光</w:t>
            </w:r>
            <w:r>
              <w:rPr>
                <w:rFonts w:hint="eastAsia"/>
                <w:color w:val="auto"/>
                <w:sz w:val="24"/>
                <w:highlight w:val="none"/>
              </w:rPr>
              <w:t>产生的颗粒物</w:t>
            </w:r>
            <w:r>
              <w:rPr>
                <w:rFonts w:hint="eastAsia"/>
                <w:color w:val="auto"/>
                <w:sz w:val="24"/>
                <w:highlight w:val="none"/>
                <w:lang w:eastAsia="zh-CN"/>
              </w:rPr>
              <w:t>废气</w:t>
            </w:r>
            <w:r>
              <w:rPr>
                <w:rFonts w:hint="default"/>
                <w:color w:val="auto"/>
                <w:sz w:val="24"/>
                <w:highlight w:val="none"/>
              </w:rPr>
              <w:t>。</w:t>
            </w:r>
          </w:p>
          <w:p w14:paraId="697A425D">
            <w:pPr>
              <w:pStyle w:val="4"/>
              <w:keepNext w:val="0"/>
              <w:keepLines w:val="0"/>
              <w:suppressLineNumbers w:val="0"/>
              <w:spacing w:before="0" w:beforeAutospacing="0" w:after="0" w:afterAutospacing="0" w:line="360" w:lineRule="auto"/>
              <w:ind w:left="0" w:right="0" w:firstLine="480"/>
              <w:jc w:val="left"/>
              <w:rPr>
                <w:rFonts w:hint="default"/>
                <w:color w:val="auto"/>
                <w:sz w:val="24"/>
                <w:szCs w:val="24"/>
                <w:highlight w:val="none"/>
              </w:rPr>
            </w:pPr>
            <w:r>
              <w:rPr>
                <w:rFonts w:hint="default"/>
                <w:color w:val="auto"/>
                <w:sz w:val="24"/>
                <w:szCs w:val="24"/>
                <w:highlight w:val="none"/>
              </w:rPr>
              <w:t>本项目</w:t>
            </w:r>
            <w:r>
              <w:rPr>
                <w:rFonts w:hint="eastAsia"/>
                <w:color w:val="auto"/>
                <w:sz w:val="24"/>
                <w:szCs w:val="24"/>
                <w:highlight w:val="none"/>
                <w:lang w:eastAsia="zh-CN"/>
              </w:rPr>
              <w:t>打磨</w:t>
            </w:r>
            <w:r>
              <w:rPr>
                <w:rFonts w:hint="default"/>
                <w:color w:val="auto"/>
                <w:sz w:val="24"/>
                <w:szCs w:val="24"/>
                <w:highlight w:val="none"/>
              </w:rPr>
              <w:t>工序会产生</w:t>
            </w:r>
            <w:r>
              <w:rPr>
                <w:rFonts w:hint="eastAsia"/>
                <w:color w:val="auto"/>
                <w:sz w:val="24"/>
                <w:szCs w:val="24"/>
                <w:highlight w:val="none"/>
                <w:lang w:eastAsia="zh-CN"/>
              </w:rPr>
              <w:t>颗粒物，</w:t>
            </w:r>
            <w:r>
              <w:rPr>
                <w:rFonts w:hint="default"/>
                <w:color w:val="auto"/>
                <w:sz w:val="24"/>
                <w:szCs w:val="24"/>
                <w:highlight w:val="none"/>
              </w:rPr>
              <w:t>根据《排放源统计调查产排污核算方法和系数手册》“</w:t>
            </w:r>
            <w:r>
              <w:rPr>
                <w:rFonts w:hint="default" w:ascii="Times New Roman" w:hAnsi="Times New Roman" w:eastAsia="Times New Roman" w:cs="Times New Roman"/>
                <w:color w:val="auto"/>
                <w:spacing w:val="-1"/>
                <w:sz w:val="24"/>
                <w:szCs w:val="24"/>
                <w:highlight w:val="none"/>
              </w:rPr>
              <w:t>33-37</w:t>
            </w:r>
            <w:r>
              <w:rPr>
                <w:rFonts w:hint="default" w:ascii="Times New Roman" w:hAnsi="Times New Roman" w:eastAsia="Times New Roman" w:cs="Times New Roman"/>
                <w:color w:val="auto"/>
                <w:spacing w:val="-30"/>
                <w:sz w:val="24"/>
                <w:szCs w:val="24"/>
                <w:highlight w:val="none"/>
              </w:rPr>
              <w:t xml:space="preserve"> </w:t>
            </w:r>
            <w:r>
              <w:rPr>
                <w:rFonts w:hint="default"/>
                <w:color w:val="auto"/>
                <w:spacing w:val="-1"/>
                <w:sz w:val="24"/>
                <w:szCs w:val="24"/>
                <w:highlight w:val="none"/>
              </w:rPr>
              <w:t>，</w:t>
            </w:r>
            <w:r>
              <w:rPr>
                <w:rFonts w:hint="default" w:ascii="Times New Roman" w:hAnsi="Times New Roman" w:eastAsia="Times New Roman" w:cs="Times New Roman"/>
                <w:color w:val="auto"/>
                <w:spacing w:val="-1"/>
                <w:sz w:val="24"/>
                <w:szCs w:val="24"/>
                <w:highlight w:val="none"/>
              </w:rPr>
              <w:t>431-434</w:t>
            </w:r>
            <w:r>
              <w:rPr>
                <w:rFonts w:hint="default" w:ascii="Times New Roman" w:hAnsi="Times New Roman" w:eastAsia="Times New Roman" w:cs="Times New Roman"/>
                <w:color w:val="auto"/>
                <w:spacing w:val="37"/>
                <w:sz w:val="24"/>
                <w:szCs w:val="24"/>
                <w:highlight w:val="none"/>
              </w:rPr>
              <w:t xml:space="preserve"> </w:t>
            </w:r>
            <w:r>
              <w:rPr>
                <w:rFonts w:hint="default"/>
                <w:color w:val="auto"/>
                <w:spacing w:val="-1"/>
                <w:sz w:val="24"/>
                <w:szCs w:val="24"/>
                <w:highlight w:val="none"/>
              </w:rPr>
              <w:t>机械行业系数手册</w:t>
            </w:r>
            <w:r>
              <w:rPr>
                <w:rFonts w:hint="default"/>
                <w:color w:val="auto"/>
                <w:sz w:val="24"/>
                <w:szCs w:val="24"/>
                <w:highlight w:val="none"/>
              </w:rPr>
              <w:t>”中可知，</w:t>
            </w:r>
            <w:r>
              <w:rPr>
                <w:rFonts w:hint="eastAsia"/>
                <w:color w:val="auto"/>
                <w:sz w:val="24"/>
                <w:szCs w:val="24"/>
                <w:highlight w:val="none"/>
                <w:lang w:eastAsia="zh-CN"/>
              </w:rPr>
              <w:t>打磨抛光</w:t>
            </w:r>
            <w:r>
              <w:rPr>
                <w:rFonts w:hint="default"/>
                <w:color w:val="auto"/>
                <w:sz w:val="24"/>
                <w:szCs w:val="24"/>
                <w:highlight w:val="none"/>
              </w:rPr>
              <w:t>工序</w:t>
            </w:r>
            <w:r>
              <w:rPr>
                <w:rFonts w:hint="eastAsia"/>
                <w:color w:val="auto"/>
                <w:sz w:val="24"/>
                <w:szCs w:val="24"/>
                <w:highlight w:val="none"/>
                <w:lang w:eastAsia="zh-CN"/>
              </w:rPr>
              <w:t>颗粒物</w:t>
            </w:r>
            <w:r>
              <w:rPr>
                <w:rFonts w:hint="default"/>
                <w:color w:val="auto"/>
                <w:sz w:val="24"/>
                <w:szCs w:val="24"/>
                <w:highlight w:val="none"/>
              </w:rPr>
              <w:t>的产污系数为</w:t>
            </w:r>
            <w:r>
              <w:rPr>
                <w:rFonts w:hint="eastAsia"/>
                <w:color w:val="auto"/>
                <w:sz w:val="24"/>
                <w:szCs w:val="24"/>
                <w:highlight w:val="none"/>
                <w:lang w:val="en-US" w:eastAsia="zh-CN"/>
              </w:rPr>
              <w:t>2.19</w:t>
            </w:r>
            <w:r>
              <w:rPr>
                <w:rFonts w:hint="default"/>
                <w:color w:val="auto"/>
                <w:sz w:val="24"/>
                <w:szCs w:val="24"/>
                <w:highlight w:val="none"/>
              </w:rPr>
              <w:t>kg/吨-原料。</w:t>
            </w:r>
          </w:p>
          <w:p w14:paraId="02442989">
            <w:pPr>
              <w:pStyle w:val="4"/>
              <w:keepNext w:val="0"/>
              <w:keepLines w:val="0"/>
              <w:suppressLineNumbers w:val="0"/>
              <w:spacing w:before="0" w:beforeAutospacing="0" w:after="0" w:afterAutospacing="0" w:line="360" w:lineRule="auto"/>
              <w:ind w:left="0" w:right="0" w:firstLine="480"/>
              <w:jc w:val="left"/>
              <w:rPr>
                <w:rFonts w:hint="eastAsia" w:ascii="Times New Roman" w:hAnsi="Times New Roman" w:eastAsia="宋体" w:cs="Times New Roman"/>
                <w:b/>
                <w:bCs/>
                <w:color w:val="auto"/>
                <w:sz w:val="24"/>
                <w:highlight w:val="none"/>
              </w:rPr>
            </w:pPr>
            <w:r>
              <w:rPr>
                <w:rFonts w:hint="default"/>
                <w:color w:val="auto"/>
                <w:sz w:val="24"/>
                <w:szCs w:val="24"/>
                <w:highlight w:val="none"/>
              </w:rPr>
              <w:t>根据企业提供资料，本项</w:t>
            </w:r>
            <w:r>
              <w:rPr>
                <w:rFonts w:hint="eastAsia"/>
                <w:color w:val="auto"/>
                <w:sz w:val="24"/>
                <w:szCs w:val="24"/>
                <w:highlight w:val="none"/>
                <w:lang w:eastAsia="zh-CN"/>
              </w:rPr>
              <w:t>目原料轮毂</w:t>
            </w:r>
            <w:r>
              <w:rPr>
                <w:rFonts w:hint="default"/>
                <w:color w:val="auto"/>
                <w:sz w:val="24"/>
                <w:szCs w:val="24"/>
                <w:highlight w:val="none"/>
              </w:rPr>
              <w:t>年用量为</w:t>
            </w:r>
            <w:r>
              <w:rPr>
                <w:rFonts w:hint="eastAsia"/>
                <w:color w:val="auto"/>
                <w:sz w:val="24"/>
                <w:szCs w:val="24"/>
                <w:highlight w:val="none"/>
                <w:lang w:val="en-US" w:eastAsia="zh-CN"/>
              </w:rPr>
              <w:t>5250</w:t>
            </w:r>
            <w:r>
              <w:rPr>
                <w:rFonts w:hint="default"/>
                <w:color w:val="auto"/>
                <w:sz w:val="24"/>
                <w:szCs w:val="24"/>
                <w:highlight w:val="none"/>
              </w:rPr>
              <w:t>t/a</w:t>
            </w:r>
            <w:r>
              <w:rPr>
                <w:rFonts w:hint="eastAsia"/>
                <w:color w:val="auto"/>
                <w:sz w:val="24"/>
                <w:szCs w:val="24"/>
                <w:highlight w:val="none"/>
                <w:lang w:eastAsia="zh-CN"/>
              </w:rPr>
              <w:t>，则颗粒物废气产生量为</w:t>
            </w:r>
            <w:r>
              <w:rPr>
                <w:rFonts w:hint="eastAsia"/>
                <w:color w:val="auto"/>
                <w:sz w:val="24"/>
                <w:szCs w:val="24"/>
                <w:highlight w:val="none"/>
                <w:lang w:val="en-US" w:eastAsia="zh-CN"/>
              </w:rPr>
              <w:t>11.50</w:t>
            </w:r>
            <w:r>
              <w:rPr>
                <w:rFonts w:hint="default"/>
                <w:color w:val="auto"/>
                <w:sz w:val="24"/>
                <w:szCs w:val="24"/>
                <w:highlight w:val="none"/>
              </w:rPr>
              <w:t>t/a</w:t>
            </w:r>
            <w:r>
              <w:rPr>
                <w:rFonts w:hint="eastAsia"/>
                <w:color w:val="auto"/>
                <w:sz w:val="24"/>
                <w:szCs w:val="24"/>
                <w:highlight w:val="none"/>
                <w:lang w:eastAsia="zh-CN"/>
              </w:rPr>
              <w:t>。</w:t>
            </w:r>
            <w:r>
              <w:rPr>
                <w:rFonts w:hint="eastAsia"/>
                <w:color w:val="auto"/>
                <w:sz w:val="24"/>
                <w:szCs w:val="24"/>
                <w:highlight w:val="none"/>
                <w:lang w:val="en-US" w:eastAsia="zh-CN"/>
              </w:rPr>
              <w:t>本项目设置40个打磨抛光工位，设备不会同时作业，利用20台</w:t>
            </w:r>
            <w:r>
              <w:rPr>
                <w:rFonts w:hint="eastAsia" w:ascii="Times New Roman" w:hAnsi="Times New Roman" w:cs="Times New Roman"/>
                <w:color w:val="auto"/>
                <w:kern w:val="2"/>
                <w:sz w:val="24"/>
                <w:szCs w:val="24"/>
                <w:highlight w:val="none"/>
                <w:lang w:val="en-US" w:eastAsia="zh-CN" w:bidi="ar-SA"/>
              </w:rPr>
              <w:t>环保抛光打磨湿式一体机</w:t>
            </w:r>
            <w:r>
              <w:rPr>
                <w:rFonts w:hint="eastAsia"/>
                <w:color w:val="auto"/>
                <w:sz w:val="24"/>
                <w:szCs w:val="24"/>
                <w:highlight w:val="none"/>
                <w:lang w:eastAsia="zh-CN"/>
              </w:rPr>
              <w:t>处理</w:t>
            </w:r>
            <w:r>
              <w:rPr>
                <w:rFonts w:hint="eastAsia"/>
                <w:color w:val="auto"/>
                <w:sz w:val="24"/>
                <w:szCs w:val="24"/>
                <w:highlight w:val="none"/>
                <w:lang w:val="en-US" w:eastAsia="zh-CN"/>
              </w:rPr>
              <w:t>打磨抛光废气，每台</w:t>
            </w:r>
            <w:r>
              <w:rPr>
                <w:rFonts w:hint="eastAsia" w:ascii="Times New Roman" w:hAnsi="Times New Roman" w:cs="Times New Roman"/>
                <w:color w:val="auto"/>
                <w:kern w:val="2"/>
                <w:sz w:val="24"/>
                <w:szCs w:val="24"/>
                <w:highlight w:val="none"/>
                <w:lang w:val="en-US" w:eastAsia="zh-CN" w:bidi="ar-SA"/>
              </w:rPr>
              <w:t>环保抛光打磨湿式一体机</w:t>
            </w:r>
            <w:r>
              <w:rPr>
                <w:rFonts w:hint="eastAsia"/>
                <w:color w:val="auto"/>
                <w:sz w:val="24"/>
                <w:szCs w:val="24"/>
                <w:highlight w:val="none"/>
                <w:lang w:val="en-US" w:eastAsia="zh-CN"/>
              </w:rPr>
              <w:t>可以同时处理2台打磨抛光设备废气，处理后车间内无组织排放</w:t>
            </w:r>
            <w:r>
              <w:rPr>
                <w:rFonts w:hint="eastAsia"/>
                <w:color w:val="auto"/>
                <w:sz w:val="24"/>
                <w:szCs w:val="24"/>
                <w:highlight w:val="none"/>
                <w:lang w:eastAsia="zh-CN"/>
              </w:rPr>
              <w:t>。</w:t>
            </w:r>
            <w:r>
              <w:rPr>
                <w:rFonts w:hint="eastAsia" w:ascii="Times New Roman" w:hAnsi="Times New Roman" w:cs="Times New Roman"/>
                <w:color w:val="auto"/>
                <w:kern w:val="2"/>
                <w:sz w:val="24"/>
                <w:szCs w:val="24"/>
                <w:highlight w:val="none"/>
                <w:lang w:val="en-US" w:eastAsia="zh-CN" w:bidi="ar-SA"/>
              </w:rPr>
              <w:t>环保抛光打磨湿式一体机</w:t>
            </w:r>
            <w:r>
              <w:rPr>
                <w:rFonts w:hint="eastAsia"/>
                <w:color w:val="auto"/>
                <w:sz w:val="24"/>
                <w:szCs w:val="24"/>
                <w:highlight w:val="none"/>
                <w:lang w:eastAsia="zh-CN"/>
              </w:rPr>
              <w:t>收集效率</w:t>
            </w:r>
            <w:r>
              <w:rPr>
                <w:rFonts w:hint="eastAsia"/>
                <w:color w:val="auto"/>
                <w:sz w:val="24"/>
                <w:szCs w:val="24"/>
                <w:highlight w:val="none"/>
                <w:lang w:val="en-US" w:eastAsia="zh-CN"/>
              </w:rPr>
              <w:t>95%</w:t>
            </w:r>
            <w:r>
              <w:rPr>
                <w:rFonts w:hint="default"/>
                <w:color w:val="auto"/>
                <w:sz w:val="24"/>
                <w:szCs w:val="24"/>
                <w:highlight w:val="none"/>
              </w:rPr>
              <w:t>，则</w:t>
            </w:r>
            <w:r>
              <w:rPr>
                <w:rFonts w:hint="eastAsia"/>
                <w:color w:val="auto"/>
                <w:sz w:val="24"/>
                <w:szCs w:val="24"/>
                <w:highlight w:val="none"/>
                <w:lang w:eastAsia="zh-CN"/>
              </w:rPr>
              <w:t>处理后的颗粒物排放量</w:t>
            </w:r>
            <w:r>
              <w:rPr>
                <w:rFonts w:hint="default"/>
                <w:color w:val="auto"/>
                <w:sz w:val="24"/>
                <w:szCs w:val="24"/>
                <w:highlight w:val="none"/>
              </w:rPr>
              <w:t>为</w:t>
            </w:r>
            <w:r>
              <w:rPr>
                <w:rFonts w:hint="eastAsia"/>
                <w:color w:val="auto"/>
                <w:sz w:val="24"/>
                <w:szCs w:val="24"/>
                <w:highlight w:val="none"/>
                <w:lang w:val="en-US" w:eastAsia="zh-CN"/>
              </w:rPr>
              <w:t>0.575</w:t>
            </w:r>
            <w:r>
              <w:rPr>
                <w:rFonts w:hint="default"/>
                <w:color w:val="auto"/>
                <w:sz w:val="24"/>
                <w:szCs w:val="24"/>
                <w:highlight w:val="none"/>
              </w:rPr>
              <w:t xml:space="preserve">t/a。     </w:t>
            </w:r>
          </w:p>
          <w:p w14:paraId="6CC58300">
            <w:pPr>
              <w:keepNext w:val="0"/>
              <w:keepLines w:val="0"/>
              <w:suppressLineNumbers w:val="0"/>
              <w:autoSpaceDE w:val="0"/>
              <w:autoSpaceDN w:val="0"/>
              <w:spacing w:before="0" w:beforeAutospacing="0" w:after="0" w:afterAutospacing="0"/>
              <w:ind w:left="0" w:right="0"/>
              <w:jc w:val="center"/>
              <w:rPr>
                <w:rFonts w:hint="default"/>
                <w:b/>
                <w:bCs/>
                <w:color w:val="auto"/>
                <w:sz w:val="24"/>
                <w:highlight w:val="none"/>
              </w:rPr>
            </w:pPr>
            <w:r>
              <w:rPr>
                <w:rFonts w:hint="eastAsia"/>
                <w:b/>
                <w:bCs/>
                <w:color w:val="auto"/>
                <w:sz w:val="24"/>
                <w:highlight w:val="none"/>
              </w:rPr>
              <w:t>表4-</w:t>
            </w:r>
            <w:r>
              <w:rPr>
                <w:rFonts w:hint="eastAsia"/>
                <w:b/>
                <w:bCs/>
                <w:color w:val="auto"/>
                <w:sz w:val="24"/>
                <w:highlight w:val="none"/>
                <w:lang w:val="en-US" w:eastAsia="zh-CN"/>
              </w:rPr>
              <w:t>1</w:t>
            </w:r>
            <w:r>
              <w:rPr>
                <w:rFonts w:hint="eastAsia"/>
                <w:b/>
                <w:bCs/>
                <w:color w:val="auto"/>
                <w:sz w:val="24"/>
                <w:highlight w:val="none"/>
              </w:rPr>
              <w:t xml:space="preserve">  废气无组织</w:t>
            </w:r>
            <w:r>
              <w:rPr>
                <w:rFonts w:hint="eastAsia"/>
                <w:b/>
                <w:bCs/>
                <w:color w:val="auto"/>
                <w:sz w:val="24"/>
                <w:highlight w:val="none"/>
                <w:lang w:val="en-US" w:eastAsia="zh-CN"/>
              </w:rPr>
              <w:t>产排污</w:t>
            </w:r>
            <w:r>
              <w:rPr>
                <w:rFonts w:hint="eastAsia"/>
                <w:b/>
                <w:bCs/>
                <w:color w:val="auto"/>
                <w:sz w:val="24"/>
                <w:highlight w:val="none"/>
              </w:rPr>
              <w:t>情况一览表</w:t>
            </w:r>
          </w:p>
          <w:tbl>
            <w:tblPr>
              <w:tblStyle w:val="35"/>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595"/>
              <w:gridCol w:w="5728"/>
            </w:tblGrid>
            <w:tr w14:paraId="0BB132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jc w:val="center"/>
              </w:trPr>
              <w:tc>
                <w:tcPr>
                  <w:tcW w:w="1558" w:type="pct"/>
                  <w:tcBorders>
                    <w:left w:val="single" w:color="auto" w:sz="4" w:space="0"/>
                  </w:tcBorders>
                  <w:noWrap w:val="0"/>
                  <w:vAlign w:val="center"/>
                </w:tcPr>
                <w:p w14:paraId="6B9CCDB7">
                  <w:pPr>
                    <w:pStyle w:val="61"/>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color w:val="auto"/>
                      <w:sz w:val="21"/>
                      <w:szCs w:val="21"/>
                      <w:highlight w:val="none"/>
                    </w:rPr>
                  </w:pPr>
                  <w:r>
                    <w:rPr>
                      <w:rFonts w:hint="default" w:ascii="Times New Roman" w:hAnsi="Times New Roman" w:eastAsia="宋体" w:cs="Times New Roman"/>
                      <w:color w:val="auto"/>
                      <w:sz w:val="21"/>
                      <w:szCs w:val="21"/>
                      <w:highlight w:val="none"/>
                    </w:rPr>
                    <w:t>项目</w:t>
                  </w:r>
                </w:p>
              </w:tc>
              <w:tc>
                <w:tcPr>
                  <w:tcW w:w="3441" w:type="pct"/>
                  <w:shd w:val="clear" w:color="auto" w:fill="auto"/>
                  <w:noWrap w:val="0"/>
                  <w:vAlign w:val="center"/>
                </w:tcPr>
                <w:p w14:paraId="7EEC2C7E">
                  <w:pPr>
                    <w:pStyle w:val="61"/>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颗粒物</w:t>
                  </w:r>
                </w:p>
              </w:tc>
            </w:tr>
            <w:tr w14:paraId="4D2501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58" w:type="pct"/>
                  <w:noWrap w:val="0"/>
                  <w:vAlign w:val="center"/>
                </w:tcPr>
                <w:p w14:paraId="22867B4F">
                  <w:pPr>
                    <w:pStyle w:val="61"/>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无组织产生</w:t>
                  </w:r>
                  <w:r>
                    <w:rPr>
                      <w:rFonts w:hint="eastAsia" w:ascii="Times New Roman" w:hAnsi="Times New Roman" w:eastAsia="宋体" w:cs="Times New Roman"/>
                      <w:color w:val="auto"/>
                      <w:sz w:val="21"/>
                      <w:szCs w:val="21"/>
                      <w:highlight w:val="none"/>
                      <w:lang w:val="en-US" w:eastAsia="zh-CN"/>
                    </w:rPr>
                    <w:t>量（t/a）</w:t>
                  </w:r>
                </w:p>
              </w:tc>
              <w:tc>
                <w:tcPr>
                  <w:tcW w:w="3441" w:type="pct"/>
                  <w:shd w:val="clear" w:color="auto" w:fill="auto"/>
                  <w:noWrap w:val="0"/>
                  <w:vAlign w:val="center"/>
                </w:tcPr>
                <w:p w14:paraId="0833D0E9">
                  <w:pPr>
                    <w:pStyle w:val="61"/>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sz w:val="21"/>
                      <w:szCs w:val="21"/>
                      <w:highlight w:val="none"/>
                      <w:lang w:val="en-US" w:eastAsia="zh-CN"/>
                    </w:rPr>
                    <w:t>11.50</w:t>
                  </w:r>
                </w:p>
              </w:tc>
            </w:tr>
            <w:tr w14:paraId="54334E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58" w:type="pct"/>
                  <w:noWrap w:val="0"/>
                  <w:vAlign w:val="center"/>
                </w:tcPr>
                <w:p w14:paraId="634FE85F">
                  <w:pPr>
                    <w:pStyle w:val="61"/>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产生速率（kg/h）</w:t>
                  </w:r>
                </w:p>
              </w:tc>
              <w:tc>
                <w:tcPr>
                  <w:tcW w:w="3441" w:type="pct"/>
                  <w:shd w:val="clear" w:color="auto" w:fill="auto"/>
                  <w:noWrap w:val="0"/>
                  <w:vAlign w:val="center"/>
                </w:tcPr>
                <w:p w14:paraId="1B0DF247">
                  <w:pPr>
                    <w:pStyle w:val="61"/>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1.60</w:t>
                  </w:r>
                </w:p>
              </w:tc>
            </w:tr>
            <w:tr w14:paraId="312CB8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58" w:type="pct"/>
                  <w:noWrap w:val="0"/>
                  <w:vAlign w:val="center"/>
                </w:tcPr>
                <w:p w14:paraId="3E61CCE7">
                  <w:pPr>
                    <w:pStyle w:val="61"/>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处理技术</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措施</w:t>
                  </w:r>
                  <w:r>
                    <w:rPr>
                      <w:rFonts w:hint="eastAsia" w:ascii="Times New Roman" w:hAnsi="Times New Roman" w:eastAsia="宋体" w:cs="Times New Roman"/>
                      <w:color w:val="auto"/>
                      <w:sz w:val="21"/>
                      <w:szCs w:val="21"/>
                      <w:highlight w:val="none"/>
                      <w:lang w:eastAsia="zh-CN"/>
                    </w:rPr>
                    <w:t>）</w:t>
                  </w:r>
                </w:p>
              </w:tc>
              <w:tc>
                <w:tcPr>
                  <w:tcW w:w="3441" w:type="pct"/>
                  <w:shd w:val="clear" w:color="auto" w:fill="auto"/>
                  <w:noWrap w:val="0"/>
                  <w:vAlign w:val="center"/>
                </w:tcPr>
                <w:p w14:paraId="55626EB2">
                  <w:pPr>
                    <w:pStyle w:val="61"/>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环保抛光打磨湿式一体机</w:t>
                  </w:r>
                </w:p>
              </w:tc>
            </w:tr>
            <w:tr w14:paraId="0455B3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58" w:type="pct"/>
                  <w:noWrap w:val="0"/>
                  <w:vAlign w:val="center"/>
                </w:tcPr>
                <w:p w14:paraId="3FA172D1">
                  <w:pPr>
                    <w:pStyle w:val="61"/>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处理效率</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rPr>
                    <w:t>）</w:t>
                  </w:r>
                </w:p>
              </w:tc>
              <w:tc>
                <w:tcPr>
                  <w:tcW w:w="3441" w:type="pct"/>
                  <w:shd w:val="clear" w:color="auto" w:fill="auto"/>
                  <w:noWrap w:val="0"/>
                  <w:vAlign w:val="center"/>
                </w:tcPr>
                <w:p w14:paraId="0756C3D5">
                  <w:pPr>
                    <w:pStyle w:val="61"/>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95%</w:t>
                  </w:r>
                </w:p>
              </w:tc>
            </w:tr>
            <w:tr w14:paraId="64F1F0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58" w:type="pct"/>
                  <w:noWrap w:val="0"/>
                  <w:vAlign w:val="center"/>
                </w:tcPr>
                <w:p w14:paraId="32B4DC85">
                  <w:pPr>
                    <w:pStyle w:val="61"/>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无组织</w:t>
                  </w:r>
                  <w:r>
                    <w:rPr>
                      <w:rFonts w:hint="default" w:ascii="Times New Roman" w:hAnsi="Times New Roman" w:eastAsia="宋体" w:cs="Times New Roman"/>
                      <w:color w:val="auto"/>
                      <w:sz w:val="21"/>
                      <w:szCs w:val="21"/>
                      <w:highlight w:val="none"/>
                    </w:rPr>
                    <w:t>排放量</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t/a)</w:t>
                  </w:r>
                </w:p>
              </w:tc>
              <w:tc>
                <w:tcPr>
                  <w:tcW w:w="3441" w:type="pct"/>
                  <w:shd w:val="clear" w:color="auto" w:fill="auto"/>
                  <w:noWrap w:val="0"/>
                  <w:vAlign w:val="center"/>
                </w:tcPr>
                <w:p w14:paraId="46224A43">
                  <w:pPr>
                    <w:pStyle w:val="61"/>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0.575</w:t>
                  </w:r>
                </w:p>
              </w:tc>
            </w:tr>
            <w:tr w14:paraId="7B8540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58" w:type="pct"/>
                  <w:noWrap w:val="0"/>
                  <w:vAlign w:val="center"/>
                </w:tcPr>
                <w:p w14:paraId="2652E82A">
                  <w:pPr>
                    <w:pStyle w:val="61"/>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无组织</w:t>
                  </w:r>
                  <w:r>
                    <w:rPr>
                      <w:rFonts w:hint="default" w:ascii="Times New Roman" w:hAnsi="Times New Roman" w:eastAsia="宋体" w:cs="Times New Roman"/>
                      <w:color w:val="auto"/>
                      <w:sz w:val="21"/>
                      <w:szCs w:val="21"/>
                      <w:highlight w:val="none"/>
                    </w:rPr>
                    <w:t>排放速率</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kg/h)</w:t>
                  </w:r>
                </w:p>
              </w:tc>
              <w:tc>
                <w:tcPr>
                  <w:tcW w:w="3441" w:type="pct"/>
                  <w:shd w:val="clear" w:color="auto" w:fill="auto"/>
                  <w:noWrap w:val="0"/>
                  <w:vAlign w:val="center"/>
                </w:tcPr>
                <w:p w14:paraId="344B82D3">
                  <w:pPr>
                    <w:pStyle w:val="61"/>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0.080</w:t>
                  </w:r>
                </w:p>
              </w:tc>
            </w:tr>
          </w:tbl>
          <w:p w14:paraId="256823FB">
            <w:pPr>
              <w:keepNext w:val="0"/>
              <w:keepLines w:val="0"/>
              <w:suppressLineNumbers w:val="0"/>
              <w:wordWrap w:val="0"/>
              <w:adjustRightIn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kern w:val="0"/>
                <w:sz w:val="24"/>
                <w:highlight w:val="none"/>
              </w:rPr>
              <w:t>厂界</w:t>
            </w:r>
            <w:r>
              <w:rPr>
                <w:rFonts w:hint="eastAsia"/>
                <w:color w:val="auto"/>
                <w:sz w:val="24"/>
                <w:highlight w:val="none"/>
              </w:rPr>
              <w:t>颗粒物满足</w:t>
            </w:r>
            <w:r>
              <w:rPr>
                <w:rFonts w:hint="default"/>
                <w:color w:val="auto"/>
                <w:sz w:val="24"/>
                <w:highlight w:val="none"/>
              </w:rPr>
              <w:t>《</w:t>
            </w:r>
            <w:r>
              <w:rPr>
                <w:rFonts w:hint="eastAsia"/>
                <w:color w:val="auto"/>
                <w:sz w:val="24"/>
                <w:highlight w:val="none"/>
                <w:lang w:eastAsia="zh-CN"/>
              </w:rPr>
              <w:t>大气</w:t>
            </w:r>
            <w:r>
              <w:rPr>
                <w:rFonts w:hint="default"/>
                <w:color w:val="auto"/>
                <w:sz w:val="24"/>
                <w:highlight w:val="none"/>
              </w:rPr>
              <w:t>污染物</w:t>
            </w:r>
            <w:r>
              <w:rPr>
                <w:rFonts w:hint="eastAsia"/>
                <w:color w:val="auto"/>
                <w:sz w:val="24"/>
                <w:highlight w:val="none"/>
                <w:lang w:eastAsia="zh-CN"/>
              </w:rPr>
              <w:t>综合</w:t>
            </w:r>
            <w:r>
              <w:rPr>
                <w:rFonts w:hint="default"/>
                <w:color w:val="auto"/>
                <w:sz w:val="24"/>
                <w:highlight w:val="none"/>
              </w:rPr>
              <w:t xml:space="preserve">排放标准》（GB </w:t>
            </w:r>
            <w:r>
              <w:rPr>
                <w:rFonts w:hint="eastAsia"/>
                <w:color w:val="auto"/>
                <w:sz w:val="24"/>
                <w:highlight w:val="none"/>
                <w:lang w:val="en-US" w:eastAsia="zh-CN"/>
              </w:rPr>
              <w:t>16297-1996</w:t>
            </w:r>
            <w:r>
              <w:rPr>
                <w:rFonts w:hint="default"/>
                <w:color w:val="auto"/>
                <w:sz w:val="24"/>
                <w:highlight w:val="none"/>
              </w:rPr>
              <w:t>）</w:t>
            </w:r>
            <w:r>
              <w:rPr>
                <w:rFonts w:hint="eastAsia"/>
                <w:color w:val="auto"/>
                <w:sz w:val="24"/>
                <w:highlight w:val="none"/>
              </w:rPr>
              <w:t>中表</w:t>
            </w:r>
            <w:r>
              <w:rPr>
                <w:rFonts w:hint="eastAsia"/>
                <w:color w:val="auto"/>
                <w:sz w:val="24"/>
                <w:highlight w:val="none"/>
                <w:lang w:val="en-US" w:eastAsia="zh-CN"/>
              </w:rPr>
              <w:t>2</w:t>
            </w:r>
            <w:r>
              <w:rPr>
                <w:rFonts w:hint="eastAsia"/>
                <w:color w:val="auto"/>
                <w:sz w:val="24"/>
                <w:highlight w:val="none"/>
              </w:rPr>
              <w:t>限值和</w:t>
            </w:r>
            <w:r>
              <w:rPr>
                <w:rFonts w:hint="eastAsia"/>
                <w:color w:val="auto"/>
                <w:spacing w:val="-1"/>
                <w:sz w:val="24"/>
                <w:highlight w:val="none"/>
              </w:rPr>
              <w:t>《秦皇岛市人民政府办公室关于执行钢铁等行业大气污染物排放特别要求的通知》（2021-10）中要求。</w:t>
            </w:r>
          </w:p>
          <w:p w14:paraId="4EA24307">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eastAsia"/>
                <w:color w:val="auto"/>
                <w:sz w:val="24"/>
                <w:highlight w:val="none"/>
                <w:lang w:val="en-US" w:eastAsia="zh-CN"/>
              </w:rPr>
              <w:t>1.2</w:t>
            </w:r>
            <w:r>
              <w:rPr>
                <w:rFonts w:hint="eastAsia"/>
                <w:color w:val="auto"/>
                <w:sz w:val="24"/>
                <w:highlight w:val="none"/>
              </w:rPr>
              <w:t>无组织废气</w:t>
            </w:r>
            <w:r>
              <w:rPr>
                <w:rFonts w:hint="default"/>
                <w:color w:val="auto"/>
                <w:sz w:val="24"/>
                <w:highlight w:val="none"/>
              </w:rPr>
              <w:t>影响预测</w:t>
            </w:r>
          </w:p>
          <w:p w14:paraId="41F23FC8">
            <w:pPr>
              <w:keepNext w:val="0"/>
              <w:keepLines w:val="0"/>
              <w:suppressLineNumbers w:val="0"/>
              <w:adjustRightInd w:val="0"/>
              <w:snapToGrid w:val="0"/>
              <w:spacing w:before="0" w:beforeAutospacing="0" w:after="0" w:afterAutospacing="0" w:line="360" w:lineRule="auto"/>
              <w:ind w:left="0" w:right="0" w:firstLine="480" w:firstLineChars="200"/>
              <w:rPr>
                <w:rFonts w:hint="eastAsia"/>
                <w:bCs/>
                <w:color w:val="auto"/>
                <w:sz w:val="24"/>
                <w:highlight w:val="none"/>
              </w:rPr>
            </w:pPr>
            <w:r>
              <w:rPr>
                <w:rFonts w:hint="eastAsia"/>
                <w:color w:val="auto"/>
                <w:sz w:val="24"/>
                <w:highlight w:val="none"/>
              </w:rPr>
              <w:t>本</w:t>
            </w:r>
            <w:r>
              <w:rPr>
                <w:rFonts w:hint="eastAsia"/>
                <w:bCs/>
                <w:color w:val="auto"/>
                <w:sz w:val="24"/>
                <w:highlight w:val="none"/>
              </w:rPr>
              <w:t>项目采用《环境影响评价技术导则大气环境》（HJ2.2-2018）中的估算运营期环境影响和保护措施模式（AERSCREEN）对厂界浓度进行预测。根据预测结果，</w:t>
            </w:r>
            <w:r>
              <w:rPr>
                <w:rFonts w:hint="default"/>
                <w:bCs/>
                <w:color w:val="auto"/>
                <w:sz w:val="24"/>
                <w:highlight w:val="none"/>
              </w:rPr>
              <w:t>无组织</w:t>
            </w:r>
            <w:r>
              <w:rPr>
                <w:rFonts w:hint="eastAsia"/>
                <w:bCs/>
                <w:color w:val="auto"/>
                <w:sz w:val="24"/>
                <w:highlight w:val="none"/>
                <w:lang w:eastAsia="zh-CN"/>
              </w:rPr>
              <w:t>废气</w:t>
            </w:r>
            <w:r>
              <w:rPr>
                <w:rFonts w:hint="eastAsia"/>
                <w:bCs/>
                <w:color w:val="auto"/>
                <w:sz w:val="24"/>
                <w:highlight w:val="none"/>
                <w:lang w:val="en-US" w:eastAsia="zh-CN"/>
              </w:rPr>
              <w:t>颗粒物</w:t>
            </w:r>
            <w:r>
              <w:rPr>
                <w:rFonts w:hint="eastAsia"/>
                <w:bCs/>
                <w:color w:val="auto"/>
                <w:sz w:val="24"/>
                <w:highlight w:val="none"/>
                <w:lang w:eastAsia="zh-CN"/>
              </w:rPr>
              <w:t>最大落地贡献</w:t>
            </w:r>
            <w:r>
              <w:rPr>
                <w:rFonts w:hint="default"/>
                <w:bCs/>
                <w:color w:val="auto"/>
                <w:sz w:val="24"/>
                <w:highlight w:val="none"/>
              </w:rPr>
              <w:t>浓度</w:t>
            </w:r>
            <w:r>
              <w:rPr>
                <w:rFonts w:hint="eastAsia"/>
                <w:bCs/>
                <w:color w:val="auto"/>
                <w:sz w:val="24"/>
                <w:highlight w:val="none"/>
                <w:lang w:val="en-US" w:eastAsia="zh-CN"/>
              </w:rPr>
              <w:t>为54.206 ug/m³，</w:t>
            </w:r>
            <w:r>
              <w:rPr>
                <w:rFonts w:hint="default"/>
                <w:bCs/>
                <w:color w:val="auto"/>
                <w:sz w:val="24"/>
                <w:highlight w:val="none"/>
              </w:rPr>
              <w:t>可以满足</w:t>
            </w:r>
            <w:r>
              <w:rPr>
                <w:rFonts w:hint="default"/>
                <w:color w:val="auto"/>
                <w:sz w:val="24"/>
                <w:highlight w:val="none"/>
              </w:rPr>
              <w:t>《</w:t>
            </w:r>
            <w:r>
              <w:rPr>
                <w:rFonts w:hint="eastAsia"/>
                <w:color w:val="auto"/>
                <w:sz w:val="24"/>
                <w:highlight w:val="none"/>
                <w:lang w:eastAsia="zh-CN"/>
              </w:rPr>
              <w:t>大气</w:t>
            </w:r>
            <w:r>
              <w:rPr>
                <w:rFonts w:hint="default"/>
                <w:color w:val="auto"/>
                <w:sz w:val="24"/>
                <w:highlight w:val="none"/>
              </w:rPr>
              <w:t>污染物</w:t>
            </w:r>
            <w:r>
              <w:rPr>
                <w:rFonts w:hint="eastAsia"/>
                <w:color w:val="auto"/>
                <w:sz w:val="24"/>
                <w:highlight w:val="none"/>
                <w:lang w:eastAsia="zh-CN"/>
              </w:rPr>
              <w:t>综合</w:t>
            </w:r>
            <w:r>
              <w:rPr>
                <w:rFonts w:hint="default"/>
                <w:color w:val="auto"/>
                <w:sz w:val="24"/>
                <w:highlight w:val="none"/>
              </w:rPr>
              <w:t xml:space="preserve">排放标准》（GB </w:t>
            </w:r>
            <w:r>
              <w:rPr>
                <w:rFonts w:hint="eastAsia"/>
                <w:color w:val="auto"/>
                <w:sz w:val="24"/>
                <w:highlight w:val="none"/>
                <w:lang w:val="en-US" w:eastAsia="zh-CN"/>
              </w:rPr>
              <w:t>16297-1996</w:t>
            </w:r>
            <w:r>
              <w:rPr>
                <w:rFonts w:hint="default"/>
                <w:color w:val="auto"/>
                <w:sz w:val="24"/>
                <w:highlight w:val="none"/>
              </w:rPr>
              <w:t>）</w:t>
            </w:r>
            <w:r>
              <w:rPr>
                <w:rFonts w:hint="eastAsia"/>
                <w:color w:val="auto"/>
                <w:spacing w:val="-1"/>
                <w:sz w:val="24"/>
                <w:highlight w:val="none"/>
              </w:rPr>
              <w:t>表</w:t>
            </w:r>
            <w:r>
              <w:rPr>
                <w:rFonts w:hint="eastAsia"/>
                <w:color w:val="auto"/>
                <w:spacing w:val="-1"/>
                <w:sz w:val="24"/>
                <w:highlight w:val="none"/>
                <w:lang w:val="en-US" w:eastAsia="zh-CN"/>
              </w:rPr>
              <w:t>2</w:t>
            </w:r>
            <w:r>
              <w:rPr>
                <w:rFonts w:hint="eastAsia"/>
                <w:color w:val="auto"/>
                <w:spacing w:val="-1"/>
                <w:sz w:val="24"/>
                <w:highlight w:val="none"/>
              </w:rPr>
              <w:t>厂界无组织排放限值</w:t>
            </w:r>
            <w:r>
              <w:rPr>
                <w:rFonts w:hint="eastAsia"/>
                <w:color w:val="auto"/>
                <w:spacing w:val="-1"/>
                <w:sz w:val="24"/>
                <w:highlight w:val="none"/>
                <w:lang w:eastAsia="zh-CN"/>
              </w:rPr>
              <w:t>及</w:t>
            </w:r>
            <w:r>
              <w:rPr>
                <w:rFonts w:hint="eastAsia"/>
                <w:color w:val="auto"/>
                <w:spacing w:val="-1"/>
                <w:sz w:val="24"/>
                <w:highlight w:val="none"/>
              </w:rPr>
              <w:t>《秦皇岛市人民政府办公室关于执行钢铁等行业大气污染物排放特别要求的通知》（2021-10）</w:t>
            </w:r>
            <w:r>
              <w:rPr>
                <w:rFonts w:hint="default"/>
                <w:color w:val="auto"/>
                <w:spacing w:val="-1"/>
                <w:sz w:val="24"/>
                <w:highlight w:val="none"/>
              </w:rPr>
              <w:t>：</w:t>
            </w:r>
            <w:r>
              <w:rPr>
                <w:rFonts w:hint="eastAsia"/>
                <w:color w:val="auto"/>
                <w:spacing w:val="-1"/>
                <w:sz w:val="24"/>
                <w:highlight w:val="none"/>
                <w:lang w:val="en-US" w:eastAsia="zh-CN"/>
              </w:rPr>
              <w:t xml:space="preserve">300 </w:t>
            </w:r>
            <w:r>
              <w:rPr>
                <w:rFonts w:hint="default" w:ascii="Times New Roman" w:hAnsi="Times New Roman" w:cs="Times New Roman"/>
                <w:color w:val="auto"/>
                <w:spacing w:val="-1"/>
                <w:sz w:val="24"/>
                <w:highlight w:val="none"/>
                <w:lang w:val="en-US" w:eastAsia="zh-CN"/>
              </w:rPr>
              <w:t>μ</w:t>
            </w:r>
            <w:r>
              <w:rPr>
                <w:rFonts w:hint="default"/>
                <w:color w:val="auto"/>
                <w:spacing w:val="-1"/>
                <w:sz w:val="24"/>
                <w:highlight w:val="none"/>
              </w:rPr>
              <w:t>g/m</w:t>
            </w:r>
            <w:r>
              <w:rPr>
                <w:rFonts w:hint="default"/>
                <w:color w:val="auto"/>
                <w:spacing w:val="-1"/>
                <w:sz w:val="24"/>
                <w:highlight w:val="none"/>
                <w:vertAlign w:val="superscript"/>
              </w:rPr>
              <w:t>3</w:t>
            </w:r>
            <w:r>
              <w:rPr>
                <w:rFonts w:hint="default"/>
                <w:color w:val="auto"/>
                <w:spacing w:val="-1"/>
                <w:sz w:val="24"/>
                <w:highlight w:val="none"/>
              </w:rPr>
              <w:t>。</w:t>
            </w:r>
            <w:r>
              <w:rPr>
                <w:rFonts w:hint="default"/>
                <w:bCs/>
                <w:color w:val="auto"/>
                <w:sz w:val="24"/>
                <w:highlight w:val="none"/>
              </w:rPr>
              <w:t>因此，项目无组织排放的废气对周围环境影响不大</w:t>
            </w:r>
            <w:r>
              <w:rPr>
                <w:rFonts w:hint="eastAsia"/>
                <w:bCs/>
                <w:color w:val="auto"/>
                <w:sz w:val="24"/>
                <w:highlight w:val="none"/>
              </w:rPr>
              <w:t>。</w:t>
            </w:r>
          </w:p>
          <w:p w14:paraId="63F653C2">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bCs/>
                <w:color w:val="auto"/>
                <w:sz w:val="24"/>
                <w:highlight w:val="none"/>
                <w:lang w:val="en-US" w:eastAsia="zh-CN"/>
              </w:rPr>
            </w:pPr>
            <w:r>
              <w:rPr>
                <w:rFonts w:hint="eastAsia"/>
                <w:bCs/>
                <w:color w:val="auto"/>
                <w:sz w:val="24"/>
                <w:highlight w:val="none"/>
                <w:lang w:val="en-US" w:eastAsia="zh-CN"/>
              </w:rPr>
              <w:t>本项目距村庄约360m，到达烟台山村的颗粒物浓度为11.64ug/m³，满足</w:t>
            </w:r>
            <w:r>
              <w:rPr>
                <w:rFonts w:hint="default"/>
                <w:bCs/>
                <w:color w:val="auto"/>
                <w:sz w:val="24"/>
                <w:highlight w:val="none"/>
              </w:rPr>
              <w:t>《环境空气质量标准》(GB3095-2012)二级标准</w:t>
            </w:r>
            <w:r>
              <w:rPr>
                <w:rFonts w:hint="eastAsia"/>
                <w:bCs/>
                <w:color w:val="auto"/>
                <w:sz w:val="24"/>
                <w:highlight w:val="none"/>
                <w:lang w:eastAsia="zh-CN"/>
              </w:rPr>
              <w:t>，</w:t>
            </w:r>
            <w:r>
              <w:rPr>
                <w:rFonts w:hint="eastAsia"/>
                <w:bCs/>
                <w:color w:val="auto"/>
                <w:sz w:val="24"/>
                <w:highlight w:val="none"/>
                <w:lang w:val="en-US" w:eastAsia="zh-CN"/>
              </w:rPr>
              <w:t>对村庄影响不大。</w:t>
            </w:r>
          </w:p>
          <w:p w14:paraId="0585A624">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bCs/>
                <w:color w:val="auto"/>
                <w:sz w:val="24"/>
                <w:highlight w:val="none"/>
              </w:rPr>
            </w:pPr>
            <w:r>
              <w:rPr>
                <w:rFonts w:hint="eastAsia"/>
                <w:bCs/>
                <w:color w:val="auto"/>
                <w:sz w:val="24"/>
                <w:highlight w:val="none"/>
              </w:rPr>
              <w:t>1.2监测要求</w:t>
            </w:r>
          </w:p>
          <w:p w14:paraId="73435551">
            <w:pPr>
              <w:keepNext w:val="0"/>
              <w:keepLines w:val="0"/>
              <w:suppressLineNumbers w:val="0"/>
              <w:spacing w:before="0" w:beforeAutospacing="0" w:after="0" w:afterAutospacing="0" w:line="360" w:lineRule="auto"/>
              <w:ind w:left="0" w:right="0" w:firstLine="480" w:firstLineChars="200"/>
              <w:jc w:val="left"/>
              <w:rPr>
                <w:rFonts w:hint="default"/>
                <w:bCs/>
                <w:color w:val="auto"/>
                <w:sz w:val="24"/>
                <w:highlight w:val="none"/>
              </w:rPr>
            </w:pPr>
            <w:r>
              <w:rPr>
                <w:rFonts w:hint="eastAsia"/>
                <w:bCs/>
                <w:color w:val="auto"/>
                <w:sz w:val="24"/>
                <w:highlight w:val="none"/>
              </w:rPr>
              <w:t>按照国家颁布的环境质量标准、污染物排放标准及地方环保部门的要求，参照《排污单位自行监测技术指南 总则》（HJ819-2017）以及《排污许可证申请 与核发技术规范 汽车制造业》（HJ 971-2018）中无组织废气排放监测项目、最低监测频次，结合</w:t>
            </w:r>
            <w:r>
              <w:rPr>
                <w:rFonts w:hint="eastAsia"/>
                <w:color w:val="auto"/>
                <w:sz w:val="24"/>
                <w:highlight w:val="none"/>
              </w:rPr>
              <w:t>本</w:t>
            </w:r>
            <w:r>
              <w:rPr>
                <w:rFonts w:hint="eastAsia"/>
                <w:bCs/>
                <w:color w:val="auto"/>
                <w:sz w:val="24"/>
                <w:highlight w:val="none"/>
              </w:rPr>
              <w:t>项目生产特点及污染物排放特征制定监测方案，环境监测的主要工作内容如下：</w:t>
            </w:r>
          </w:p>
          <w:p w14:paraId="792D0500">
            <w:pPr>
              <w:keepNext w:val="0"/>
              <w:keepLines w:val="0"/>
              <w:suppressLineNumbers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表4-</w:t>
            </w:r>
            <w:r>
              <w:rPr>
                <w:rFonts w:hint="eastAsia"/>
                <w:b/>
                <w:bCs/>
                <w:color w:val="auto"/>
                <w:sz w:val="24"/>
                <w:highlight w:val="none"/>
                <w:lang w:val="en-US" w:eastAsia="zh-CN"/>
              </w:rPr>
              <w:t>2</w:t>
            </w:r>
            <w:r>
              <w:rPr>
                <w:rFonts w:hint="eastAsia"/>
                <w:b/>
                <w:bCs/>
                <w:color w:val="auto"/>
                <w:sz w:val="24"/>
                <w:highlight w:val="none"/>
              </w:rPr>
              <w:t xml:space="preserve"> </w:t>
            </w:r>
            <w:r>
              <w:rPr>
                <w:rFonts w:hint="default"/>
                <w:b/>
                <w:bCs/>
                <w:color w:val="auto"/>
                <w:sz w:val="24"/>
                <w:highlight w:val="none"/>
              </w:rPr>
              <w:t xml:space="preserve"> </w:t>
            </w:r>
            <w:r>
              <w:rPr>
                <w:rFonts w:hint="eastAsia"/>
                <w:b/>
                <w:bCs/>
                <w:color w:val="auto"/>
                <w:sz w:val="24"/>
                <w:highlight w:val="none"/>
              </w:rPr>
              <w:t>废气</w:t>
            </w:r>
            <w:r>
              <w:rPr>
                <w:rFonts w:hint="default"/>
                <w:b/>
                <w:bCs/>
                <w:color w:val="auto"/>
                <w:sz w:val="24"/>
                <w:highlight w:val="none"/>
              </w:rPr>
              <w:t>监测计划</w:t>
            </w:r>
            <w:r>
              <w:rPr>
                <w:rFonts w:hint="eastAsia"/>
                <w:b/>
                <w:bCs/>
                <w:color w:val="auto"/>
                <w:sz w:val="24"/>
                <w:highlight w:val="none"/>
              </w:rPr>
              <w:t>一览表</w:t>
            </w:r>
          </w:p>
          <w:tbl>
            <w:tblPr>
              <w:tblStyle w:val="35"/>
              <w:tblpPr w:leftFromText="180" w:rightFromText="180" w:vertAnchor="text" w:tblpX="1" w:tblpY="1"/>
              <w:tblOverlap w:val="never"/>
              <w:tblW w:w="83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64"/>
              <w:gridCol w:w="1515"/>
              <w:gridCol w:w="1065"/>
              <w:gridCol w:w="3794"/>
            </w:tblGrid>
            <w:tr w14:paraId="0F2ED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964" w:type="dxa"/>
                  <w:vAlign w:val="center"/>
                </w:tcPr>
                <w:p w14:paraId="4F25C583">
                  <w:pPr>
                    <w:keepNext w:val="0"/>
                    <w:keepLines w:val="0"/>
                    <w:suppressLineNumbers w:val="0"/>
                    <w:adjustRightInd w:val="0"/>
                    <w:snapToGrid w:val="0"/>
                    <w:spacing w:before="0" w:beforeAutospacing="0" w:after="0" w:afterAutospacing="0"/>
                    <w:ind w:left="0" w:right="0"/>
                    <w:jc w:val="center"/>
                    <w:rPr>
                      <w:rFonts w:hint="default"/>
                      <w:snapToGrid w:val="0"/>
                      <w:color w:val="auto"/>
                      <w:szCs w:val="21"/>
                      <w:highlight w:val="none"/>
                    </w:rPr>
                  </w:pPr>
                  <w:r>
                    <w:rPr>
                      <w:rFonts w:hint="default"/>
                      <w:snapToGrid w:val="0"/>
                      <w:color w:val="auto"/>
                      <w:szCs w:val="21"/>
                      <w:highlight w:val="none"/>
                    </w:rPr>
                    <w:t>监测点位</w:t>
                  </w:r>
                </w:p>
              </w:tc>
              <w:tc>
                <w:tcPr>
                  <w:tcW w:w="1515" w:type="dxa"/>
                  <w:vAlign w:val="center"/>
                </w:tcPr>
                <w:p w14:paraId="77171DCF">
                  <w:pPr>
                    <w:keepNext w:val="0"/>
                    <w:keepLines w:val="0"/>
                    <w:suppressLineNumbers w:val="0"/>
                    <w:adjustRightInd w:val="0"/>
                    <w:snapToGrid w:val="0"/>
                    <w:spacing w:before="0" w:beforeAutospacing="0" w:after="0" w:afterAutospacing="0"/>
                    <w:ind w:left="0" w:right="0"/>
                    <w:jc w:val="center"/>
                    <w:rPr>
                      <w:rFonts w:hint="default"/>
                      <w:snapToGrid w:val="0"/>
                      <w:color w:val="auto"/>
                      <w:szCs w:val="21"/>
                      <w:highlight w:val="none"/>
                    </w:rPr>
                  </w:pPr>
                  <w:r>
                    <w:rPr>
                      <w:rFonts w:hint="default"/>
                      <w:snapToGrid w:val="0"/>
                      <w:color w:val="auto"/>
                      <w:szCs w:val="21"/>
                      <w:highlight w:val="none"/>
                    </w:rPr>
                    <w:t>监测因子</w:t>
                  </w:r>
                </w:p>
              </w:tc>
              <w:tc>
                <w:tcPr>
                  <w:tcW w:w="1065" w:type="dxa"/>
                  <w:vAlign w:val="center"/>
                </w:tcPr>
                <w:p w14:paraId="4CDF8BA1">
                  <w:pPr>
                    <w:keepNext w:val="0"/>
                    <w:keepLines w:val="0"/>
                    <w:suppressLineNumbers w:val="0"/>
                    <w:adjustRightInd w:val="0"/>
                    <w:snapToGrid w:val="0"/>
                    <w:spacing w:before="0" w:beforeAutospacing="0" w:after="0" w:afterAutospacing="0"/>
                    <w:ind w:left="0" w:right="0"/>
                    <w:jc w:val="center"/>
                    <w:rPr>
                      <w:rFonts w:hint="default"/>
                      <w:snapToGrid w:val="0"/>
                      <w:color w:val="auto"/>
                      <w:szCs w:val="21"/>
                      <w:highlight w:val="none"/>
                    </w:rPr>
                  </w:pPr>
                  <w:r>
                    <w:rPr>
                      <w:rFonts w:hint="default"/>
                      <w:snapToGrid w:val="0"/>
                      <w:color w:val="auto"/>
                      <w:szCs w:val="21"/>
                      <w:highlight w:val="none"/>
                    </w:rPr>
                    <w:t>监测</w:t>
                  </w:r>
                  <w:r>
                    <w:rPr>
                      <w:rFonts w:hint="eastAsia"/>
                      <w:snapToGrid w:val="0"/>
                      <w:color w:val="auto"/>
                      <w:szCs w:val="21"/>
                      <w:highlight w:val="none"/>
                    </w:rPr>
                    <w:t>频次</w:t>
                  </w:r>
                </w:p>
              </w:tc>
              <w:tc>
                <w:tcPr>
                  <w:tcW w:w="3794" w:type="dxa"/>
                  <w:vAlign w:val="center"/>
                </w:tcPr>
                <w:p w14:paraId="36FC7C07">
                  <w:pPr>
                    <w:keepNext w:val="0"/>
                    <w:keepLines w:val="0"/>
                    <w:suppressLineNumbers w:val="0"/>
                    <w:adjustRightInd w:val="0"/>
                    <w:snapToGrid w:val="0"/>
                    <w:spacing w:before="0" w:beforeAutospacing="0" w:after="0" w:afterAutospacing="0"/>
                    <w:ind w:left="0" w:right="0"/>
                    <w:jc w:val="center"/>
                    <w:rPr>
                      <w:rFonts w:hint="default"/>
                      <w:snapToGrid w:val="0"/>
                      <w:color w:val="auto"/>
                      <w:szCs w:val="21"/>
                      <w:highlight w:val="none"/>
                    </w:rPr>
                  </w:pPr>
                  <w:r>
                    <w:rPr>
                      <w:rFonts w:hint="eastAsia"/>
                      <w:snapToGrid w:val="0"/>
                      <w:color w:val="auto"/>
                      <w:szCs w:val="21"/>
                      <w:highlight w:val="none"/>
                    </w:rPr>
                    <w:t>执行排放标准</w:t>
                  </w:r>
                </w:p>
              </w:tc>
            </w:tr>
            <w:tr w14:paraId="6F258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964" w:type="dxa"/>
                  <w:vAlign w:val="center"/>
                </w:tcPr>
                <w:p w14:paraId="671F4E0A">
                  <w:pPr>
                    <w:keepNext w:val="0"/>
                    <w:keepLines w:val="0"/>
                    <w:suppressLineNumbers w:val="0"/>
                    <w:adjustRightInd w:val="0"/>
                    <w:snapToGrid w:val="0"/>
                    <w:spacing w:before="0" w:beforeAutospacing="0" w:after="0" w:afterAutospacing="0"/>
                    <w:ind w:left="0" w:right="0"/>
                    <w:jc w:val="center"/>
                    <w:rPr>
                      <w:rFonts w:hint="default"/>
                      <w:bCs/>
                      <w:snapToGrid w:val="0"/>
                      <w:color w:val="auto"/>
                      <w:szCs w:val="21"/>
                      <w:highlight w:val="none"/>
                    </w:rPr>
                  </w:pPr>
                  <w:r>
                    <w:rPr>
                      <w:rFonts w:hint="eastAsia"/>
                      <w:bCs/>
                      <w:snapToGrid w:val="0"/>
                      <w:color w:val="auto"/>
                      <w:szCs w:val="21"/>
                      <w:highlight w:val="none"/>
                    </w:rPr>
                    <w:t>厂界</w:t>
                  </w:r>
                </w:p>
              </w:tc>
              <w:tc>
                <w:tcPr>
                  <w:tcW w:w="1515" w:type="dxa"/>
                  <w:vAlign w:val="center"/>
                </w:tcPr>
                <w:p w14:paraId="3701BA90">
                  <w:pPr>
                    <w:keepNext w:val="0"/>
                    <w:keepLines w:val="0"/>
                    <w:suppressLineNumbers w:val="0"/>
                    <w:adjustRightInd w:val="0"/>
                    <w:snapToGrid w:val="0"/>
                    <w:spacing w:before="0" w:beforeAutospacing="0" w:after="0" w:afterAutospacing="0"/>
                    <w:ind w:left="0" w:right="0"/>
                    <w:jc w:val="center"/>
                    <w:rPr>
                      <w:rFonts w:hint="default"/>
                      <w:bCs/>
                      <w:snapToGrid w:val="0"/>
                      <w:color w:val="auto"/>
                      <w:szCs w:val="21"/>
                      <w:highlight w:val="none"/>
                    </w:rPr>
                  </w:pPr>
                  <w:r>
                    <w:rPr>
                      <w:rFonts w:hint="eastAsia"/>
                      <w:bCs/>
                      <w:snapToGrid w:val="0"/>
                      <w:color w:val="auto"/>
                      <w:szCs w:val="21"/>
                      <w:highlight w:val="none"/>
                      <w:lang w:val="en-US" w:eastAsia="zh-CN"/>
                    </w:rPr>
                    <w:t>颗粒物</w:t>
                  </w:r>
                </w:p>
              </w:tc>
              <w:tc>
                <w:tcPr>
                  <w:tcW w:w="1065" w:type="dxa"/>
                  <w:vAlign w:val="center"/>
                </w:tcPr>
                <w:p w14:paraId="585EF37D">
                  <w:pPr>
                    <w:keepNext w:val="0"/>
                    <w:keepLines w:val="0"/>
                    <w:suppressLineNumbers w:val="0"/>
                    <w:adjustRightInd w:val="0"/>
                    <w:snapToGrid w:val="0"/>
                    <w:spacing w:before="0" w:beforeAutospacing="0" w:after="0" w:afterAutospacing="0"/>
                    <w:ind w:left="0" w:right="0"/>
                    <w:jc w:val="center"/>
                    <w:rPr>
                      <w:rFonts w:hint="default"/>
                      <w:bCs/>
                      <w:snapToGrid w:val="0"/>
                      <w:color w:val="auto"/>
                      <w:szCs w:val="21"/>
                      <w:highlight w:val="none"/>
                    </w:rPr>
                  </w:pPr>
                  <w:r>
                    <w:rPr>
                      <w:rFonts w:hint="default"/>
                      <w:bCs/>
                      <w:snapToGrid w:val="0"/>
                      <w:color w:val="auto"/>
                      <w:szCs w:val="21"/>
                      <w:highlight w:val="none"/>
                    </w:rPr>
                    <w:t>1次/年</w:t>
                  </w:r>
                </w:p>
              </w:tc>
              <w:tc>
                <w:tcPr>
                  <w:tcW w:w="3794" w:type="dxa"/>
                  <w:vAlign w:val="center"/>
                </w:tcPr>
                <w:p w14:paraId="4DAFDFB2">
                  <w:pPr>
                    <w:keepNext w:val="0"/>
                    <w:keepLines w:val="0"/>
                    <w:suppressLineNumbers w:val="0"/>
                    <w:adjustRightInd w:val="0"/>
                    <w:snapToGrid w:val="0"/>
                    <w:spacing w:before="0" w:beforeAutospacing="0" w:after="0" w:afterAutospacing="0"/>
                    <w:ind w:left="0" w:right="0"/>
                    <w:jc w:val="center"/>
                    <w:rPr>
                      <w:rFonts w:hint="default"/>
                      <w:bCs/>
                      <w:snapToGrid w:val="0"/>
                      <w:color w:val="auto"/>
                      <w:szCs w:val="21"/>
                      <w:highlight w:val="none"/>
                    </w:rPr>
                  </w:pPr>
                  <w:r>
                    <w:rPr>
                      <w:rFonts w:hint="default"/>
                      <w:color w:val="auto"/>
                      <w:spacing w:val="-10"/>
                      <w:szCs w:val="21"/>
                      <w:highlight w:val="none"/>
                    </w:rPr>
                    <w:t>《</w:t>
                  </w:r>
                  <w:r>
                    <w:rPr>
                      <w:rFonts w:hint="eastAsia"/>
                      <w:color w:val="auto"/>
                      <w:spacing w:val="-10"/>
                      <w:szCs w:val="21"/>
                      <w:highlight w:val="none"/>
                      <w:lang w:eastAsia="zh-CN"/>
                    </w:rPr>
                    <w:t>大气</w:t>
                  </w:r>
                  <w:r>
                    <w:rPr>
                      <w:rFonts w:hint="default"/>
                      <w:color w:val="auto"/>
                      <w:spacing w:val="-10"/>
                      <w:szCs w:val="21"/>
                      <w:highlight w:val="none"/>
                    </w:rPr>
                    <w:t>污染物</w:t>
                  </w:r>
                  <w:r>
                    <w:rPr>
                      <w:rFonts w:hint="eastAsia"/>
                      <w:color w:val="auto"/>
                      <w:spacing w:val="-10"/>
                      <w:szCs w:val="21"/>
                      <w:highlight w:val="none"/>
                      <w:lang w:eastAsia="zh-CN"/>
                    </w:rPr>
                    <w:t>综合</w:t>
                  </w:r>
                  <w:r>
                    <w:rPr>
                      <w:rFonts w:hint="default"/>
                      <w:color w:val="auto"/>
                      <w:spacing w:val="-10"/>
                      <w:szCs w:val="21"/>
                      <w:highlight w:val="none"/>
                    </w:rPr>
                    <w:t xml:space="preserve">排放标准》（GB </w:t>
                  </w:r>
                  <w:r>
                    <w:rPr>
                      <w:rFonts w:hint="eastAsia"/>
                      <w:color w:val="auto"/>
                      <w:spacing w:val="-10"/>
                      <w:szCs w:val="21"/>
                      <w:highlight w:val="none"/>
                      <w:lang w:val="en-US" w:eastAsia="zh-CN"/>
                    </w:rPr>
                    <w:t>16297-1996</w:t>
                  </w:r>
                  <w:r>
                    <w:rPr>
                      <w:rFonts w:hint="default"/>
                      <w:color w:val="auto"/>
                      <w:spacing w:val="-10"/>
                      <w:szCs w:val="21"/>
                      <w:highlight w:val="none"/>
                    </w:rPr>
                    <w:t>）表</w:t>
                  </w:r>
                  <w:r>
                    <w:rPr>
                      <w:rFonts w:hint="eastAsia"/>
                      <w:color w:val="auto"/>
                      <w:spacing w:val="-10"/>
                      <w:szCs w:val="21"/>
                      <w:highlight w:val="none"/>
                      <w:lang w:val="en-US" w:eastAsia="zh-CN"/>
                    </w:rPr>
                    <w:t>2</w:t>
                  </w:r>
                  <w:r>
                    <w:rPr>
                      <w:rFonts w:hint="default"/>
                      <w:color w:val="auto"/>
                      <w:spacing w:val="-10"/>
                      <w:szCs w:val="21"/>
                      <w:highlight w:val="none"/>
                    </w:rPr>
                    <w:t>以及《秦皇岛市人民政府办公室关于执行钢铁等行业大气污染物排放特别要求的通知》（2021-10）中无组织排放浓度特别管控要求</w:t>
                  </w:r>
                </w:p>
              </w:tc>
            </w:tr>
          </w:tbl>
          <w:p w14:paraId="5E137484">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bCs/>
                <w:color w:val="auto"/>
                <w:sz w:val="24"/>
                <w:highlight w:val="none"/>
              </w:rPr>
            </w:pPr>
            <w:r>
              <w:rPr>
                <w:rFonts w:hint="default"/>
                <w:bCs/>
                <w:color w:val="auto"/>
                <w:sz w:val="24"/>
                <w:highlight w:val="none"/>
              </w:rPr>
              <w:t>1.3大气防护措施论证</w:t>
            </w:r>
          </w:p>
          <w:p w14:paraId="180C426C">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本项目购置环保抛光打磨湿式一体机20台，每台环保抛光打磨湿式一体机可以同时连接处理2台打磨抛光设备产生的废气，由于生产过程中打磨抛光工序共设置40个工位，所有打磨抛光设备不会同时启动，且打磨面积较小，20台环保抛光打磨湿式一体机可满足使用。</w:t>
            </w:r>
          </w:p>
          <w:p w14:paraId="22CDB018">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textAlignment w:val="auto"/>
              <w:rPr>
                <w:rFonts w:hint="eastAsia"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w:t>
            </w:r>
            <w:r>
              <w:rPr>
                <w:rFonts w:hint="eastAsia" w:ascii="Times New Roman" w:hAnsi="Times New Roman" w:eastAsia="宋体" w:cs="Times New Roman"/>
                <w:color w:val="auto"/>
                <w:kern w:val="2"/>
                <w:sz w:val="24"/>
                <w:szCs w:val="24"/>
                <w:highlight w:val="none"/>
                <w:lang w:val="en-US" w:eastAsia="zh-CN" w:bidi="ar-SA"/>
              </w:rPr>
              <w:t>《汽车工业污染防治可行技术指南》（HJ 1181-2021）</w:t>
            </w:r>
            <w:r>
              <w:rPr>
                <w:rFonts w:hint="eastAsia"/>
                <w:sz w:val="28"/>
                <w:szCs w:val="28"/>
                <w:highlight w:val="none"/>
                <w:lang w:val="en-US" w:eastAsia="zh-CN"/>
              </w:rPr>
              <w:t>和</w:t>
            </w:r>
            <w:r>
              <w:rPr>
                <w:rFonts w:hint="eastAsia" w:ascii="Times New Roman" w:hAnsi="Times New Roman" w:eastAsia="宋体" w:cs="Times New Roman"/>
                <w:color w:val="auto"/>
                <w:kern w:val="2"/>
                <w:sz w:val="24"/>
                <w:szCs w:val="24"/>
                <w:highlight w:val="none"/>
                <w:lang w:val="en-US" w:eastAsia="zh-CN" w:bidi="ar-SA"/>
              </w:rPr>
              <w:t>《排污许可证申请 与核发技术规范 汽车制造业》（HJ 971-2018）中“表 25 汽车 制造业废气污染治理推荐可行技术清单”，符合性分析见下表。</w:t>
            </w:r>
          </w:p>
          <w:p w14:paraId="2B69C3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4"/>
                <w:highlight w:val="none"/>
                <w:lang w:val="en-US" w:eastAsia="zh-CN"/>
              </w:rPr>
            </w:pPr>
            <w:r>
              <w:rPr>
                <w:rFonts w:hint="default"/>
                <w:b/>
                <w:bCs/>
                <w:color w:val="auto"/>
                <w:sz w:val="24"/>
                <w:highlight w:val="none"/>
              </w:rPr>
              <w:t>表4-</w:t>
            </w:r>
            <w:r>
              <w:rPr>
                <w:rFonts w:hint="eastAsia"/>
                <w:b/>
                <w:bCs/>
                <w:color w:val="auto"/>
                <w:sz w:val="24"/>
                <w:highlight w:val="none"/>
                <w:lang w:val="en-US" w:eastAsia="zh-CN"/>
              </w:rPr>
              <w:t>3</w:t>
            </w:r>
            <w:r>
              <w:rPr>
                <w:rFonts w:hint="eastAsia"/>
                <w:b/>
                <w:bCs/>
                <w:color w:val="auto"/>
                <w:sz w:val="24"/>
                <w:highlight w:val="none"/>
              </w:rPr>
              <w:t xml:space="preserve"> </w:t>
            </w:r>
            <w:r>
              <w:rPr>
                <w:rFonts w:hint="default"/>
                <w:b/>
                <w:bCs/>
                <w:color w:val="auto"/>
                <w:sz w:val="24"/>
                <w:highlight w:val="none"/>
              </w:rPr>
              <w:t xml:space="preserve"> </w:t>
            </w:r>
            <w:r>
              <w:rPr>
                <w:rFonts w:hint="eastAsia"/>
                <w:b/>
                <w:bCs/>
                <w:color w:val="auto"/>
                <w:sz w:val="24"/>
                <w:highlight w:val="none"/>
              </w:rPr>
              <w:t>废气</w:t>
            </w:r>
            <w:r>
              <w:rPr>
                <w:rFonts w:hint="eastAsia"/>
                <w:b/>
                <w:bCs/>
                <w:color w:val="auto"/>
                <w:sz w:val="24"/>
                <w:highlight w:val="none"/>
                <w:lang w:eastAsia="zh-CN"/>
              </w:rPr>
              <w:t>治理可行性分析表</w:t>
            </w:r>
          </w:p>
          <w:tbl>
            <w:tblPr>
              <w:tblStyle w:val="35"/>
              <w:tblpPr w:leftFromText="180" w:rightFromText="180" w:vertAnchor="text" w:tblpX="1" w:tblpY="1"/>
              <w:tblOverlap w:val="never"/>
              <w:tblW w:w="83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9"/>
              <w:gridCol w:w="1389"/>
              <w:gridCol w:w="1389"/>
              <w:gridCol w:w="1389"/>
              <w:gridCol w:w="1389"/>
              <w:gridCol w:w="1393"/>
            </w:tblGrid>
            <w:tr w14:paraId="15D09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1389" w:type="dxa"/>
                  <w:vAlign w:val="center"/>
                </w:tcPr>
                <w:p w14:paraId="40654A1F">
                  <w:pPr>
                    <w:keepNext w:val="0"/>
                    <w:keepLines w:val="0"/>
                    <w:suppressLineNumbers w:val="0"/>
                    <w:adjustRightInd w:val="0"/>
                    <w:snapToGrid w:val="0"/>
                    <w:spacing w:before="0" w:beforeAutospacing="0" w:after="0" w:afterAutospacing="0"/>
                    <w:ind w:left="0" w:right="0"/>
                    <w:jc w:val="center"/>
                    <w:rPr>
                      <w:rFonts w:hint="default"/>
                      <w:snapToGrid w:val="0"/>
                      <w:color w:val="auto"/>
                      <w:szCs w:val="21"/>
                      <w:highlight w:val="none"/>
                    </w:rPr>
                  </w:pPr>
                  <w:r>
                    <w:rPr>
                      <w:rFonts w:hint="default"/>
                      <w:snapToGrid w:val="0"/>
                      <w:color w:val="auto"/>
                      <w:szCs w:val="21"/>
                      <w:highlight w:val="none"/>
                    </w:rPr>
                    <w:t>标准/规范</w:t>
                  </w:r>
                </w:p>
              </w:tc>
              <w:tc>
                <w:tcPr>
                  <w:tcW w:w="1389" w:type="dxa"/>
                  <w:vAlign w:val="center"/>
                </w:tcPr>
                <w:p w14:paraId="67882ECE">
                  <w:pPr>
                    <w:keepNext w:val="0"/>
                    <w:keepLines w:val="0"/>
                    <w:suppressLineNumbers w:val="0"/>
                    <w:adjustRightInd w:val="0"/>
                    <w:snapToGrid w:val="0"/>
                    <w:spacing w:before="0" w:beforeAutospacing="0" w:after="0" w:afterAutospacing="0"/>
                    <w:ind w:left="0" w:right="0"/>
                    <w:jc w:val="center"/>
                    <w:rPr>
                      <w:rFonts w:hint="default"/>
                      <w:snapToGrid w:val="0"/>
                      <w:color w:val="auto"/>
                      <w:szCs w:val="21"/>
                      <w:highlight w:val="none"/>
                    </w:rPr>
                  </w:pPr>
                  <w:r>
                    <w:rPr>
                      <w:rFonts w:hint="default"/>
                      <w:snapToGrid w:val="0"/>
                      <w:color w:val="auto"/>
                      <w:szCs w:val="21"/>
                      <w:highlight w:val="none"/>
                    </w:rPr>
                    <w:t>产污环节</w:t>
                  </w:r>
                </w:p>
              </w:tc>
              <w:tc>
                <w:tcPr>
                  <w:tcW w:w="1389" w:type="dxa"/>
                  <w:vAlign w:val="center"/>
                </w:tcPr>
                <w:p w14:paraId="45EB7F9E">
                  <w:pPr>
                    <w:keepNext w:val="0"/>
                    <w:keepLines w:val="0"/>
                    <w:suppressLineNumbers w:val="0"/>
                    <w:adjustRightInd w:val="0"/>
                    <w:snapToGrid w:val="0"/>
                    <w:spacing w:before="0" w:beforeAutospacing="0" w:after="0" w:afterAutospacing="0"/>
                    <w:ind w:left="0" w:right="0"/>
                    <w:jc w:val="center"/>
                    <w:rPr>
                      <w:rFonts w:hint="default"/>
                      <w:snapToGrid w:val="0"/>
                      <w:color w:val="auto"/>
                      <w:szCs w:val="21"/>
                      <w:highlight w:val="none"/>
                    </w:rPr>
                  </w:pPr>
                  <w:r>
                    <w:rPr>
                      <w:rFonts w:hint="default"/>
                      <w:snapToGrid w:val="0"/>
                      <w:color w:val="auto"/>
                      <w:szCs w:val="21"/>
                      <w:highlight w:val="none"/>
                    </w:rPr>
                    <w:t>主要污染</w:t>
                  </w:r>
                </w:p>
                <w:p w14:paraId="6B378A55">
                  <w:pPr>
                    <w:keepNext w:val="0"/>
                    <w:keepLines w:val="0"/>
                    <w:suppressLineNumbers w:val="0"/>
                    <w:adjustRightInd w:val="0"/>
                    <w:snapToGrid w:val="0"/>
                    <w:spacing w:before="0" w:beforeAutospacing="0" w:after="0" w:afterAutospacing="0"/>
                    <w:ind w:left="0" w:right="0"/>
                    <w:jc w:val="center"/>
                    <w:rPr>
                      <w:rFonts w:hint="default"/>
                      <w:snapToGrid w:val="0"/>
                      <w:color w:val="auto"/>
                      <w:szCs w:val="21"/>
                      <w:highlight w:val="none"/>
                    </w:rPr>
                  </w:pPr>
                  <w:r>
                    <w:rPr>
                      <w:rFonts w:hint="default"/>
                      <w:snapToGrid w:val="0"/>
                      <w:color w:val="auto"/>
                      <w:szCs w:val="21"/>
                      <w:highlight w:val="none"/>
                    </w:rPr>
                    <w:t>物</w:t>
                  </w:r>
                </w:p>
              </w:tc>
              <w:tc>
                <w:tcPr>
                  <w:tcW w:w="1389" w:type="dxa"/>
                  <w:vAlign w:val="center"/>
                </w:tcPr>
                <w:p w14:paraId="43E39EDF">
                  <w:pPr>
                    <w:keepNext w:val="0"/>
                    <w:keepLines w:val="0"/>
                    <w:suppressLineNumbers w:val="0"/>
                    <w:adjustRightInd w:val="0"/>
                    <w:snapToGrid w:val="0"/>
                    <w:spacing w:before="0" w:beforeAutospacing="0" w:after="0" w:afterAutospacing="0"/>
                    <w:ind w:left="0" w:right="0"/>
                    <w:jc w:val="center"/>
                    <w:rPr>
                      <w:rFonts w:hint="default"/>
                      <w:snapToGrid w:val="0"/>
                      <w:color w:val="auto"/>
                      <w:szCs w:val="21"/>
                      <w:highlight w:val="none"/>
                    </w:rPr>
                  </w:pPr>
                  <w:r>
                    <w:rPr>
                      <w:rFonts w:hint="default"/>
                      <w:snapToGrid w:val="0"/>
                      <w:color w:val="auto"/>
                      <w:szCs w:val="21"/>
                      <w:highlight w:val="none"/>
                    </w:rPr>
                    <w:t>可行技术</w:t>
                  </w:r>
                </w:p>
              </w:tc>
              <w:tc>
                <w:tcPr>
                  <w:tcW w:w="1389" w:type="dxa"/>
                  <w:vAlign w:val="center"/>
                </w:tcPr>
                <w:p w14:paraId="367A611A">
                  <w:pPr>
                    <w:keepNext w:val="0"/>
                    <w:keepLines w:val="0"/>
                    <w:suppressLineNumbers w:val="0"/>
                    <w:adjustRightInd w:val="0"/>
                    <w:snapToGrid w:val="0"/>
                    <w:spacing w:before="0" w:beforeAutospacing="0" w:after="0" w:afterAutospacing="0"/>
                    <w:ind w:left="0" w:right="0"/>
                    <w:jc w:val="center"/>
                    <w:rPr>
                      <w:rFonts w:hint="default"/>
                      <w:snapToGrid w:val="0"/>
                      <w:color w:val="auto"/>
                      <w:szCs w:val="21"/>
                      <w:highlight w:val="none"/>
                    </w:rPr>
                  </w:pPr>
                  <w:r>
                    <w:rPr>
                      <w:rFonts w:hint="default"/>
                      <w:snapToGrid w:val="0"/>
                      <w:color w:val="auto"/>
                      <w:szCs w:val="21"/>
                      <w:highlight w:val="none"/>
                    </w:rPr>
                    <w:t>本项目拟采</w:t>
                  </w:r>
                </w:p>
                <w:p w14:paraId="65AABBF3">
                  <w:pPr>
                    <w:keepNext w:val="0"/>
                    <w:keepLines w:val="0"/>
                    <w:suppressLineNumbers w:val="0"/>
                    <w:adjustRightInd w:val="0"/>
                    <w:snapToGrid w:val="0"/>
                    <w:spacing w:before="0" w:beforeAutospacing="0" w:after="0" w:afterAutospacing="0"/>
                    <w:ind w:left="0" w:right="0"/>
                    <w:jc w:val="center"/>
                    <w:rPr>
                      <w:rFonts w:hint="default"/>
                      <w:snapToGrid w:val="0"/>
                      <w:color w:val="auto"/>
                      <w:szCs w:val="21"/>
                      <w:highlight w:val="none"/>
                    </w:rPr>
                  </w:pPr>
                  <w:r>
                    <w:rPr>
                      <w:rFonts w:hint="default"/>
                      <w:snapToGrid w:val="0"/>
                      <w:color w:val="auto"/>
                      <w:szCs w:val="21"/>
                      <w:highlight w:val="none"/>
                    </w:rPr>
                    <w:t>用技术</w:t>
                  </w:r>
                </w:p>
              </w:tc>
              <w:tc>
                <w:tcPr>
                  <w:tcW w:w="1393" w:type="dxa"/>
                  <w:vAlign w:val="center"/>
                </w:tcPr>
                <w:p w14:paraId="24BF34DA">
                  <w:pPr>
                    <w:keepNext w:val="0"/>
                    <w:keepLines w:val="0"/>
                    <w:suppressLineNumbers w:val="0"/>
                    <w:adjustRightInd w:val="0"/>
                    <w:snapToGrid w:val="0"/>
                    <w:spacing w:before="0" w:beforeAutospacing="0" w:after="0" w:afterAutospacing="0"/>
                    <w:ind w:left="0" w:right="0"/>
                    <w:jc w:val="center"/>
                    <w:rPr>
                      <w:rFonts w:hint="default"/>
                      <w:snapToGrid w:val="0"/>
                      <w:color w:val="auto"/>
                      <w:szCs w:val="21"/>
                      <w:highlight w:val="none"/>
                    </w:rPr>
                  </w:pPr>
                  <w:r>
                    <w:rPr>
                      <w:rFonts w:hint="default"/>
                      <w:snapToGrid w:val="0"/>
                      <w:color w:val="auto"/>
                      <w:szCs w:val="21"/>
                      <w:highlight w:val="none"/>
                    </w:rPr>
                    <w:t>符合性分</w:t>
                  </w:r>
                </w:p>
                <w:p w14:paraId="06339BB5">
                  <w:pPr>
                    <w:keepNext w:val="0"/>
                    <w:keepLines w:val="0"/>
                    <w:suppressLineNumbers w:val="0"/>
                    <w:adjustRightInd w:val="0"/>
                    <w:snapToGrid w:val="0"/>
                    <w:spacing w:before="0" w:beforeAutospacing="0" w:after="0" w:afterAutospacing="0"/>
                    <w:ind w:left="0" w:right="0"/>
                    <w:jc w:val="center"/>
                    <w:rPr>
                      <w:rFonts w:hint="default"/>
                      <w:snapToGrid w:val="0"/>
                      <w:color w:val="auto"/>
                      <w:szCs w:val="21"/>
                      <w:highlight w:val="none"/>
                    </w:rPr>
                  </w:pPr>
                  <w:r>
                    <w:rPr>
                      <w:rFonts w:hint="default"/>
                      <w:snapToGrid w:val="0"/>
                      <w:color w:val="auto"/>
                      <w:szCs w:val="21"/>
                      <w:highlight w:val="none"/>
                    </w:rPr>
                    <w:t>析</w:t>
                  </w:r>
                </w:p>
              </w:tc>
            </w:tr>
            <w:tr w14:paraId="1B54A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89" w:type="dxa"/>
                  <w:vAlign w:val="center"/>
                </w:tcPr>
                <w:p w14:paraId="4FCD8C21">
                  <w:pPr>
                    <w:keepNext w:val="0"/>
                    <w:keepLines w:val="0"/>
                    <w:suppressLineNumbers w:val="0"/>
                    <w:adjustRightInd w:val="0"/>
                    <w:snapToGrid w:val="0"/>
                    <w:spacing w:before="0" w:beforeAutospacing="0" w:after="0" w:afterAutospacing="0"/>
                    <w:ind w:left="0" w:right="0"/>
                    <w:jc w:val="center"/>
                    <w:rPr>
                      <w:rFonts w:hint="default"/>
                      <w:bCs/>
                      <w:snapToGrid w:val="0"/>
                      <w:color w:val="auto"/>
                      <w:sz w:val="21"/>
                      <w:szCs w:val="21"/>
                      <w:highlight w:val="none"/>
                    </w:rPr>
                  </w:pPr>
                  <w:r>
                    <w:rPr>
                      <w:rFonts w:hint="eastAsia" w:ascii="Times New Roman" w:hAnsi="Times New Roman" w:eastAsia="宋体" w:cs="Times New Roman"/>
                      <w:color w:val="auto"/>
                      <w:kern w:val="2"/>
                      <w:sz w:val="21"/>
                      <w:szCs w:val="21"/>
                      <w:highlight w:val="none"/>
                      <w:lang w:val="en-US" w:eastAsia="zh-CN" w:bidi="ar-SA"/>
                    </w:rPr>
                    <w:t>《排污许可证申请 与核发技术规范 汽车制造业》（HJ 971-2018）</w:t>
                  </w:r>
                </w:p>
              </w:tc>
              <w:tc>
                <w:tcPr>
                  <w:tcW w:w="1389" w:type="dxa"/>
                  <w:vAlign w:val="center"/>
                </w:tcPr>
                <w:p w14:paraId="70D512D1">
                  <w:pPr>
                    <w:keepNext w:val="0"/>
                    <w:keepLines w:val="0"/>
                    <w:suppressLineNumbers w:val="0"/>
                    <w:adjustRightInd w:val="0"/>
                    <w:snapToGrid w:val="0"/>
                    <w:spacing w:before="0" w:beforeAutospacing="0" w:after="0" w:afterAutospacing="0"/>
                    <w:ind w:left="0" w:right="0"/>
                    <w:jc w:val="center"/>
                    <w:rPr>
                      <w:rFonts w:hint="eastAsia" w:eastAsia="宋体"/>
                      <w:bCs/>
                      <w:snapToGrid w:val="0"/>
                      <w:color w:val="auto"/>
                      <w:sz w:val="21"/>
                      <w:szCs w:val="21"/>
                      <w:highlight w:val="none"/>
                      <w:lang w:eastAsia="zh-CN"/>
                    </w:rPr>
                  </w:pPr>
                  <w:r>
                    <w:rPr>
                      <w:rFonts w:hint="eastAsia"/>
                      <w:bCs/>
                      <w:snapToGrid w:val="0"/>
                      <w:color w:val="auto"/>
                      <w:sz w:val="21"/>
                      <w:szCs w:val="21"/>
                      <w:highlight w:val="none"/>
                      <w:lang w:eastAsia="zh-CN"/>
                    </w:rPr>
                    <w:t>预处理</w:t>
                  </w:r>
                </w:p>
              </w:tc>
              <w:tc>
                <w:tcPr>
                  <w:tcW w:w="1389" w:type="dxa"/>
                  <w:vAlign w:val="center"/>
                </w:tcPr>
                <w:p w14:paraId="46AB6A18">
                  <w:pPr>
                    <w:keepNext w:val="0"/>
                    <w:keepLines w:val="0"/>
                    <w:suppressLineNumbers w:val="0"/>
                    <w:adjustRightInd w:val="0"/>
                    <w:snapToGrid w:val="0"/>
                    <w:spacing w:before="0" w:beforeAutospacing="0" w:after="0" w:afterAutospacing="0"/>
                    <w:ind w:left="0" w:right="0"/>
                    <w:jc w:val="center"/>
                    <w:rPr>
                      <w:rFonts w:hint="eastAsia" w:eastAsia="宋体"/>
                      <w:bCs/>
                      <w:snapToGrid w:val="0"/>
                      <w:color w:val="auto"/>
                      <w:szCs w:val="21"/>
                      <w:highlight w:val="none"/>
                      <w:lang w:eastAsia="zh-CN"/>
                    </w:rPr>
                  </w:pPr>
                  <w:r>
                    <w:rPr>
                      <w:rFonts w:hint="eastAsia"/>
                      <w:bCs/>
                      <w:snapToGrid w:val="0"/>
                      <w:color w:val="auto"/>
                      <w:szCs w:val="21"/>
                      <w:highlight w:val="none"/>
                      <w:lang w:eastAsia="zh-CN"/>
                    </w:rPr>
                    <w:t>颗粒物</w:t>
                  </w:r>
                </w:p>
              </w:tc>
              <w:tc>
                <w:tcPr>
                  <w:tcW w:w="1389" w:type="dxa"/>
                  <w:vAlign w:val="center"/>
                </w:tcPr>
                <w:p w14:paraId="184DF30E">
                  <w:pPr>
                    <w:keepNext w:val="0"/>
                    <w:keepLines w:val="0"/>
                    <w:suppressLineNumbers w:val="0"/>
                    <w:adjustRightInd w:val="0"/>
                    <w:snapToGrid w:val="0"/>
                    <w:spacing w:before="0" w:beforeAutospacing="0" w:after="0" w:afterAutospacing="0"/>
                    <w:ind w:left="0" w:right="0"/>
                    <w:jc w:val="center"/>
                    <w:rPr>
                      <w:rFonts w:hint="eastAsia" w:eastAsia="宋体"/>
                      <w:bCs/>
                      <w:snapToGrid w:val="0"/>
                      <w:color w:val="auto"/>
                      <w:szCs w:val="21"/>
                      <w:highlight w:val="none"/>
                      <w:lang w:eastAsia="zh-CN"/>
                    </w:rPr>
                  </w:pPr>
                  <w:r>
                    <w:rPr>
                      <w:rFonts w:hint="eastAsia"/>
                      <w:bCs/>
                      <w:snapToGrid w:val="0"/>
                      <w:color w:val="auto"/>
                      <w:szCs w:val="21"/>
                      <w:highlight w:val="none"/>
                      <w:lang w:eastAsia="zh-CN"/>
                    </w:rPr>
                    <w:t>湿式除尘</w:t>
                  </w:r>
                </w:p>
              </w:tc>
              <w:tc>
                <w:tcPr>
                  <w:tcW w:w="1389" w:type="dxa"/>
                  <w:vAlign w:val="center"/>
                </w:tcPr>
                <w:p w14:paraId="1AB47BED">
                  <w:pPr>
                    <w:keepNext w:val="0"/>
                    <w:keepLines w:val="0"/>
                    <w:suppressLineNumbers w:val="0"/>
                    <w:adjustRightInd w:val="0"/>
                    <w:snapToGrid w:val="0"/>
                    <w:spacing w:before="0" w:beforeAutospacing="0" w:after="0" w:afterAutospacing="0"/>
                    <w:ind w:left="0" w:right="0"/>
                    <w:jc w:val="center"/>
                    <w:rPr>
                      <w:rFonts w:hint="eastAsia" w:eastAsia="宋体"/>
                      <w:bCs/>
                      <w:snapToGrid w:val="0"/>
                      <w:color w:val="auto"/>
                      <w:szCs w:val="21"/>
                      <w:highlight w:val="none"/>
                      <w:lang w:eastAsia="zh-CN"/>
                    </w:rPr>
                  </w:pPr>
                  <w:r>
                    <w:rPr>
                      <w:rFonts w:hint="eastAsia" w:cs="Times New Roman"/>
                      <w:color w:val="auto"/>
                      <w:sz w:val="21"/>
                      <w:szCs w:val="21"/>
                      <w:highlight w:val="none"/>
                      <w:lang w:val="en-US" w:eastAsia="zh-CN"/>
                    </w:rPr>
                    <w:t>环保抛光打磨</w:t>
                  </w:r>
                  <w:r>
                    <w:rPr>
                      <w:rFonts w:hint="eastAsia" w:ascii="Times New Roman" w:cs="Times New Roman"/>
                      <w:color w:val="auto"/>
                      <w:sz w:val="21"/>
                      <w:szCs w:val="21"/>
                      <w:highlight w:val="none"/>
                      <w:lang w:val="en-US" w:eastAsia="zh-CN"/>
                    </w:rPr>
                    <w:t>湿式</w:t>
                  </w:r>
                  <w:r>
                    <w:rPr>
                      <w:rFonts w:hint="eastAsia"/>
                      <w:color w:val="auto"/>
                      <w:sz w:val="21"/>
                      <w:szCs w:val="21"/>
                      <w:highlight w:val="none"/>
                      <w:lang w:eastAsia="zh-CN"/>
                    </w:rPr>
                    <w:t>一体机</w:t>
                  </w:r>
                </w:p>
              </w:tc>
              <w:tc>
                <w:tcPr>
                  <w:tcW w:w="1393" w:type="dxa"/>
                  <w:vAlign w:val="center"/>
                </w:tcPr>
                <w:p w14:paraId="601ACD62">
                  <w:pPr>
                    <w:keepNext w:val="0"/>
                    <w:keepLines w:val="0"/>
                    <w:suppressLineNumbers w:val="0"/>
                    <w:adjustRightInd w:val="0"/>
                    <w:snapToGrid w:val="0"/>
                    <w:spacing w:before="0" w:beforeAutospacing="0" w:after="0" w:afterAutospacing="0"/>
                    <w:ind w:left="0" w:right="0"/>
                    <w:jc w:val="center"/>
                    <w:rPr>
                      <w:rFonts w:hint="eastAsia" w:eastAsia="宋体"/>
                      <w:bCs/>
                      <w:snapToGrid w:val="0"/>
                      <w:color w:val="auto"/>
                      <w:szCs w:val="21"/>
                      <w:highlight w:val="none"/>
                      <w:lang w:eastAsia="zh-CN"/>
                    </w:rPr>
                  </w:pPr>
                  <w:r>
                    <w:rPr>
                      <w:rFonts w:hint="eastAsia"/>
                      <w:bCs/>
                      <w:snapToGrid w:val="0"/>
                      <w:color w:val="auto"/>
                      <w:szCs w:val="21"/>
                      <w:highlight w:val="none"/>
                      <w:lang w:eastAsia="zh-CN"/>
                    </w:rPr>
                    <w:t>符合</w:t>
                  </w:r>
                </w:p>
              </w:tc>
            </w:tr>
          </w:tbl>
          <w:p w14:paraId="1A134AD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结合《工贸企业粉尘防爆安全规定》，铝镁等金属粉尘采用负压方式除尘，具备防爆控制箱、漏电保护装置、水位监测、水流量监测、氢气报警等功能，车间通风良好，有效消除了抛光打磨粉尘爆炸的危险。</w:t>
            </w:r>
          </w:p>
          <w:p w14:paraId="136E531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bCs/>
                <w:color w:val="auto"/>
                <w:sz w:val="24"/>
                <w:highlight w:val="none"/>
              </w:rPr>
            </w:pPr>
            <w:r>
              <w:rPr>
                <w:rFonts w:hint="default"/>
                <w:bCs/>
                <w:color w:val="auto"/>
                <w:sz w:val="24"/>
                <w:highlight w:val="none"/>
              </w:rPr>
              <w:t>1.4非正常工况</w:t>
            </w:r>
          </w:p>
          <w:p w14:paraId="0A75D433">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bCs/>
                <w:color w:val="auto"/>
                <w:sz w:val="24"/>
                <w:highlight w:val="none"/>
              </w:rPr>
            </w:pPr>
            <w:r>
              <w:rPr>
                <w:rFonts w:hint="default"/>
                <w:bCs/>
                <w:color w:val="auto"/>
                <w:sz w:val="24"/>
                <w:highlight w:val="none"/>
              </w:rPr>
              <w:t>非正常生产排污包括开车、停车、检修和非正常工况的污染物排放，如工艺设备和环保设施不能正常运行时污染物的排放等。在某些非正常生产工况时，污染源强会发生很大的变化，致使污染物产生量在短期内大幅增加。</w:t>
            </w:r>
          </w:p>
          <w:p w14:paraId="655A6943">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bCs/>
                <w:color w:val="auto"/>
                <w:sz w:val="24"/>
                <w:highlight w:val="none"/>
              </w:rPr>
            </w:pPr>
            <w:r>
              <w:rPr>
                <w:rFonts w:hint="default"/>
                <w:bCs/>
                <w:color w:val="auto"/>
                <w:sz w:val="24"/>
                <w:highlight w:val="none"/>
              </w:rPr>
              <w:t>（1）停电、停气故障</w:t>
            </w:r>
          </w:p>
          <w:p w14:paraId="58852D25">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bCs/>
                <w:color w:val="auto"/>
                <w:sz w:val="24"/>
                <w:highlight w:val="none"/>
              </w:rPr>
            </w:pPr>
            <w:r>
              <w:rPr>
                <w:rFonts w:hint="default"/>
                <w:bCs/>
                <w:color w:val="auto"/>
                <w:sz w:val="24"/>
                <w:highlight w:val="none"/>
              </w:rPr>
              <w:t>项目生产使用电能。停电即停止运行。污染物即停止产生，不会对周边环境造成较大影响。</w:t>
            </w:r>
          </w:p>
          <w:p w14:paraId="0821BD4F">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bCs/>
                <w:color w:val="auto"/>
                <w:sz w:val="24"/>
                <w:highlight w:val="none"/>
              </w:rPr>
            </w:pPr>
            <w:r>
              <w:rPr>
                <w:rFonts w:hint="default"/>
                <w:bCs/>
                <w:color w:val="auto"/>
                <w:sz w:val="24"/>
                <w:highlight w:val="none"/>
              </w:rPr>
              <w:t>（2）生产线故障</w:t>
            </w:r>
          </w:p>
          <w:p w14:paraId="11684383">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bCs/>
                <w:color w:val="auto"/>
                <w:sz w:val="24"/>
                <w:highlight w:val="none"/>
              </w:rPr>
            </w:pPr>
            <w:r>
              <w:rPr>
                <w:rFonts w:hint="default"/>
                <w:bCs/>
                <w:color w:val="auto"/>
                <w:sz w:val="24"/>
                <w:highlight w:val="none"/>
              </w:rPr>
              <w:t>项目生产线故障时物料停留在生产设备上，会有部分废气逸散，对环境造成影响。</w:t>
            </w:r>
          </w:p>
          <w:p w14:paraId="67F2BAD3">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bCs/>
                <w:color w:val="auto"/>
                <w:sz w:val="24"/>
                <w:highlight w:val="none"/>
              </w:rPr>
            </w:pPr>
            <w:r>
              <w:rPr>
                <w:rFonts w:hint="default"/>
                <w:bCs/>
                <w:color w:val="auto"/>
                <w:sz w:val="24"/>
                <w:highlight w:val="none"/>
              </w:rPr>
              <w:t>（3）环保设施故障</w:t>
            </w:r>
          </w:p>
          <w:p w14:paraId="65F6205E">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bCs/>
                <w:color w:val="auto"/>
                <w:sz w:val="24"/>
                <w:highlight w:val="none"/>
              </w:rPr>
            </w:pPr>
            <w:r>
              <w:rPr>
                <w:rFonts w:hint="default"/>
                <w:bCs/>
                <w:color w:val="auto"/>
                <w:sz w:val="24"/>
                <w:highlight w:val="none"/>
              </w:rPr>
              <w:t>项目涉及的环保设施主要包括废气治理设施，当环保设施发生故障时，可能会有废气超标外排，造成环境污染</w:t>
            </w:r>
            <w:r>
              <w:rPr>
                <w:rFonts w:hint="eastAsia"/>
                <w:bCs/>
                <w:color w:val="auto"/>
                <w:sz w:val="24"/>
                <w:highlight w:val="none"/>
              </w:rPr>
              <w:t>。</w:t>
            </w:r>
          </w:p>
          <w:p w14:paraId="2E44AFAF">
            <w:pPr>
              <w:keepNext w:val="0"/>
              <w:keepLines w:val="0"/>
              <w:suppressLineNumbers w:val="0"/>
              <w:adjustRightInd w:val="0"/>
              <w:snapToGrid w:val="0"/>
              <w:spacing w:before="0" w:beforeAutospacing="0" w:after="0" w:afterAutospacing="0"/>
              <w:ind w:left="0" w:right="0"/>
              <w:jc w:val="center"/>
              <w:rPr>
                <w:rFonts w:hint="default"/>
                <w:b/>
                <w:bCs/>
                <w:color w:val="auto"/>
                <w:sz w:val="24"/>
                <w:highlight w:val="none"/>
              </w:rPr>
            </w:pPr>
            <w:r>
              <w:rPr>
                <w:rFonts w:hint="default"/>
                <w:b/>
                <w:bCs/>
                <w:color w:val="auto"/>
                <w:sz w:val="24"/>
                <w:highlight w:val="none"/>
              </w:rPr>
              <w:t>表4</w:t>
            </w:r>
            <w:r>
              <w:rPr>
                <w:rFonts w:hint="eastAsia"/>
                <w:b/>
                <w:bCs/>
                <w:color w:val="auto"/>
                <w:sz w:val="24"/>
                <w:highlight w:val="none"/>
              </w:rPr>
              <w:t>-</w:t>
            </w:r>
            <w:r>
              <w:rPr>
                <w:rFonts w:hint="eastAsia"/>
                <w:b/>
                <w:bCs/>
                <w:color w:val="auto"/>
                <w:sz w:val="24"/>
                <w:highlight w:val="none"/>
                <w:lang w:val="en-US" w:eastAsia="zh-CN"/>
              </w:rPr>
              <w:t>4</w:t>
            </w:r>
            <w:r>
              <w:rPr>
                <w:rFonts w:hint="eastAsia"/>
                <w:b/>
                <w:bCs/>
                <w:color w:val="auto"/>
                <w:sz w:val="24"/>
                <w:highlight w:val="none"/>
              </w:rPr>
              <w:t xml:space="preserve"> 项目非正常工况大气污染物源强表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8"/>
              <w:gridCol w:w="998"/>
              <w:gridCol w:w="1000"/>
              <w:gridCol w:w="1011"/>
              <w:gridCol w:w="1191"/>
              <w:gridCol w:w="1333"/>
              <w:gridCol w:w="870"/>
              <w:gridCol w:w="802"/>
            </w:tblGrid>
            <w:tr w14:paraId="0A7F9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1" w:type="pct"/>
                  <w:vAlign w:val="center"/>
                </w:tcPr>
                <w:p w14:paraId="1C1497E1">
                  <w:pPr>
                    <w:keepNext w:val="0"/>
                    <w:keepLines w:val="0"/>
                    <w:suppressLineNumbers w:val="0"/>
                    <w:adjustRightInd w:val="0"/>
                    <w:snapToGrid w:val="0"/>
                    <w:spacing w:before="0" w:beforeAutospacing="0" w:after="0" w:afterAutospacing="0"/>
                    <w:ind w:left="0" w:right="0"/>
                    <w:jc w:val="center"/>
                    <w:rPr>
                      <w:rFonts w:hint="default"/>
                      <w:bCs/>
                      <w:snapToGrid w:val="0"/>
                      <w:color w:val="auto"/>
                      <w:szCs w:val="21"/>
                      <w:highlight w:val="none"/>
                    </w:rPr>
                  </w:pPr>
                  <w:r>
                    <w:rPr>
                      <w:rFonts w:hint="default"/>
                      <w:bCs/>
                      <w:snapToGrid w:val="0"/>
                      <w:color w:val="auto"/>
                      <w:szCs w:val="21"/>
                      <w:highlight w:val="none"/>
                    </w:rPr>
                    <w:t>污染源</w:t>
                  </w:r>
                </w:p>
              </w:tc>
              <w:tc>
                <w:tcPr>
                  <w:tcW w:w="599" w:type="pct"/>
                  <w:vAlign w:val="center"/>
                </w:tcPr>
                <w:p w14:paraId="5D135B44">
                  <w:pPr>
                    <w:keepNext w:val="0"/>
                    <w:keepLines w:val="0"/>
                    <w:suppressLineNumbers w:val="0"/>
                    <w:adjustRightInd w:val="0"/>
                    <w:snapToGrid w:val="0"/>
                    <w:spacing w:before="0" w:beforeAutospacing="0" w:after="0" w:afterAutospacing="0"/>
                    <w:ind w:left="0" w:right="0"/>
                    <w:jc w:val="center"/>
                    <w:rPr>
                      <w:rFonts w:hint="default"/>
                      <w:bCs/>
                      <w:snapToGrid w:val="0"/>
                      <w:color w:val="auto"/>
                      <w:szCs w:val="21"/>
                      <w:highlight w:val="none"/>
                    </w:rPr>
                  </w:pPr>
                  <w:r>
                    <w:rPr>
                      <w:rFonts w:hint="default"/>
                      <w:bCs/>
                      <w:snapToGrid w:val="0"/>
                      <w:color w:val="auto"/>
                      <w:szCs w:val="21"/>
                      <w:highlight w:val="none"/>
                    </w:rPr>
                    <w:t>主要污染物</w:t>
                  </w:r>
                </w:p>
              </w:tc>
              <w:tc>
                <w:tcPr>
                  <w:tcW w:w="600" w:type="pct"/>
                  <w:vAlign w:val="center"/>
                </w:tcPr>
                <w:p w14:paraId="4AA13950">
                  <w:pPr>
                    <w:keepNext w:val="0"/>
                    <w:keepLines w:val="0"/>
                    <w:suppressLineNumbers w:val="0"/>
                    <w:adjustRightInd w:val="0"/>
                    <w:snapToGrid w:val="0"/>
                    <w:spacing w:before="0" w:beforeAutospacing="0" w:after="0" w:afterAutospacing="0"/>
                    <w:ind w:left="0" w:right="0"/>
                    <w:jc w:val="center"/>
                    <w:rPr>
                      <w:rFonts w:hint="default"/>
                      <w:bCs/>
                      <w:snapToGrid w:val="0"/>
                      <w:color w:val="auto"/>
                      <w:szCs w:val="21"/>
                      <w:highlight w:val="none"/>
                    </w:rPr>
                  </w:pPr>
                  <w:r>
                    <w:rPr>
                      <w:rFonts w:hint="default"/>
                      <w:bCs/>
                      <w:snapToGrid w:val="0"/>
                      <w:color w:val="auto"/>
                      <w:szCs w:val="21"/>
                      <w:highlight w:val="none"/>
                    </w:rPr>
                    <w:t>非正常排放的原因</w:t>
                  </w:r>
                </w:p>
              </w:tc>
              <w:tc>
                <w:tcPr>
                  <w:tcW w:w="607" w:type="pct"/>
                  <w:vAlign w:val="center"/>
                </w:tcPr>
                <w:p w14:paraId="26208456">
                  <w:pPr>
                    <w:keepNext w:val="0"/>
                    <w:keepLines w:val="0"/>
                    <w:suppressLineNumbers w:val="0"/>
                    <w:adjustRightInd w:val="0"/>
                    <w:snapToGrid w:val="0"/>
                    <w:spacing w:before="0" w:beforeAutospacing="0" w:after="0" w:afterAutospacing="0"/>
                    <w:ind w:left="0" w:right="0"/>
                    <w:jc w:val="center"/>
                    <w:rPr>
                      <w:rFonts w:hint="default"/>
                      <w:bCs/>
                      <w:snapToGrid w:val="0"/>
                      <w:color w:val="auto"/>
                      <w:szCs w:val="21"/>
                      <w:highlight w:val="none"/>
                    </w:rPr>
                  </w:pPr>
                  <w:r>
                    <w:rPr>
                      <w:rFonts w:hint="default"/>
                      <w:bCs/>
                      <w:snapToGrid w:val="0"/>
                      <w:color w:val="auto"/>
                      <w:szCs w:val="21"/>
                      <w:highlight w:val="none"/>
                    </w:rPr>
                    <w:t>速率</w:t>
                  </w:r>
                </w:p>
                <w:p w14:paraId="48819BA7">
                  <w:pPr>
                    <w:keepNext w:val="0"/>
                    <w:keepLines w:val="0"/>
                    <w:suppressLineNumbers w:val="0"/>
                    <w:adjustRightInd w:val="0"/>
                    <w:snapToGrid w:val="0"/>
                    <w:spacing w:before="0" w:beforeAutospacing="0" w:after="0" w:afterAutospacing="0"/>
                    <w:ind w:left="0" w:right="0"/>
                    <w:jc w:val="center"/>
                    <w:rPr>
                      <w:rFonts w:hint="default"/>
                      <w:bCs/>
                      <w:snapToGrid w:val="0"/>
                      <w:color w:val="auto"/>
                      <w:szCs w:val="21"/>
                      <w:highlight w:val="none"/>
                    </w:rPr>
                  </w:pPr>
                  <w:r>
                    <w:rPr>
                      <w:rFonts w:hint="default"/>
                      <w:bCs/>
                      <w:snapToGrid w:val="0"/>
                      <w:color w:val="auto"/>
                      <w:szCs w:val="21"/>
                      <w:highlight w:val="none"/>
                    </w:rPr>
                    <w:t>（kg/h）</w:t>
                  </w:r>
                </w:p>
              </w:tc>
              <w:tc>
                <w:tcPr>
                  <w:tcW w:w="715" w:type="pct"/>
                  <w:vAlign w:val="center"/>
                </w:tcPr>
                <w:p w14:paraId="6317F5D2">
                  <w:pPr>
                    <w:keepNext w:val="0"/>
                    <w:keepLines w:val="0"/>
                    <w:suppressLineNumbers w:val="0"/>
                    <w:adjustRightInd w:val="0"/>
                    <w:snapToGrid w:val="0"/>
                    <w:spacing w:before="0" w:beforeAutospacing="0" w:after="0" w:afterAutospacing="0"/>
                    <w:ind w:left="0" w:right="0"/>
                    <w:jc w:val="center"/>
                    <w:rPr>
                      <w:rFonts w:hint="eastAsia"/>
                      <w:bCs/>
                      <w:snapToGrid w:val="0"/>
                      <w:color w:val="auto"/>
                      <w:szCs w:val="21"/>
                      <w:highlight w:val="none"/>
                      <w:lang w:eastAsia="zh-CN"/>
                    </w:rPr>
                  </w:pPr>
                  <w:r>
                    <w:rPr>
                      <w:rFonts w:hint="eastAsia"/>
                      <w:bCs/>
                      <w:snapToGrid w:val="0"/>
                      <w:color w:val="auto"/>
                      <w:szCs w:val="21"/>
                      <w:highlight w:val="none"/>
                      <w:lang w:eastAsia="zh-CN"/>
                    </w:rPr>
                    <w:t>排放量</w:t>
                  </w:r>
                </w:p>
                <w:p w14:paraId="2F3D294A">
                  <w:pPr>
                    <w:keepNext w:val="0"/>
                    <w:keepLines w:val="0"/>
                    <w:suppressLineNumbers w:val="0"/>
                    <w:adjustRightInd w:val="0"/>
                    <w:snapToGrid w:val="0"/>
                    <w:spacing w:before="0" w:beforeAutospacing="0" w:after="0" w:afterAutospacing="0"/>
                    <w:ind w:left="0" w:right="0"/>
                    <w:jc w:val="center"/>
                    <w:rPr>
                      <w:rFonts w:hint="default"/>
                      <w:bCs/>
                      <w:snapToGrid w:val="0"/>
                      <w:color w:val="auto"/>
                      <w:szCs w:val="21"/>
                      <w:highlight w:val="none"/>
                    </w:rPr>
                  </w:pPr>
                  <w:r>
                    <w:rPr>
                      <w:rFonts w:hint="default"/>
                      <w:bCs/>
                      <w:snapToGrid w:val="0"/>
                      <w:color w:val="auto"/>
                      <w:szCs w:val="21"/>
                      <w:highlight w:val="none"/>
                    </w:rPr>
                    <w:t>（</w:t>
                  </w:r>
                  <w:r>
                    <w:rPr>
                      <w:rFonts w:hint="eastAsia"/>
                      <w:bCs/>
                      <w:snapToGrid w:val="0"/>
                      <w:color w:val="auto"/>
                      <w:szCs w:val="21"/>
                      <w:highlight w:val="none"/>
                      <w:lang w:val="en-US" w:eastAsia="zh-CN"/>
                    </w:rPr>
                    <w:t>t</w:t>
                  </w:r>
                  <w:r>
                    <w:rPr>
                      <w:rFonts w:hint="default"/>
                      <w:bCs/>
                      <w:snapToGrid w:val="0"/>
                      <w:color w:val="auto"/>
                      <w:szCs w:val="21"/>
                      <w:highlight w:val="none"/>
                    </w:rPr>
                    <w:t>/</w:t>
                  </w:r>
                  <w:r>
                    <w:rPr>
                      <w:rFonts w:hint="eastAsia"/>
                      <w:bCs/>
                      <w:snapToGrid w:val="0"/>
                      <w:color w:val="auto"/>
                      <w:szCs w:val="21"/>
                      <w:highlight w:val="none"/>
                      <w:lang w:val="en-US" w:eastAsia="zh-CN"/>
                    </w:rPr>
                    <w:t>a</w:t>
                  </w:r>
                  <w:r>
                    <w:rPr>
                      <w:rFonts w:hint="default"/>
                      <w:bCs/>
                      <w:snapToGrid w:val="0"/>
                      <w:color w:val="auto"/>
                      <w:szCs w:val="21"/>
                      <w:highlight w:val="none"/>
                    </w:rPr>
                    <w:t>）</w:t>
                  </w:r>
                </w:p>
              </w:tc>
              <w:tc>
                <w:tcPr>
                  <w:tcW w:w="800" w:type="pct"/>
                  <w:vAlign w:val="center"/>
                </w:tcPr>
                <w:p w14:paraId="5865CAA2">
                  <w:pPr>
                    <w:keepNext w:val="0"/>
                    <w:keepLines w:val="0"/>
                    <w:suppressLineNumbers w:val="0"/>
                    <w:adjustRightInd w:val="0"/>
                    <w:snapToGrid w:val="0"/>
                    <w:spacing w:before="0" w:beforeAutospacing="0" w:after="0" w:afterAutospacing="0"/>
                    <w:ind w:left="0" w:right="0"/>
                    <w:jc w:val="center"/>
                    <w:rPr>
                      <w:rFonts w:hint="default"/>
                      <w:bCs/>
                      <w:snapToGrid w:val="0"/>
                      <w:color w:val="auto"/>
                      <w:szCs w:val="21"/>
                      <w:highlight w:val="none"/>
                    </w:rPr>
                  </w:pPr>
                  <w:r>
                    <w:rPr>
                      <w:rFonts w:hint="default"/>
                      <w:bCs/>
                      <w:snapToGrid w:val="0"/>
                      <w:color w:val="auto"/>
                      <w:szCs w:val="21"/>
                      <w:highlight w:val="none"/>
                    </w:rPr>
                    <w:t>措施</w:t>
                  </w:r>
                </w:p>
              </w:tc>
              <w:tc>
                <w:tcPr>
                  <w:tcW w:w="522" w:type="pct"/>
                  <w:vAlign w:val="center"/>
                </w:tcPr>
                <w:p w14:paraId="541B7F05">
                  <w:pPr>
                    <w:keepNext w:val="0"/>
                    <w:keepLines w:val="0"/>
                    <w:suppressLineNumbers w:val="0"/>
                    <w:adjustRightInd w:val="0"/>
                    <w:snapToGrid w:val="0"/>
                    <w:spacing w:before="0" w:beforeAutospacing="0" w:after="0" w:afterAutospacing="0"/>
                    <w:ind w:left="0" w:right="0"/>
                    <w:jc w:val="center"/>
                    <w:rPr>
                      <w:rFonts w:hint="default"/>
                      <w:bCs/>
                      <w:snapToGrid w:val="0"/>
                      <w:color w:val="auto"/>
                      <w:szCs w:val="21"/>
                      <w:highlight w:val="none"/>
                    </w:rPr>
                  </w:pPr>
                  <w:r>
                    <w:rPr>
                      <w:rFonts w:hint="default"/>
                      <w:bCs/>
                      <w:snapToGrid w:val="0"/>
                      <w:color w:val="auto"/>
                      <w:szCs w:val="21"/>
                      <w:highlight w:val="none"/>
                    </w:rPr>
                    <w:t>单次持续时间（h）</w:t>
                  </w:r>
                </w:p>
              </w:tc>
              <w:tc>
                <w:tcPr>
                  <w:tcW w:w="481" w:type="pct"/>
                  <w:vAlign w:val="center"/>
                </w:tcPr>
                <w:p w14:paraId="3DE4B84F">
                  <w:pPr>
                    <w:keepNext w:val="0"/>
                    <w:keepLines w:val="0"/>
                    <w:suppressLineNumbers w:val="0"/>
                    <w:adjustRightInd w:val="0"/>
                    <w:snapToGrid w:val="0"/>
                    <w:spacing w:before="0" w:beforeAutospacing="0" w:after="0" w:afterAutospacing="0"/>
                    <w:ind w:left="0" w:right="0"/>
                    <w:jc w:val="center"/>
                    <w:rPr>
                      <w:rFonts w:hint="default"/>
                      <w:bCs/>
                      <w:snapToGrid w:val="0"/>
                      <w:color w:val="auto"/>
                      <w:szCs w:val="21"/>
                      <w:highlight w:val="none"/>
                    </w:rPr>
                  </w:pPr>
                  <w:r>
                    <w:rPr>
                      <w:rFonts w:hint="default"/>
                      <w:bCs/>
                      <w:snapToGrid w:val="0"/>
                      <w:color w:val="auto"/>
                      <w:szCs w:val="21"/>
                      <w:highlight w:val="none"/>
                    </w:rPr>
                    <w:t>年发生频率</w:t>
                  </w:r>
                </w:p>
              </w:tc>
            </w:tr>
            <w:tr w14:paraId="18A5F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1" w:type="pct"/>
                  <w:vAlign w:val="center"/>
                </w:tcPr>
                <w:p w14:paraId="5B18B71F">
                  <w:pPr>
                    <w:keepNext w:val="0"/>
                    <w:keepLines w:val="0"/>
                    <w:suppressLineNumbers w:val="0"/>
                    <w:adjustRightInd w:val="0"/>
                    <w:snapToGrid w:val="0"/>
                    <w:spacing w:before="0" w:beforeAutospacing="0" w:after="0" w:afterAutospacing="0"/>
                    <w:ind w:left="0" w:right="0"/>
                    <w:jc w:val="center"/>
                    <w:rPr>
                      <w:rFonts w:hint="eastAsia" w:eastAsia="宋体"/>
                      <w:bCs/>
                      <w:snapToGrid w:val="0"/>
                      <w:color w:val="auto"/>
                      <w:szCs w:val="21"/>
                      <w:highlight w:val="none"/>
                      <w:lang w:eastAsia="zh-CN"/>
                    </w:rPr>
                  </w:pPr>
                  <w:r>
                    <w:rPr>
                      <w:rFonts w:hint="eastAsia"/>
                      <w:bCs/>
                      <w:snapToGrid w:val="0"/>
                      <w:color w:val="auto"/>
                      <w:szCs w:val="21"/>
                      <w:highlight w:val="none"/>
                      <w:lang w:eastAsia="zh-CN"/>
                    </w:rPr>
                    <w:t>打磨抛光</w:t>
                  </w:r>
                </w:p>
              </w:tc>
              <w:tc>
                <w:tcPr>
                  <w:tcW w:w="599" w:type="pct"/>
                  <w:vAlign w:val="center"/>
                </w:tcPr>
                <w:p w14:paraId="5E35FF1F">
                  <w:pPr>
                    <w:keepNext w:val="0"/>
                    <w:keepLines w:val="0"/>
                    <w:suppressLineNumbers w:val="0"/>
                    <w:adjustRightInd w:val="0"/>
                    <w:snapToGrid w:val="0"/>
                    <w:spacing w:before="0" w:beforeAutospacing="0" w:after="0" w:afterAutospacing="0"/>
                    <w:ind w:left="0" w:right="0"/>
                    <w:jc w:val="center"/>
                    <w:rPr>
                      <w:rFonts w:hint="eastAsia" w:eastAsia="宋体"/>
                      <w:bCs/>
                      <w:snapToGrid w:val="0"/>
                      <w:color w:val="auto"/>
                      <w:szCs w:val="21"/>
                      <w:highlight w:val="none"/>
                      <w:lang w:eastAsia="zh-CN"/>
                    </w:rPr>
                  </w:pPr>
                  <w:r>
                    <w:rPr>
                      <w:rFonts w:hint="eastAsia"/>
                      <w:bCs/>
                      <w:snapToGrid w:val="0"/>
                      <w:color w:val="auto"/>
                      <w:szCs w:val="21"/>
                      <w:highlight w:val="none"/>
                      <w:lang w:eastAsia="zh-CN"/>
                    </w:rPr>
                    <w:t>颗粒物</w:t>
                  </w:r>
                </w:p>
              </w:tc>
              <w:tc>
                <w:tcPr>
                  <w:tcW w:w="600" w:type="pct"/>
                  <w:vAlign w:val="center"/>
                </w:tcPr>
                <w:p w14:paraId="58892073">
                  <w:pPr>
                    <w:keepNext w:val="0"/>
                    <w:keepLines w:val="0"/>
                    <w:suppressLineNumbers w:val="0"/>
                    <w:adjustRightInd w:val="0"/>
                    <w:snapToGrid w:val="0"/>
                    <w:spacing w:before="0" w:beforeAutospacing="0" w:after="0" w:afterAutospacing="0"/>
                    <w:ind w:left="0" w:right="0"/>
                    <w:jc w:val="center"/>
                    <w:rPr>
                      <w:rFonts w:hint="default"/>
                      <w:bCs/>
                      <w:snapToGrid w:val="0"/>
                      <w:color w:val="auto"/>
                      <w:szCs w:val="21"/>
                      <w:highlight w:val="none"/>
                    </w:rPr>
                  </w:pPr>
                  <w:r>
                    <w:rPr>
                      <w:rFonts w:hint="default"/>
                      <w:bCs/>
                      <w:snapToGrid w:val="0"/>
                      <w:color w:val="auto"/>
                      <w:szCs w:val="21"/>
                      <w:highlight w:val="none"/>
                    </w:rPr>
                    <w:t>环保设施故障</w:t>
                  </w:r>
                </w:p>
              </w:tc>
              <w:tc>
                <w:tcPr>
                  <w:tcW w:w="607" w:type="pct"/>
                  <w:vAlign w:val="center"/>
                </w:tcPr>
                <w:p w14:paraId="1FAED3F7">
                  <w:pPr>
                    <w:keepNext w:val="0"/>
                    <w:keepLines w:val="0"/>
                    <w:suppressLineNumbers w:val="0"/>
                    <w:adjustRightInd w:val="0"/>
                    <w:snapToGrid w:val="0"/>
                    <w:spacing w:before="0" w:beforeAutospacing="0" w:after="0" w:afterAutospacing="0"/>
                    <w:ind w:left="0" w:right="0"/>
                    <w:jc w:val="center"/>
                    <w:rPr>
                      <w:rFonts w:hint="default" w:eastAsia="宋体"/>
                      <w:bCs/>
                      <w:snapToGrid w:val="0"/>
                      <w:color w:val="auto"/>
                      <w:szCs w:val="21"/>
                      <w:highlight w:val="none"/>
                      <w:lang w:val="en-US" w:eastAsia="zh-CN"/>
                    </w:rPr>
                  </w:pPr>
                  <w:r>
                    <w:rPr>
                      <w:rFonts w:hint="eastAsia"/>
                      <w:bCs/>
                      <w:snapToGrid w:val="0"/>
                      <w:color w:val="auto"/>
                      <w:szCs w:val="21"/>
                      <w:highlight w:val="none"/>
                      <w:lang w:val="en-US" w:eastAsia="zh-CN"/>
                    </w:rPr>
                    <w:t>1.597</w:t>
                  </w:r>
                </w:p>
              </w:tc>
              <w:tc>
                <w:tcPr>
                  <w:tcW w:w="715" w:type="pct"/>
                  <w:vAlign w:val="center"/>
                </w:tcPr>
                <w:p w14:paraId="11066BB2">
                  <w:pPr>
                    <w:keepNext w:val="0"/>
                    <w:keepLines w:val="0"/>
                    <w:suppressLineNumbers w:val="0"/>
                    <w:adjustRightInd w:val="0"/>
                    <w:snapToGrid w:val="0"/>
                    <w:spacing w:before="0" w:beforeAutospacing="0" w:after="0" w:afterAutospacing="0"/>
                    <w:ind w:left="0" w:right="0"/>
                    <w:jc w:val="center"/>
                    <w:rPr>
                      <w:rFonts w:hint="default" w:eastAsia="宋体"/>
                      <w:bCs/>
                      <w:snapToGrid w:val="0"/>
                      <w:color w:val="auto"/>
                      <w:szCs w:val="21"/>
                      <w:highlight w:val="none"/>
                      <w:lang w:val="en-US" w:eastAsia="zh-CN"/>
                    </w:rPr>
                  </w:pPr>
                  <w:r>
                    <w:rPr>
                      <w:rFonts w:hint="eastAsia"/>
                      <w:bCs/>
                      <w:snapToGrid w:val="0"/>
                      <w:color w:val="auto"/>
                      <w:szCs w:val="21"/>
                      <w:highlight w:val="none"/>
                      <w:lang w:val="en-US" w:eastAsia="zh-CN"/>
                    </w:rPr>
                    <w:t>11.50</w:t>
                  </w:r>
                </w:p>
              </w:tc>
              <w:tc>
                <w:tcPr>
                  <w:tcW w:w="800" w:type="pct"/>
                  <w:vAlign w:val="center"/>
                </w:tcPr>
                <w:p w14:paraId="3E5E51A6">
                  <w:pPr>
                    <w:keepNext w:val="0"/>
                    <w:keepLines w:val="0"/>
                    <w:suppressLineNumbers w:val="0"/>
                    <w:adjustRightInd w:val="0"/>
                    <w:snapToGrid w:val="0"/>
                    <w:spacing w:before="0" w:beforeAutospacing="0" w:after="0" w:afterAutospacing="0"/>
                    <w:ind w:left="0" w:right="0"/>
                    <w:jc w:val="center"/>
                    <w:rPr>
                      <w:rFonts w:hint="default"/>
                      <w:bCs/>
                      <w:snapToGrid w:val="0"/>
                      <w:color w:val="auto"/>
                      <w:szCs w:val="21"/>
                      <w:highlight w:val="none"/>
                    </w:rPr>
                  </w:pPr>
                  <w:r>
                    <w:rPr>
                      <w:rFonts w:hint="default"/>
                      <w:bCs/>
                      <w:snapToGrid w:val="0"/>
                      <w:color w:val="auto"/>
                      <w:szCs w:val="21"/>
                      <w:highlight w:val="none"/>
                    </w:rPr>
                    <w:t>加强集气效率等措施</w:t>
                  </w:r>
                </w:p>
              </w:tc>
              <w:tc>
                <w:tcPr>
                  <w:tcW w:w="522" w:type="pct"/>
                  <w:vAlign w:val="center"/>
                </w:tcPr>
                <w:p w14:paraId="436F19CE">
                  <w:pPr>
                    <w:keepNext w:val="0"/>
                    <w:keepLines w:val="0"/>
                    <w:suppressLineNumbers w:val="0"/>
                    <w:adjustRightInd w:val="0"/>
                    <w:snapToGrid w:val="0"/>
                    <w:spacing w:before="0" w:beforeAutospacing="0" w:after="0" w:afterAutospacing="0"/>
                    <w:ind w:left="0" w:right="0"/>
                    <w:jc w:val="center"/>
                    <w:rPr>
                      <w:rFonts w:hint="default"/>
                      <w:bCs/>
                      <w:snapToGrid w:val="0"/>
                      <w:color w:val="auto"/>
                      <w:szCs w:val="21"/>
                      <w:highlight w:val="none"/>
                    </w:rPr>
                  </w:pPr>
                  <w:r>
                    <w:rPr>
                      <w:rFonts w:hint="default"/>
                      <w:bCs/>
                      <w:snapToGrid w:val="0"/>
                      <w:color w:val="auto"/>
                      <w:szCs w:val="21"/>
                      <w:highlight w:val="none"/>
                    </w:rPr>
                    <w:t>0.5</w:t>
                  </w:r>
                </w:p>
              </w:tc>
              <w:tc>
                <w:tcPr>
                  <w:tcW w:w="481" w:type="pct"/>
                  <w:vAlign w:val="center"/>
                </w:tcPr>
                <w:p w14:paraId="183DDF23">
                  <w:pPr>
                    <w:keepNext w:val="0"/>
                    <w:keepLines w:val="0"/>
                    <w:suppressLineNumbers w:val="0"/>
                    <w:adjustRightInd w:val="0"/>
                    <w:snapToGrid w:val="0"/>
                    <w:spacing w:before="0" w:beforeAutospacing="0" w:after="0" w:afterAutospacing="0"/>
                    <w:ind w:left="0" w:right="0"/>
                    <w:jc w:val="center"/>
                    <w:rPr>
                      <w:rFonts w:hint="default"/>
                      <w:bCs/>
                      <w:snapToGrid w:val="0"/>
                      <w:color w:val="auto"/>
                      <w:szCs w:val="21"/>
                      <w:highlight w:val="none"/>
                    </w:rPr>
                  </w:pPr>
                  <w:r>
                    <w:rPr>
                      <w:rFonts w:hint="default"/>
                      <w:bCs/>
                      <w:snapToGrid w:val="0"/>
                      <w:color w:val="auto"/>
                      <w:szCs w:val="21"/>
                      <w:highlight w:val="none"/>
                    </w:rPr>
                    <w:t>1</w:t>
                  </w:r>
                </w:p>
              </w:tc>
            </w:tr>
          </w:tbl>
          <w:p w14:paraId="325D233B">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bCs/>
                <w:color w:val="auto"/>
                <w:sz w:val="24"/>
                <w:highlight w:val="none"/>
              </w:rPr>
            </w:pPr>
            <w:r>
              <w:rPr>
                <w:rFonts w:hint="eastAsia"/>
                <w:bCs/>
                <w:color w:val="auto"/>
                <w:sz w:val="24"/>
                <w:highlight w:val="none"/>
              </w:rPr>
              <w:t>建议：建设单位在正常生产时应合理安排环保设施的检修时间，同时应加强各环保设施的日常维护的保养。</w:t>
            </w:r>
          </w:p>
          <w:p w14:paraId="3A1D6739">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bCs/>
                <w:color w:val="auto"/>
                <w:sz w:val="24"/>
                <w:highlight w:val="none"/>
              </w:rPr>
            </w:pPr>
            <w:r>
              <w:rPr>
                <w:rFonts w:hint="eastAsia"/>
                <w:bCs/>
                <w:color w:val="auto"/>
                <w:sz w:val="24"/>
                <w:highlight w:val="none"/>
              </w:rPr>
              <w:t>1.</w:t>
            </w:r>
            <w:r>
              <w:rPr>
                <w:rFonts w:hint="default"/>
                <w:bCs/>
                <w:color w:val="auto"/>
                <w:sz w:val="24"/>
                <w:highlight w:val="none"/>
              </w:rPr>
              <w:t>5</w:t>
            </w:r>
            <w:r>
              <w:rPr>
                <w:rFonts w:hint="eastAsia"/>
                <w:bCs/>
                <w:color w:val="auto"/>
                <w:sz w:val="24"/>
                <w:highlight w:val="none"/>
              </w:rPr>
              <w:t>大气环境防护距离</w:t>
            </w:r>
          </w:p>
          <w:p w14:paraId="4BB488E9">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kern w:val="2"/>
                <w:sz w:val="24"/>
                <w:szCs w:val="32"/>
                <w:highlight w:val="none"/>
                <w:lang w:val="en-US" w:eastAsia="zh-CN" w:bidi="ar-SA"/>
              </w:rPr>
            </w:pPr>
            <w:r>
              <w:rPr>
                <w:rFonts w:hint="eastAsia"/>
                <w:bCs/>
                <w:color w:val="auto"/>
                <w:sz w:val="24"/>
                <w:highlight w:val="none"/>
              </w:rPr>
              <w:t>本项目运行</w:t>
            </w:r>
            <w:r>
              <w:rPr>
                <w:rFonts w:hint="default"/>
                <w:bCs/>
                <w:color w:val="auto"/>
                <w:sz w:val="24"/>
                <w:highlight w:val="none"/>
              </w:rPr>
              <w:t>时</w:t>
            </w:r>
            <w:r>
              <w:rPr>
                <w:rFonts w:hint="eastAsia"/>
                <w:bCs/>
                <w:color w:val="auto"/>
                <w:sz w:val="24"/>
                <w:highlight w:val="none"/>
              </w:rPr>
              <w:t>，会有废气排放。根据《环境影响评价技术导则—大气环境》(HJ2.2-20</w:t>
            </w:r>
            <w:r>
              <w:rPr>
                <w:rFonts w:hint="default"/>
                <w:bCs/>
                <w:color w:val="auto"/>
                <w:sz w:val="24"/>
                <w:highlight w:val="none"/>
              </w:rPr>
              <w:t>1</w:t>
            </w:r>
            <w:r>
              <w:rPr>
                <w:rFonts w:hint="eastAsia"/>
                <w:bCs/>
                <w:color w:val="auto"/>
                <w:sz w:val="24"/>
                <w:highlight w:val="none"/>
              </w:rPr>
              <w:t>8)中的规定，对无组织排放的有毒有害气体应计算设置大气环境防护距离。根据预测结果可知，项目无组织排放的污染物最大落地贡献浓度均未超过环境质量浓度限值，因此项目无需设置大气防护距离。</w:t>
            </w:r>
          </w:p>
          <w:p w14:paraId="5E75A21C">
            <w:pPr>
              <w:keepNext w:val="0"/>
              <w:keepLines w:val="0"/>
              <w:suppressLineNumbers w:val="0"/>
              <w:adjustRightInd w:val="0"/>
              <w:snapToGrid w:val="0"/>
              <w:spacing w:before="0" w:beforeAutospacing="0" w:after="0" w:afterAutospacing="0" w:line="360" w:lineRule="auto"/>
              <w:ind w:left="0" w:right="0" w:firstLine="480" w:firstLineChars="200"/>
              <w:rPr>
                <w:rFonts w:hint="default" w:cs="Times New Roman"/>
                <w:b/>
                <w:bCs/>
                <w:color w:val="auto"/>
                <w:sz w:val="24"/>
                <w:highlight w:val="none"/>
                <w:lang w:val="en-US" w:eastAsia="zh-CN"/>
              </w:rPr>
            </w:pPr>
            <w:r>
              <w:rPr>
                <w:rFonts w:hint="eastAsia" w:cs="Times New Roman"/>
                <w:color w:val="auto"/>
                <w:kern w:val="2"/>
                <w:sz w:val="24"/>
                <w:szCs w:val="32"/>
                <w:highlight w:val="none"/>
                <w:lang w:val="en-US" w:eastAsia="zh-CN" w:bidi="ar-SA"/>
              </w:rPr>
              <w:t>综上，本项目废气治理设施采用了排污规范中的可行性技术，废气经治理后可以稳定达标排放，项目实施后对大气环境影响较小。</w:t>
            </w:r>
          </w:p>
          <w:p w14:paraId="4F474F5D">
            <w:pPr>
              <w:keepNext w:val="0"/>
              <w:keepLines w:val="0"/>
              <w:suppressLineNumbers w:val="0"/>
              <w:spacing w:before="0" w:beforeAutospacing="0" w:after="0" w:afterAutospacing="0" w:line="360" w:lineRule="auto"/>
              <w:ind w:left="0" w:right="0"/>
              <w:rPr>
                <w:rFonts w:hint="default"/>
                <w:color w:val="auto"/>
                <w:sz w:val="28"/>
                <w:szCs w:val="28"/>
                <w:highlight w:val="none"/>
              </w:rPr>
            </w:pPr>
            <w:r>
              <w:rPr>
                <w:rFonts w:hint="eastAsia"/>
                <w:b/>
                <w:bCs/>
                <w:color w:val="auto"/>
                <w:sz w:val="28"/>
                <w:szCs w:val="28"/>
                <w:highlight w:val="none"/>
                <w:lang w:val="en-US" w:eastAsia="zh-CN"/>
              </w:rPr>
              <w:t>2</w:t>
            </w:r>
            <w:r>
              <w:rPr>
                <w:rFonts w:hint="default"/>
                <w:b/>
                <w:bCs/>
                <w:color w:val="auto"/>
                <w:sz w:val="28"/>
                <w:szCs w:val="28"/>
                <w:highlight w:val="none"/>
              </w:rPr>
              <w:t>、声环境影响分析</w:t>
            </w:r>
          </w:p>
          <w:p w14:paraId="7DBC9220">
            <w:pPr>
              <w:pStyle w:val="30"/>
              <w:keepNext w:val="0"/>
              <w:keepLines w:val="0"/>
              <w:suppressLineNumbers w:val="0"/>
              <w:spacing w:before="0" w:beforeAutospacing="0" w:after="0" w:afterAutospacing="0" w:line="360" w:lineRule="auto"/>
              <w:ind w:left="0" w:leftChars="0" w:right="0" w:firstLine="480" w:firstLineChars="200"/>
              <w:rPr>
                <w:rFonts w:hint="default"/>
                <w:color w:val="auto"/>
                <w:sz w:val="24"/>
                <w:szCs w:val="32"/>
                <w:highlight w:val="none"/>
              </w:rPr>
            </w:pPr>
            <w:r>
              <w:rPr>
                <w:rFonts w:hint="eastAsia"/>
                <w:color w:val="auto"/>
                <w:sz w:val="24"/>
                <w:szCs w:val="32"/>
                <w:highlight w:val="none"/>
              </w:rPr>
              <w:t>2.1预测模式</w:t>
            </w:r>
          </w:p>
          <w:p w14:paraId="463ED2AE">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t>（1）单个室外点声源在预测点产生的声级计算基本公式</w:t>
            </w:r>
          </w:p>
          <w:p w14:paraId="73253D31">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eastAsia"/>
                <w:bCs/>
                <w:color w:val="auto"/>
                <w:sz w:val="24"/>
                <w:highlight w:val="none"/>
              </w:rPr>
              <w:t>户外声传播衰减包括几何发散（</w:t>
            </w:r>
            <w:r>
              <w:rPr>
                <w:rFonts w:hint="default"/>
                <w:bCs/>
                <w:color w:val="auto"/>
                <w:sz w:val="24"/>
                <w:highlight w:val="none"/>
              </w:rPr>
              <w:t>Adiv</w:t>
            </w:r>
            <w:r>
              <w:rPr>
                <w:rFonts w:hint="eastAsia"/>
                <w:bCs/>
                <w:color w:val="auto"/>
                <w:sz w:val="24"/>
                <w:highlight w:val="none"/>
              </w:rPr>
              <w:t>）、大气吸收（</w:t>
            </w:r>
            <w:r>
              <w:rPr>
                <w:rFonts w:hint="default"/>
                <w:bCs/>
                <w:color w:val="auto"/>
                <w:sz w:val="24"/>
                <w:highlight w:val="none"/>
              </w:rPr>
              <w:t>Aatm</w:t>
            </w:r>
            <w:r>
              <w:rPr>
                <w:rFonts w:hint="eastAsia"/>
                <w:bCs/>
                <w:color w:val="auto"/>
                <w:sz w:val="24"/>
                <w:highlight w:val="none"/>
              </w:rPr>
              <w:t>）、地面效应（</w:t>
            </w:r>
            <w:r>
              <w:rPr>
                <w:rFonts w:hint="default"/>
                <w:bCs/>
                <w:color w:val="auto"/>
                <w:sz w:val="24"/>
                <w:highlight w:val="none"/>
              </w:rPr>
              <w:t>Agr</w:t>
            </w:r>
            <w:r>
              <w:rPr>
                <w:rFonts w:hint="eastAsia"/>
                <w:bCs/>
                <w:color w:val="auto"/>
                <w:sz w:val="24"/>
                <w:highlight w:val="none"/>
              </w:rPr>
              <w:t>）、障碍物屏蔽（</w:t>
            </w:r>
            <w:r>
              <w:rPr>
                <w:rFonts w:hint="default"/>
                <w:bCs/>
                <w:color w:val="auto"/>
                <w:sz w:val="24"/>
                <w:highlight w:val="none"/>
              </w:rPr>
              <w:t>Abar</w:t>
            </w:r>
            <w:r>
              <w:rPr>
                <w:rFonts w:hint="eastAsia"/>
                <w:bCs/>
                <w:color w:val="auto"/>
                <w:sz w:val="24"/>
                <w:highlight w:val="none"/>
              </w:rPr>
              <w:t>）、其他多方面效应（</w:t>
            </w:r>
            <w:r>
              <w:rPr>
                <w:rFonts w:hint="default"/>
                <w:bCs/>
                <w:color w:val="auto"/>
                <w:sz w:val="24"/>
                <w:highlight w:val="none"/>
              </w:rPr>
              <w:t>Amisc</w:t>
            </w:r>
            <w:r>
              <w:rPr>
                <w:rFonts w:hint="eastAsia"/>
                <w:bCs/>
                <w:color w:val="auto"/>
                <w:sz w:val="24"/>
                <w:highlight w:val="none"/>
              </w:rPr>
              <w:t xml:space="preserve">）引起的衰减。 </w:t>
            </w:r>
          </w:p>
          <w:p w14:paraId="76A974C9">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lang w:val="pt-BR"/>
              </w:rPr>
              <w:object>
                <v:shape id="_x0000_i1025" o:spt="75" type="#_x0000_t75" style="height:18.75pt;width:234pt;" o:ole="t" filled="f" o:preferrelative="t" stroked="f" coordsize="21600,21600">
                  <v:path/>
                  <v:fill on="f" focussize="0,0"/>
                  <v:stroke on="f" joinstyle="miter"/>
                  <v:imagedata r:id="rId29" o:title=""/>
                  <o:lock v:ext="edit" aspectratio="t"/>
                  <w10:wrap type="none"/>
                  <w10:anchorlock/>
                </v:shape>
                <o:OLEObject Type="Embed" ProgID="Equation.3" ShapeID="_x0000_i1025" DrawAspect="Content" ObjectID="_1468075725" r:id="rId28">
                  <o:LockedField>false</o:LockedField>
                </o:OLEObject>
              </w:object>
            </w:r>
          </w:p>
          <w:p w14:paraId="5DF24A1D">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lang w:val="pt-BR"/>
              </w:rPr>
            </w:pPr>
            <w:r>
              <w:rPr>
                <w:rFonts w:hint="default"/>
                <w:bCs/>
                <w:color w:val="auto"/>
                <w:sz w:val="24"/>
                <w:highlight w:val="none"/>
              </w:rPr>
              <w:t>式中</w:t>
            </w:r>
            <w:r>
              <w:rPr>
                <w:rFonts w:hint="default"/>
                <w:bCs/>
                <w:color w:val="auto"/>
                <w:sz w:val="24"/>
                <w:highlight w:val="none"/>
                <w:lang w:val="pt-BR"/>
              </w:rPr>
              <w:t>：</w:t>
            </w:r>
            <w:r>
              <w:rPr>
                <w:rFonts w:hint="default"/>
                <w:bCs/>
                <w:color w:val="auto"/>
                <w:sz w:val="24"/>
                <w:highlight w:val="none"/>
                <w:lang w:val="pt-BR"/>
              </w:rPr>
              <w:object>
                <v:shape id="_x0000_i1026" o:spt="75" type="#_x0000_t75" style="height:18.75pt;width:30pt;" o:ole="t" filled="f" o:preferrelative="t" stroked="f" coordsize="21600,21600">
                  <v:path/>
                  <v:fill on="f" focussize="0,0"/>
                  <v:stroke on="f" joinstyle="miter"/>
                  <v:imagedata r:id="rId31" o:title=""/>
                  <o:lock v:ext="edit" aspectratio="t"/>
                  <w10:wrap type="none"/>
                  <w10:anchorlock/>
                </v:shape>
                <o:OLEObject Type="Embed" ProgID="Equation.3" ShapeID="_x0000_i1026" DrawAspect="Content" ObjectID="_1468075726" r:id="rId30">
                  <o:LockedField>false</o:LockedField>
                </o:OLEObject>
              </w:object>
            </w:r>
            <w:r>
              <w:rPr>
                <w:rFonts w:hint="default"/>
                <w:bCs/>
                <w:color w:val="auto"/>
                <w:sz w:val="24"/>
                <w:highlight w:val="none"/>
                <w:lang w:val="pt-BR"/>
              </w:rPr>
              <w:t>——</w:t>
            </w:r>
            <w:r>
              <w:rPr>
                <w:rFonts w:hint="eastAsia"/>
                <w:bCs/>
                <w:color w:val="auto"/>
                <w:sz w:val="24"/>
                <w:highlight w:val="none"/>
              </w:rPr>
              <w:t>预测点处声压级</w:t>
            </w:r>
            <w:r>
              <w:rPr>
                <w:rFonts w:hint="default"/>
                <w:bCs/>
                <w:color w:val="auto"/>
                <w:sz w:val="24"/>
                <w:highlight w:val="none"/>
                <w:lang w:val="pt-BR"/>
              </w:rPr>
              <w:t>，dB；</w:t>
            </w:r>
          </w:p>
          <w:p w14:paraId="3312278F">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lang w:val="pt-BR"/>
              </w:rPr>
            </w:pPr>
            <w:r>
              <w:rPr>
                <w:rFonts w:hint="default"/>
                <w:bCs/>
                <w:color w:val="auto"/>
                <w:sz w:val="24"/>
                <w:highlight w:val="none"/>
                <w:lang w:val="pt-BR"/>
              </w:rPr>
              <w:object>
                <v:shape id="_x0000_i1027" o:spt="75" type="#_x0000_t75" style="height:19.5pt;width:28.5pt;" o:ole="t" filled="f" o:preferrelative="t" stroked="f" coordsize="21600,21600">
                  <v:path/>
                  <v:fill on="f" focussize="0,0"/>
                  <v:stroke on="f" joinstyle="miter"/>
                  <v:imagedata r:id="rId33" o:title=""/>
                  <o:lock v:ext="edit" aspectratio="t"/>
                  <w10:wrap type="none"/>
                  <w10:anchorlock/>
                </v:shape>
                <o:OLEObject Type="Embed" ProgID="Equation.3" ShapeID="_x0000_i1027" DrawAspect="Content" ObjectID="_1468075727" r:id="rId32">
                  <o:LockedField>false</o:LockedField>
                </o:OLEObject>
              </w:object>
            </w:r>
            <w:r>
              <w:rPr>
                <w:rFonts w:hint="default"/>
                <w:bCs/>
                <w:color w:val="auto"/>
                <w:sz w:val="24"/>
                <w:highlight w:val="none"/>
                <w:lang w:val="pt-BR"/>
              </w:rPr>
              <w:t>——</w:t>
            </w:r>
            <w:r>
              <w:rPr>
                <w:rFonts w:hint="eastAsia"/>
                <w:bCs/>
                <w:color w:val="auto"/>
                <w:sz w:val="24"/>
                <w:highlight w:val="none"/>
              </w:rPr>
              <w:t>参考位置</w:t>
            </w:r>
            <w:r>
              <w:rPr>
                <w:rFonts w:hint="default"/>
                <w:bCs/>
                <w:color w:val="auto"/>
                <w:sz w:val="24"/>
                <w:highlight w:val="none"/>
              </w:rPr>
              <w:t>r0</w:t>
            </w:r>
            <w:r>
              <w:rPr>
                <w:rFonts w:hint="eastAsia"/>
                <w:bCs/>
                <w:color w:val="auto"/>
                <w:sz w:val="24"/>
                <w:highlight w:val="none"/>
              </w:rPr>
              <w:t>处的声压级</w:t>
            </w:r>
            <w:r>
              <w:rPr>
                <w:rFonts w:hint="default"/>
                <w:bCs/>
                <w:color w:val="auto"/>
                <w:sz w:val="24"/>
                <w:highlight w:val="none"/>
                <w:lang w:val="pt-BR"/>
              </w:rPr>
              <w:t>，dB；</w:t>
            </w:r>
          </w:p>
          <w:p w14:paraId="5A845770">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lang w:val="pt-BR"/>
              </w:rPr>
            </w:pPr>
            <w:r>
              <w:rPr>
                <w:rFonts w:hint="default"/>
                <w:bCs/>
                <w:color w:val="auto"/>
                <w:sz w:val="24"/>
                <w:highlight w:val="none"/>
                <w:lang w:val="pt-BR"/>
              </w:rPr>
              <w:object>
                <v:shape id="_x0000_i1028" o:spt="75" type="#_x0000_t75" style="height:18.75pt;width:16.5pt;" o:ole="t" filled="f" o:preferrelative="t" stroked="f" coordsize="21600,21600">
                  <v:path/>
                  <v:fill on="f" focussize="0,0"/>
                  <v:stroke on="f" joinstyle="miter"/>
                  <v:imagedata r:id="rId35" o:title=""/>
                  <o:lock v:ext="edit" aspectratio="t"/>
                  <w10:wrap type="none"/>
                  <w10:anchorlock/>
                </v:shape>
                <o:OLEObject Type="Embed" ProgID="Equation.3" ShapeID="_x0000_i1028" DrawAspect="Content" ObjectID="_1468075728" r:id="rId34">
                  <o:LockedField>false</o:LockedField>
                </o:OLEObject>
              </w:object>
            </w:r>
            <w:r>
              <w:rPr>
                <w:rFonts w:hint="default"/>
                <w:bCs/>
                <w:color w:val="auto"/>
                <w:sz w:val="24"/>
                <w:highlight w:val="none"/>
                <w:lang w:val="pt-BR"/>
              </w:rPr>
              <w:t>——指向性校正，</w:t>
            </w:r>
            <w:r>
              <w:rPr>
                <w:rFonts w:hint="eastAsia"/>
                <w:bCs/>
                <w:color w:val="auto"/>
                <w:sz w:val="24"/>
                <w:highlight w:val="none"/>
              </w:rPr>
              <w:t>它描述点声源的等效连续声压级与产生声功率级</w:t>
            </w:r>
            <w:r>
              <w:rPr>
                <w:rFonts w:hint="default"/>
                <w:bCs/>
                <w:color w:val="auto"/>
                <w:sz w:val="24"/>
                <w:highlight w:val="none"/>
              </w:rPr>
              <w:t>Lw</w:t>
            </w:r>
            <w:r>
              <w:rPr>
                <w:rFonts w:hint="eastAsia"/>
                <w:bCs/>
                <w:color w:val="auto"/>
                <w:sz w:val="24"/>
                <w:highlight w:val="none"/>
              </w:rPr>
              <w:t>的全向点声源在规定方向的声级的偏差程度，</w:t>
            </w:r>
            <w:r>
              <w:rPr>
                <w:rFonts w:hint="default"/>
                <w:bCs/>
                <w:color w:val="auto"/>
                <w:sz w:val="24"/>
                <w:highlight w:val="none"/>
                <w:lang w:val="pt-BR"/>
              </w:rPr>
              <w:t>dB；</w:t>
            </w:r>
          </w:p>
          <w:p w14:paraId="221B5043">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lang w:val="pt-BR"/>
              </w:rPr>
              <w:object>
                <v:shape id="_x0000_i1029" o:spt="75" type="#_x0000_t75" style="height:18.75pt;width:22.5pt;" o:ole="t" filled="f" o:preferrelative="t" stroked="f" coordsize="21600,21600">
                  <v:path/>
                  <v:fill on="f" focussize="0,0"/>
                  <v:stroke on="f" joinstyle="miter"/>
                  <v:imagedata r:id="rId37" o:title=""/>
                  <o:lock v:ext="edit" aspectratio="t"/>
                  <w10:wrap type="none"/>
                  <w10:anchorlock/>
                </v:shape>
                <o:OLEObject Type="Embed" ProgID="Equation.3" ShapeID="_x0000_i1029" DrawAspect="Content" ObjectID="_1468075729" r:id="rId36">
                  <o:LockedField>false</o:LockedField>
                </o:OLEObject>
              </w:object>
            </w:r>
            <w:r>
              <w:rPr>
                <w:rFonts w:hint="default"/>
                <w:bCs/>
                <w:color w:val="auto"/>
                <w:sz w:val="24"/>
                <w:highlight w:val="none"/>
              </w:rPr>
              <w:t>——几何发散引起的衰减，</w:t>
            </w:r>
            <w:r>
              <w:rPr>
                <w:rFonts w:hint="default"/>
                <w:bCs/>
                <w:color w:val="auto"/>
                <w:sz w:val="24"/>
                <w:highlight w:val="none"/>
                <w:lang w:val="pt-BR"/>
              </w:rPr>
              <w:t>dB；</w:t>
            </w:r>
          </w:p>
          <w:p w14:paraId="0CE2D563">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lang w:val="pt-BR"/>
              </w:rPr>
            </w:pPr>
            <w:r>
              <w:rPr>
                <w:rFonts w:hint="default"/>
                <w:bCs/>
                <w:color w:val="auto"/>
                <w:sz w:val="24"/>
                <w:highlight w:val="none"/>
                <w:lang w:val="pt-BR"/>
              </w:rPr>
              <w:object>
                <v:shape id="_x0000_i1030" o:spt="75" type="#_x0000_t75" style="height:19.5pt;width:18.75pt;" o:ole="t" filled="f" o:preferrelative="t" stroked="f" coordsize="21600,21600">
                  <v:path/>
                  <v:fill on="f" focussize="0,0"/>
                  <v:stroke on="f" joinstyle="miter"/>
                  <v:imagedata r:id="rId39" o:title=""/>
                  <o:lock v:ext="edit" aspectratio="t"/>
                  <w10:wrap type="none"/>
                  <w10:anchorlock/>
                </v:shape>
                <o:OLEObject Type="Embed" ProgID="Equation.3" ShapeID="_x0000_i1030" DrawAspect="Content" ObjectID="_1468075730" r:id="rId38">
                  <o:LockedField>false</o:LockedField>
                </o:OLEObject>
              </w:object>
            </w:r>
            <w:r>
              <w:rPr>
                <w:rFonts w:hint="default"/>
                <w:bCs/>
                <w:color w:val="auto"/>
                <w:sz w:val="24"/>
                <w:highlight w:val="none"/>
              </w:rPr>
              <w:t>——地面效应引起的衰减，</w:t>
            </w:r>
            <w:r>
              <w:rPr>
                <w:rFonts w:hint="default"/>
                <w:bCs/>
                <w:color w:val="auto"/>
                <w:sz w:val="24"/>
                <w:highlight w:val="none"/>
                <w:lang w:val="pt-BR"/>
              </w:rPr>
              <w:t>dB；</w:t>
            </w:r>
          </w:p>
          <w:p w14:paraId="7520EF88">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lang w:val="pt-BR"/>
              </w:rPr>
              <w:object>
                <v:shape id="_x0000_i1031" o:spt="75" type="#_x0000_t75" style="height:18.75pt;width:22.5pt;" o:ole="t" filled="f" o:preferrelative="t" stroked="f" coordsize="21600,21600">
                  <v:path/>
                  <v:fill on="f" focussize="0,0"/>
                  <v:stroke on="f" joinstyle="miter"/>
                  <v:imagedata r:id="rId41" o:title=""/>
                  <o:lock v:ext="edit" aspectratio="t"/>
                  <w10:wrap type="none"/>
                  <w10:anchorlock/>
                </v:shape>
                <o:OLEObject Type="Embed" ProgID="Equation.3" ShapeID="_x0000_i1031" DrawAspect="Content" ObjectID="_1468075731" r:id="rId40">
                  <o:LockedField>false</o:LockedField>
                </o:OLEObject>
              </w:object>
            </w:r>
            <w:r>
              <w:rPr>
                <w:rFonts w:hint="default"/>
                <w:bCs/>
                <w:color w:val="auto"/>
                <w:sz w:val="24"/>
                <w:highlight w:val="none"/>
              </w:rPr>
              <w:t>——大气吸收引起的衰减，</w:t>
            </w:r>
            <w:r>
              <w:rPr>
                <w:rFonts w:hint="default"/>
                <w:bCs/>
                <w:color w:val="auto"/>
                <w:sz w:val="24"/>
                <w:highlight w:val="none"/>
                <w:lang w:val="pt-BR"/>
              </w:rPr>
              <w:t>dB；</w:t>
            </w:r>
          </w:p>
          <w:p w14:paraId="0B9239EF">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lang w:val="pt-BR"/>
              </w:rPr>
            </w:pPr>
            <w:r>
              <w:rPr>
                <w:rFonts w:hint="default"/>
                <w:bCs/>
                <w:color w:val="auto"/>
                <w:sz w:val="24"/>
                <w:highlight w:val="none"/>
                <w:lang w:val="pt-BR"/>
              </w:rPr>
              <w:object>
                <v:shape id="_x0000_i1032" o:spt="75" type="#_x0000_t75" style="height:18.75pt;width:22.5pt;" o:ole="t" filled="f" o:preferrelative="t" stroked="f" coordsize="21600,21600">
                  <v:path/>
                  <v:fill on="f" focussize="0,0"/>
                  <v:stroke on="f" joinstyle="miter"/>
                  <v:imagedata r:id="rId43" o:title=""/>
                  <o:lock v:ext="edit" aspectratio="t"/>
                  <w10:wrap type="none"/>
                  <w10:anchorlock/>
                </v:shape>
                <o:OLEObject Type="Embed" ProgID="Equation.3" ShapeID="_x0000_i1032" DrawAspect="Content" ObjectID="_1468075732" r:id="rId42">
                  <o:LockedField>false</o:LockedField>
                </o:OLEObject>
              </w:object>
            </w:r>
            <w:r>
              <w:rPr>
                <w:rFonts w:hint="default"/>
                <w:bCs/>
                <w:color w:val="auto"/>
                <w:sz w:val="24"/>
                <w:highlight w:val="none"/>
                <w:lang w:val="pt-BR"/>
              </w:rPr>
              <w:t>——</w:t>
            </w:r>
            <w:r>
              <w:rPr>
                <w:rFonts w:hint="eastAsia"/>
                <w:bCs/>
                <w:color w:val="auto"/>
                <w:sz w:val="24"/>
                <w:highlight w:val="none"/>
              </w:rPr>
              <w:t>障碍物屏蔽</w:t>
            </w:r>
            <w:r>
              <w:rPr>
                <w:rFonts w:hint="default"/>
                <w:bCs/>
                <w:color w:val="auto"/>
                <w:sz w:val="24"/>
                <w:highlight w:val="none"/>
              </w:rPr>
              <w:t>引起的衰减，</w:t>
            </w:r>
            <w:r>
              <w:rPr>
                <w:rFonts w:hint="default"/>
                <w:bCs/>
                <w:color w:val="auto"/>
                <w:sz w:val="24"/>
                <w:highlight w:val="none"/>
                <w:lang w:val="pt-BR"/>
              </w:rPr>
              <w:t>dB；</w:t>
            </w:r>
          </w:p>
          <w:p w14:paraId="03C52D51">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lang w:val="pt-BR"/>
              </w:rPr>
              <w:object>
                <v:shape id="_x0000_i1033" o:spt="75" type="#_x0000_t75" style="height:18.75pt;width:24.75pt;" o:ole="t" filled="f" o:preferrelative="t" stroked="f" coordsize="21600,21600">
                  <v:path/>
                  <v:fill on="f" focussize="0,0"/>
                  <v:stroke on="f" joinstyle="miter"/>
                  <v:imagedata r:id="rId45" o:title=""/>
                  <o:lock v:ext="edit" aspectratio="t"/>
                  <w10:wrap type="none"/>
                  <w10:anchorlock/>
                </v:shape>
                <o:OLEObject Type="Embed" ProgID="Equation.3" ShapeID="_x0000_i1033" DrawAspect="Content" ObjectID="_1468075733" r:id="rId44">
                  <o:LockedField>false</o:LockedField>
                </o:OLEObject>
              </w:object>
            </w:r>
            <w:r>
              <w:rPr>
                <w:rFonts w:hint="default"/>
                <w:bCs/>
                <w:color w:val="auto"/>
                <w:sz w:val="24"/>
                <w:highlight w:val="none"/>
                <w:lang w:val="pt-BR"/>
              </w:rPr>
              <w:t>——</w:t>
            </w:r>
            <w:r>
              <w:rPr>
                <w:rFonts w:hint="default"/>
                <w:bCs/>
                <w:color w:val="auto"/>
                <w:sz w:val="24"/>
                <w:highlight w:val="none"/>
              </w:rPr>
              <w:t>其他多方面效应引起的衰减，</w:t>
            </w:r>
            <w:r>
              <w:rPr>
                <w:rFonts w:hint="default"/>
                <w:bCs/>
                <w:color w:val="auto"/>
                <w:sz w:val="24"/>
                <w:highlight w:val="none"/>
                <w:lang w:val="pt-BR"/>
              </w:rPr>
              <w:t>dB</w:t>
            </w:r>
            <w:r>
              <w:rPr>
                <w:rFonts w:hint="default"/>
                <w:bCs/>
                <w:color w:val="auto"/>
                <w:sz w:val="24"/>
                <w:highlight w:val="none"/>
              </w:rPr>
              <w:t>。</w:t>
            </w:r>
          </w:p>
          <w:p w14:paraId="3E682556">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t>（2）室内点声源对厂界噪声预测点贡献值预测模式</w:t>
            </w:r>
          </w:p>
          <w:p w14:paraId="3C6D34D3">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t>室内声源首先换算为等效室外声源，再按各类声源模式计算。</w:t>
            </w:r>
          </w:p>
          <w:p w14:paraId="449061A9">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t>①首先计算出某个室内声源靠近围护结构处的倍频带声压级：</w:t>
            </w:r>
          </w:p>
          <w:p w14:paraId="71FF7685">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object>
                <v:shape id="_x0000_i1034" o:spt="75" type="#_x0000_t75" style="height:30pt;width:136.5pt;" o:ole="t" filled="f" o:preferrelative="t" stroked="f" coordsize="21600,21600">
                  <v:path/>
                  <v:fill on="f" focussize="0,0"/>
                  <v:stroke on="f" joinstyle="miter"/>
                  <v:imagedata r:id="rId47" o:title=""/>
                  <o:lock v:ext="edit" aspectratio="t"/>
                  <w10:wrap type="none"/>
                  <w10:anchorlock/>
                </v:shape>
                <o:OLEObject Type="Embed" ProgID="Equation.3" ShapeID="_x0000_i1034" DrawAspect="Content" ObjectID="_1468075734" r:id="rId46">
                  <o:LockedField>false</o:LockedField>
                </o:OLEObject>
              </w:object>
            </w:r>
          </w:p>
          <w:p w14:paraId="7072BC42">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t>式中：</w:t>
            </w:r>
            <w:r>
              <w:rPr>
                <w:rFonts w:hint="default"/>
                <w:bCs/>
                <w:color w:val="auto"/>
                <w:sz w:val="24"/>
                <w:highlight w:val="none"/>
              </w:rPr>
              <w:object>
                <v:shape id="_x0000_i1035" o:spt="75" type="#_x0000_t75" style="height:18.75pt;width:18.75pt;" o:ole="t" filled="f" o:preferrelative="t" stroked="f" coordsize="21600,21600">
                  <v:path/>
                  <v:fill on="f" focussize="0,0"/>
                  <v:stroke on="f" joinstyle="miter"/>
                  <v:imagedata r:id="rId49" o:title=""/>
                  <o:lock v:ext="edit" aspectratio="t"/>
                  <w10:wrap type="none"/>
                  <w10:anchorlock/>
                </v:shape>
                <o:OLEObject Type="Embed" ProgID="Equation.3" ShapeID="_x0000_i1035" DrawAspect="Content" ObjectID="_1468075735" r:id="rId48">
                  <o:LockedField>false</o:LockedField>
                </o:OLEObject>
              </w:object>
            </w:r>
            <w:r>
              <w:rPr>
                <w:rFonts w:hint="default"/>
                <w:bCs/>
                <w:color w:val="auto"/>
                <w:sz w:val="24"/>
                <w:highlight w:val="none"/>
                <w:lang w:val="pt-BR"/>
              </w:rPr>
              <w:t>——</w:t>
            </w:r>
            <w:r>
              <w:rPr>
                <w:rFonts w:hint="eastAsia"/>
                <w:bCs/>
                <w:color w:val="auto"/>
                <w:sz w:val="24"/>
                <w:highlight w:val="none"/>
              </w:rPr>
              <w:t xml:space="preserve">靠近开口处（或窗户）室内某倍频带的声压级或 </w:t>
            </w:r>
            <w:r>
              <w:rPr>
                <w:rFonts w:hint="default"/>
                <w:bCs/>
                <w:color w:val="auto"/>
                <w:sz w:val="24"/>
                <w:highlight w:val="none"/>
              </w:rPr>
              <w:t xml:space="preserve">A </w:t>
            </w:r>
            <w:r>
              <w:rPr>
                <w:rFonts w:hint="eastAsia"/>
                <w:bCs/>
                <w:color w:val="auto"/>
                <w:sz w:val="24"/>
                <w:highlight w:val="none"/>
              </w:rPr>
              <w:t>声级</w:t>
            </w:r>
            <w:r>
              <w:rPr>
                <w:rFonts w:hint="default"/>
                <w:bCs/>
                <w:color w:val="auto"/>
                <w:sz w:val="24"/>
                <w:highlight w:val="none"/>
              </w:rPr>
              <w:t>，</w:t>
            </w:r>
            <w:r>
              <w:rPr>
                <w:rFonts w:hint="default"/>
                <w:bCs/>
                <w:color w:val="auto"/>
                <w:sz w:val="24"/>
                <w:highlight w:val="none"/>
                <w:lang w:val="pt-BR"/>
              </w:rPr>
              <w:t>dB；</w:t>
            </w:r>
          </w:p>
          <w:p w14:paraId="7CAD1833">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object>
                <v:shape id="_x0000_i1036" o:spt="75" type="#_x0000_t75" style="height:18.75pt;width:16.5pt;" o:ole="t" filled="f" o:preferrelative="t" stroked="f" coordsize="21600,21600">
                  <v:path/>
                  <v:fill on="f" focussize="0,0"/>
                  <v:stroke on="f" joinstyle="miter"/>
                  <v:imagedata r:id="rId51" o:title=""/>
                  <o:lock v:ext="edit" aspectratio="t"/>
                  <w10:wrap type="none"/>
                  <w10:anchorlock/>
                </v:shape>
                <o:OLEObject Type="Embed" ProgID="Equation.3" ShapeID="_x0000_i1036" DrawAspect="Content" ObjectID="_1468075736" r:id="rId50">
                  <o:LockedField>false</o:LockedField>
                </o:OLEObject>
              </w:object>
            </w:r>
            <w:r>
              <w:rPr>
                <w:rFonts w:hint="default"/>
                <w:bCs/>
                <w:color w:val="auto"/>
                <w:sz w:val="24"/>
                <w:highlight w:val="none"/>
                <w:lang w:val="pt-BR"/>
              </w:rPr>
              <w:t>——</w:t>
            </w:r>
            <w:r>
              <w:rPr>
                <w:rFonts w:hint="eastAsia"/>
                <w:bCs/>
                <w:color w:val="auto"/>
                <w:sz w:val="24"/>
                <w:highlight w:val="none"/>
              </w:rPr>
              <w:t>点声源声功率级（</w:t>
            </w:r>
            <w:r>
              <w:rPr>
                <w:rFonts w:hint="default"/>
                <w:bCs/>
                <w:color w:val="auto"/>
                <w:sz w:val="24"/>
                <w:highlight w:val="none"/>
              </w:rPr>
              <w:t xml:space="preserve">A </w:t>
            </w:r>
            <w:r>
              <w:rPr>
                <w:rFonts w:hint="eastAsia"/>
                <w:bCs/>
                <w:color w:val="auto"/>
                <w:sz w:val="24"/>
                <w:highlight w:val="none"/>
              </w:rPr>
              <w:t>计权或倍频带）</w:t>
            </w:r>
            <w:r>
              <w:rPr>
                <w:rFonts w:hint="default"/>
                <w:bCs/>
                <w:color w:val="auto"/>
                <w:sz w:val="24"/>
                <w:highlight w:val="none"/>
              </w:rPr>
              <w:t>，</w:t>
            </w:r>
            <w:r>
              <w:rPr>
                <w:rFonts w:hint="default"/>
                <w:bCs/>
                <w:color w:val="auto"/>
                <w:sz w:val="24"/>
                <w:highlight w:val="none"/>
                <w:lang w:val="pt-BR"/>
              </w:rPr>
              <w:t>dB；</w:t>
            </w:r>
          </w:p>
          <w:p w14:paraId="17864FD8">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object>
                <v:shape id="_x0000_i1037" o:spt="75" type="#_x0000_t75" style="height:7.5pt;width:7.5pt;" o:ole="t" filled="f" o:preferrelative="t" stroked="f" coordsize="21600,21600">
                  <v:path/>
                  <v:fill on="f" focussize="0,0"/>
                  <v:stroke on="f" joinstyle="miter"/>
                  <v:imagedata r:id="rId53" o:title=""/>
                  <o:lock v:ext="edit" aspectratio="t"/>
                  <w10:wrap type="none"/>
                  <w10:anchorlock/>
                </v:shape>
                <o:OLEObject Type="Embed" ProgID="Equation.3" ShapeID="_x0000_i1037" DrawAspect="Content" ObjectID="_1468075737" r:id="rId52">
                  <o:LockedField>false</o:LockedField>
                </o:OLEObject>
              </w:object>
            </w:r>
            <w:r>
              <w:rPr>
                <w:rFonts w:hint="default"/>
                <w:bCs/>
                <w:color w:val="auto"/>
                <w:sz w:val="24"/>
                <w:highlight w:val="none"/>
                <w:lang w:val="pt-BR"/>
              </w:rPr>
              <w:t>——</w:t>
            </w:r>
            <w:r>
              <w:rPr>
                <w:rFonts w:hint="default"/>
                <w:bCs/>
                <w:color w:val="auto"/>
                <w:sz w:val="24"/>
                <w:highlight w:val="none"/>
              </w:rPr>
              <w:t>声源到靠近围护结构某点处的距离，m；</w:t>
            </w:r>
          </w:p>
          <w:p w14:paraId="16B1D9ED">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object>
                <v:shape id="_x0000_i1038" o:spt="75" type="#_x0000_t75" style="height:16.5pt;width:12pt;" o:ole="t" filled="f" o:preferrelative="t" stroked="f" coordsize="21600,21600">
                  <v:path/>
                  <v:fill on="f" focussize="0,0"/>
                  <v:stroke on="f" joinstyle="miter"/>
                  <v:imagedata r:id="rId55" o:title=""/>
                  <o:lock v:ext="edit" aspectratio="t"/>
                  <w10:wrap type="none"/>
                  <w10:anchorlock/>
                </v:shape>
                <o:OLEObject Type="Embed" ProgID="Equation.3" ShapeID="_x0000_i1038" DrawAspect="Content" ObjectID="_1468075738" r:id="rId54">
                  <o:LockedField>false</o:LockedField>
                </o:OLEObject>
              </w:object>
            </w:r>
            <w:r>
              <w:rPr>
                <w:rFonts w:hint="default"/>
                <w:bCs/>
                <w:color w:val="auto"/>
                <w:sz w:val="24"/>
                <w:highlight w:val="none"/>
                <w:lang w:val="pt-BR"/>
              </w:rPr>
              <w:t>——</w:t>
            </w:r>
            <w:r>
              <w:rPr>
                <w:rFonts w:hint="eastAsia"/>
                <w:bCs/>
                <w:color w:val="auto"/>
                <w:sz w:val="24"/>
                <w:highlight w:val="none"/>
              </w:rPr>
              <w:t>指向性因数；通常对无指向性声源，当声源放在房间中心时，</w:t>
            </w:r>
            <w:r>
              <w:rPr>
                <w:rFonts w:hint="default"/>
                <w:bCs/>
                <w:color w:val="auto"/>
                <w:sz w:val="24"/>
                <w:highlight w:val="none"/>
              </w:rPr>
              <w:t>Q=1</w:t>
            </w:r>
            <w:r>
              <w:rPr>
                <w:rFonts w:hint="eastAsia"/>
                <w:bCs/>
                <w:color w:val="auto"/>
                <w:sz w:val="24"/>
                <w:highlight w:val="none"/>
              </w:rPr>
              <w:t xml:space="preserve">；当放在一面墙的中 </w:t>
            </w:r>
          </w:p>
          <w:p w14:paraId="40022560">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eastAsia"/>
                <w:bCs/>
                <w:color w:val="auto"/>
                <w:sz w:val="24"/>
                <w:highlight w:val="none"/>
              </w:rPr>
              <w:t>心时，</w:t>
            </w:r>
            <w:r>
              <w:rPr>
                <w:rFonts w:hint="default"/>
                <w:bCs/>
                <w:color w:val="auto"/>
                <w:sz w:val="24"/>
                <w:highlight w:val="none"/>
              </w:rPr>
              <w:t>Q=2</w:t>
            </w:r>
            <w:r>
              <w:rPr>
                <w:rFonts w:hint="eastAsia"/>
                <w:bCs/>
                <w:color w:val="auto"/>
                <w:sz w:val="24"/>
                <w:highlight w:val="none"/>
              </w:rPr>
              <w:t>；当放在两面墙夹角处时，</w:t>
            </w:r>
            <w:r>
              <w:rPr>
                <w:rFonts w:hint="default"/>
                <w:bCs/>
                <w:color w:val="auto"/>
                <w:sz w:val="24"/>
                <w:highlight w:val="none"/>
              </w:rPr>
              <w:t>Q=4</w:t>
            </w:r>
            <w:r>
              <w:rPr>
                <w:rFonts w:hint="eastAsia"/>
                <w:bCs/>
                <w:color w:val="auto"/>
                <w:sz w:val="24"/>
                <w:highlight w:val="none"/>
              </w:rPr>
              <w:t>；当放在三面墙夹角处时，</w:t>
            </w:r>
            <w:r>
              <w:rPr>
                <w:rFonts w:hint="default"/>
                <w:bCs/>
                <w:color w:val="auto"/>
                <w:sz w:val="24"/>
                <w:highlight w:val="none"/>
              </w:rPr>
              <w:t>Q=8；</w:t>
            </w:r>
          </w:p>
          <w:p w14:paraId="2D60AA45">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object>
                <v:shape id="_x0000_i1039" o:spt="75" type="#_x0000_t75" style="height:12pt;width:12pt;" o:ole="t" filled="f" o:preferrelative="t" stroked="f" coordsize="21600,21600">
                  <v:path/>
                  <v:fill on="f" focussize="0,0"/>
                  <v:stroke on="f" joinstyle="miter"/>
                  <v:imagedata r:id="rId57" o:title=""/>
                  <o:lock v:ext="edit" aspectratio="t"/>
                  <w10:wrap type="none"/>
                  <w10:anchorlock/>
                </v:shape>
                <o:OLEObject Type="Embed" ProgID="Equation.3" ShapeID="_x0000_i1039" DrawAspect="Content" ObjectID="_1468075739" r:id="rId56">
                  <o:LockedField>false</o:LockedField>
                </o:OLEObject>
              </w:object>
            </w:r>
            <w:r>
              <w:rPr>
                <w:rFonts w:hint="default"/>
                <w:bCs/>
                <w:color w:val="auto"/>
                <w:sz w:val="24"/>
                <w:highlight w:val="none"/>
                <w:lang w:val="pt-BR"/>
              </w:rPr>
              <w:t>——</w:t>
            </w:r>
            <w:r>
              <w:rPr>
                <w:rFonts w:hint="default"/>
                <w:bCs/>
                <w:color w:val="auto"/>
                <w:sz w:val="24"/>
                <w:highlight w:val="none"/>
              </w:rPr>
              <w:t>房间常数，</w:t>
            </w:r>
            <w:r>
              <w:rPr>
                <w:rFonts w:hint="default"/>
                <w:bCs/>
                <w:color w:val="auto"/>
                <w:sz w:val="24"/>
                <w:highlight w:val="none"/>
              </w:rPr>
              <w:object>
                <v:shape id="_x0000_i1040" o:spt="75" type="#_x0000_t75" style="height:16.5pt;width:77.25pt;" o:ole="t" filled="f" o:preferrelative="t" stroked="f" coordsize="21600,21600">
                  <v:path/>
                  <v:fill on="f" focussize="0,0"/>
                  <v:stroke on="f" joinstyle="miter"/>
                  <v:imagedata r:id="rId59" o:title=""/>
                  <o:lock v:ext="edit" aspectratio="t"/>
                  <w10:wrap type="none"/>
                  <w10:anchorlock/>
                </v:shape>
                <o:OLEObject Type="Embed" ProgID="Equation.3" ShapeID="_x0000_i1040" DrawAspect="Content" ObjectID="_1468075740" r:id="rId58">
                  <o:LockedField>false</o:LockedField>
                </o:OLEObject>
              </w:object>
            </w:r>
            <w:r>
              <w:rPr>
                <w:rFonts w:hint="default"/>
                <w:bCs/>
                <w:color w:val="auto"/>
                <w:sz w:val="24"/>
                <w:highlight w:val="none"/>
              </w:rPr>
              <w:t>，</w:t>
            </w:r>
            <w:r>
              <w:rPr>
                <w:rFonts w:hint="default"/>
                <w:bCs/>
                <w:color w:val="auto"/>
                <w:sz w:val="24"/>
                <w:highlight w:val="none"/>
              </w:rPr>
              <w:object>
                <v:shape id="_x0000_i1041" o:spt="75" type="#_x0000_t75" style="height:13.5pt;width:11.25pt;" o:ole="t" filled="f" o:preferrelative="t" stroked="f" coordsize="21600,21600">
                  <v:path/>
                  <v:fill on="f" focussize="0,0"/>
                  <v:stroke on="f" joinstyle="miter"/>
                  <v:imagedata r:id="rId61" o:title=""/>
                  <o:lock v:ext="edit" aspectratio="t"/>
                  <w10:wrap type="none"/>
                  <w10:anchorlock/>
                </v:shape>
                <o:OLEObject Type="Embed" ProgID="Equation.3" ShapeID="_x0000_i1041" DrawAspect="Content" ObjectID="_1468075741" r:id="rId60">
                  <o:LockedField>false</o:LockedField>
                </o:OLEObject>
              </w:object>
            </w:r>
            <w:r>
              <w:rPr>
                <w:rFonts w:hint="default"/>
                <w:bCs/>
                <w:color w:val="auto"/>
                <w:sz w:val="24"/>
                <w:highlight w:val="none"/>
              </w:rPr>
              <w:t>为房间内表面面积，㎡，</w:t>
            </w:r>
            <w:r>
              <w:rPr>
                <w:rFonts w:hint="default"/>
                <w:bCs/>
                <w:color w:val="auto"/>
                <w:sz w:val="24"/>
                <w:highlight w:val="none"/>
              </w:rPr>
              <w:object>
                <v:shape id="_x0000_i1042" o:spt="75" type="#_x0000_t75" style="height:11.25pt;width:12pt;" o:ole="t" filled="f" o:preferrelative="t" stroked="f" coordsize="21600,21600">
                  <v:path/>
                  <v:fill on="f" focussize="0,0"/>
                  <v:stroke on="f" joinstyle="miter"/>
                  <v:imagedata r:id="rId63" o:title=""/>
                  <o:lock v:ext="edit" aspectratio="t"/>
                  <w10:wrap type="none"/>
                  <w10:anchorlock/>
                </v:shape>
                <o:OLEObject Type="Embed" ProgID="Equation.3" ShapeID="_x0000_i1042" DrawAspect="Content" ObjectID="_1468075742" r:id="rId62">
                  <o:LockedField>false</o:LockedField>
                </o:OLEObject>
              </w:object>
            </w:r>
            <w:r>
              <w:rPr>
                <w:rFonts w:hint="default"/>
                <w:bCs/>
                <w:color w:val="auto"/>
                <w:sz w:val="24"/>
                <w:highlight w:val="none"/>
              </w:rPr>
              <w:t>为平均吸声系数。</w:t>
            </w:r>
          </w:p>
          <w:p w14:paraId="7070DD19">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t>②计算出所有室内声源在靠近围护结构处产生的</w:t>
            </w:r>
            <w:r>
              <w:rPr>
                <w:rFonts w:hint="default"/>
                <w:bCs/>
                <w:color w:val="auto"/>
                <w:sz w:val="24"/>
                <w:highlight w:val="none"/>
              </w:rPr>
              <w:object>
                <v:shape id="_x0000_i1043" o:spt="75" type="#_x0000_t75" style="height:12pt;width:6.75pt;" o:ole="t" filled="f" o:preferrelative="t" stroked="f" coordsize="21600,21600">
                  <v:path/>
                  <v:fill on="f" focussize="0,0"/>
                  <v:stroke on="f" joinstyle="miter"/>
                  <v:imagedata r:id="rId65" o:title=""/>
                  <o:lock v:ext="edit" aspectratio="t"/>
                  <w10:wrap type="none"/>
                  <w10:anchorlock/>
                </v:shape>
                <o:OLEObject Type="Embed" ProgID="Equation.3" ShapeID="_x0000_i1043" DrawAspect="Content" ObjectID="_1468075743" r:id="rId64">
                  <o:LockedField>false</o:LockedField>
                </o:OLEObject>
              </w:object>
            </w:r>
            <w:r>
              <w:rPr>
                <w:rFonts w:hint="default"/>
                <w:bCs/>
                <w:color w:val="auto"/>
                <w:sz w:val="24"/>
                <w:highlight w:val="none"/>
              </w:rPr>
              <w:t>倍频带叠加声压级：</w:t>
            </w:r>
          </w:p>
          <w:p w14:paraId="34DF0597">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object>
                <v:shape id="_x0000_i1044" o:spt="75" type="#_x0000_t75" style="height:35.25pt;width:130.5pt;" o:ole="t" filled="f" o:preferrelative="t" stroked="f" coordsize="21600,21600">
                  <v:path/>
                  <v:fill on="f" focussize="0,0"/>
                  <v:stroke on="f" joinstyle="miter"/>
                  <v:imagedata r:id="rId67" o:title=""/>
                  <o:lock v:ext="edit" aspectratio="t"/>
                  <w10:wrap type="none"/>
                  <w10:anchorlock/>
                </v:shape>
                <o:OLEObject Type="Embed" ProgID="Equation.3" ShapeID="_x0000_i1044" DrawAspect="Content" ObjectID="_1468075744" r:id="rId66">
                  <o:LockedField>false</o:LockedField>
                </o:OLEObject>
              </w:object>
            </w:r>
          </w:p>
          <w:p w14:paraId="6AE62EEB">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lang w:val="pt-BR"/>
              </w:rPr>
            </w:pPr>
            <w:r>
              <w:rPr>
                <w:rFonts w:hint="default"/>
                <w:bCs/>
                <w:color w:val="auto"/>
                <w:sz w:val="24"/>
                <w:highlight w:val="none"/>
              </w:rPr>
              <w:t>式中：</w:t>
            </w:r>
            <w:r>
              <w:rPr>
                <w:rFonts w:hint="default"/>
                <w:bCs/>
                <w:color w:val="auto"/>
                <w:sz w:val="24"/>
                <w:highlight w:val="none"/>
              </w:rPr>
              <w:object>
                <v:shape id="_x0000_i1045" o:spt="75" type="#_x0000_t75" style="height:18.75pt;width:36.75pt;" o:ole="t" filled="f" o:preferrelative="t" stroked="f" coordsize="21600,21600">
                  <v:path/>
                  <v:fill on="f" focussize="0,0"/>
                  <v:stroke on="f" joinstyle="miter"/>
                  <v:imagedata r:id="rId69" o:title=""/>
                  <o:lock v:ext="edit" aspectratio="t"/>
                  <w10:wrap type="none"/>
                  <w10:anchorlock/>
                </v:shape>
                <o:OLEObject Type="Embed" ProgID="Equation.3" ShapeID="_x0000_i1045" DrawAspect="Content" ObjectID="_1468075745" r:id="rId68">
                  <o:LockedField>false</o:LockedField>
                </o:OLEObject>
              </w:object>
            </w:r>
            <w:r>
              <w:rPr>
                <w:rFonts w:hint="default"/>
                <w:bCs/>
                <w:color w:val="auto"/>
                <w:sz w:val="24"/>
                <w:highlight w:val="none"/>
                <w:lang w:val="pt-BR"/>
              </w:rPr>
              <w:t>——靠近围护结构处室内N个声源</w:t>
            </w:r>
            <w:r>
              <w:rPr>
                <w:rFonts w:hint="default"/>
                <w:bCs/>
                <w:color w:val="auto"/>
                <w:sz w:val="24"/>
                <w:highlight w:val="none"/>
              </w:rPr>
              <w:object>
                <v:shape id="_x0000_i1046" o:spt="75" type="#_x0000_t75" style="height:12pt;width:6.75pt;" o:ole="t" filled="f" o:preferrelative="t" stroked="f" coordsize="21600,21600">
                  <v:path/>
                  <v:fill on="f" focussize="0,0"/>
                  <v:stroke on="f" joinstyle="miter"/>
                  <v:imagedata r:id="rId71" o:title=""/>
                  <o:lock v:ext="edit" aspectratio="t"/>
                  <w10:wrap type="none"/>
                  <w10:anchorlock/>
                </v:shape>
                <o:OLEObject Type="Embed" ProgID="Equation.3" ShapeID="_x0000_i1046" DrawAspect="Content" ObjectID="_1468075746" r:id="rId70">
                  <o:LockedField>false</o:LockedField>
                </o:OLEObject>
              </w:object>
            </w:r>
            <w:r>
              <w:rPr>
                <w:rFonts w:hint="default"/>
                <w:bCs/>
                <w:color w:val="auto"/>
                <w:sz w:val="24"/>
                <w:highlight w:val="none"/>
                <w:lang w:val="pt-BR"/>
              </w:rPr>
              <w:t>倍频带的叠加声压级，dB；</w:t>
            </w:r>
          </w:p>
          <w:p w14:paraId="1BA2EF00">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lang w:val="pt-BR"/>
              </w:rPr>
            </w:pPr>
            <w:r>
              <w:rPr>
                <w:rFonts w:hint="default"/>
                <w:bCs/>
                <w:color w:val="auto"/>
                <w:sz w:val="24"/>
                <w:highlight w:val="none"/>
              </w:rPr>
              <w:object>
                <v:shape id="_x0000_i1047" o:spt="75" type="#_x0000_t75" style="height:18.75pt;width:24pt;" o:ole="t" filled="f" o:preferrelative="t" stroked="f" coordsize="21600,21600">
                  <v:path/>
                  <v:fill on="f" focussize="0,0"/>
                  <v:stroke on="f" joinstyle="miter"/>
                  <v:imagedata r:id="rId73" o:title=""/>
                  <o:lock v:ext="edit" aspectratio="t"/>
                  <w10:wrap type="none"/>
                  <w10:anchorlock/>
                </v:shape>
                <o:OLEObject Type="Embed" ProgID="Equation.3" ShapeID="_x0000_i1047" DrawAspect="Content" ObjectID="_1468075747" r:id="rId72">
                  <o:LockedField>false</o:LockedField>
                </o:OLEObject>
              </w:object>
            </w:r>
            <w:r>
              <w:rPr>
                <w:rFonts w:hint="default"/>
                <w:bCs/>
                <w:color w:val="auto"/>
                <w:sz w:val="24"/>
                <w:highlight w:val="none"/>
                <w:lang w:val="pt-BR"/>
              </w:rPr>
              <w:t>——室内</w:t>
            </w:r>
            <w:r>
              <w:rPr>
                <w:rFonts w:hint="default"/>
                <w:bCs/>
                <w:color w:val="auto"/>
                <w:sz w:val="24"/>
                <w:highlight w:val="none"/>
              </w:rPr>
              <w:object>
                <v:shape id="_x0000_i1048" o:spt="75" type="#_x0000_t75" style="height:13.5pt;width:7.5pt;" o:ole="t" filled="f" o:preferrelative="t" stroked="f" coordsize="21600,21600">
                  <v:path/>
                  <v:fill on="f" focussize="0,0"/>
                  <v:stroke on="f" joinstyle="miter"/>
                  <v:imagedata r:id="rId75" o:title=""/>
                  <o:lock v:ext="edit" aspectratio="t"/>
                  <w10:wrap type="none"/>
                  <w10:anchorlock/>
                </v:shape>
                <o:OLEObject Type="Embed" ProgID="Equation.3" ShapeID="_x0000_i1048" DrawAspect="Content" ObjectID="_1468075748" r:id="rId74">
                  <o:LockedField>false</o:LockedField>
                </o:OLEObject>
              </w:object>
            </w:r>
            <w:r>
              <w:rPr>
                <w:rFonts w:hint="default"/>
                <w:bCs/>
                <w:color w:val="auto"/>
                <w:sz w:val="24"/>
                <w:highlight w:val="none"/>
                <w:lang w:val="pt-BR"/>
              </w:rPr>
              <w:t>声源</w:t>
            </w:r>
            <w:r>
              <w:rPr>
                <w:rFonts w:hint="default"/>
                <w:bCs/>
                <w:color w:val="auto"/>
                <w:sz w:val="24"/>
                <w:highlight w:val="none"/>
              </w:rPr>
              <w:object>
                <v:shape id="_x0000_i1049" o:spt="75" type="#_x0000_t75" style="height:12pt;width:6.75pt;" o:ole="t" filled="f" o:preferrelative="t" stroked="f" coordsize="21600,21600">
                  <v:path/>
                  <v:fill on="f" focussize="0,0"/>
                  <v:stroke on="f" joinstyle="miter"/>
                  <v:imagedata r:id="rId71" o:title=""/>
                  <o:lock v:ext="edit" aspectratio="t"/>
                  <w10:wrap type="none"/>
                  <w10:anchorlock/>
                </v:shape>
                <o:OLEObject Type="Embed" ProgID="Equation.3" ShapeID="_x0000_i1049" DrawAspect="Content" ObjectID="_1468075749" r:id="rId76">
                  <o:LockedField>false</o:LockedField>
                </o:OLEObject>
              </w:object>
            </w:r>
            <w:r>
              <w:rPr>
                <w:rFonts w:hint="default"/>
                <w:bCs/>
                <w:color w:val="auto"/>
                <w:sz w:val="24"/>
                <w:highlight w:val="none"/>
                <w:lang w:val="pt-BR"/>
              </w:rPr>
              <w:t>倍频带的声压级，dB；</w:t>
            </w:r>
          </w:p>
          <w:p w14:paraId="54B78FC4">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object>
                <v:shape id="_x0000_i1050" o:spt="75" type="#_x0000_t75" style="height:13.5pt;width:13.5pt;" o:ole="t" filled="f" o:preferrelative="t" stroked="f" coordsize="21600,21600">
                  <v:path/>
                  <v:fill on="f" focussize="0,0"/>
                  <v:stroke on="f" joinstyle="miter"/>
                  <v:imagedata r:id="rId78" o:title=""/>
                  <o:lock v:ext="edit" aspectratio="t"/>
                  <w10:wrap type="none"/>
                  <w10:anchorlock/>
                </v:shape>
                <o:OLEObject Type="Embed" ProgID="Equation.3" ShapeID="_x0000_i1050" DrawAspect="Content" ObjectID="_1468075750" r:id="rId77">
                  <o:LockedField>false</o:LockedField>
                </o:OLEObject>
              </w:object>
            </w:r>
            <w:r>
              <w:rPr>
                <w:rFonts w:hint="default"/>
                <w:bCs/>
                <w:color w:val="auto"/>
                <w:sz w:val="24"/>
                <w:highlight w:val="none"/>
                <w:lang w:val="pt-BR"/>
              </w:rPr>
              <w:t>——室内声源总数。</w:t>
            </w:r>
          </w:p>
          <w:p w14:paraId="211337F5">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t>③计算出室外靠近围护结构处的声压级：</w:t>
            </w:r>
          </w:p>
          <w:p w14:paraId="79567F1A">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object>
                <v:shape id="_x0000_i1051" o:spt="75" type="#_x0000_t75" style="height:18.75pt;width:138.75pt;" o:ole="t" filled="f" o:preferrelative="t" stroked="f" coordsize="21600,21600">
                  <v:path/>
                  <v:fill on="f" focussize="0,0"/>
                  <v:stroke on="f" joinstyle="miter"/>
                  <v:imagedata r:id="rId80" o:title=""/>
                  <o:lock v:ext="edit" aspectratio="t"/>
                  <w10:wrap type="none"/>
                  <w10:anchorlock/>
                </v:shape>
                <o:OLEObject Type="Embed" ProgID="Equation.3" ShapeID="_x0000_i1051" DrawAspect="Content" ObjectID="_1468075751" r:id="rId79">
                  <o:LockedField>false</o:LockedField>
                </o:OLEObject>
              </w:object>
            </w:r>
          </w:p>
          <w:p w14:paraId="06570521">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lang w:val="pt-BR"/>
              </w:rPr>
            </w:pPr>
            <w:r>
              <w:rPr>
                <w:rFonts w:hint="default"/>
                <w:bCs/>
                <w:color w:val="auto"/>
                <w:sz w:val="24"/>
                <w:highlight w:val="none"/>
              </w:rPr>
              <w:t>式中：</w:t>
            </w:r>
            <w:r>
              <w:rPr>
                <w:rFonts w:hint="default"/>
                <w:bCs/>
                <w:color w:val="auto"/>
                <w:sz w:val="24"/>
                <w:highlight w:val="none"/>
              </w:rPr>
              <w:object>
                <v:shape id="_x0000_i1052" o:spt="75" type="#_x0000_t75" style="height:18.75pt;width:41.25pt;" o:ole="t" filled="f" o:preferrelative="t" stroked="f" coordsize="21600,21600">
                  <v:path/>
                  <v:fill on="f" focussize="0,0"/>
                  <v:stroke on="f" joinstyle="miter"/>
                  <v:imagedata r:id="rId82" o:title=""/>
                  <o:lock v:ext="edit" aspectratio="t"/>
                  <w10:wrap type="none"/>
                  <w10:anchorlock/>
                </v:shape>
                <o:OLEObject Type="Embed" ProgID="Equation.3" ShapeID="_x0000_i1052" DrawAspect="Content" ObjectID="_1468075752" r:id="rId81">
                  <o:LockedField>false</o:LockedField>
                </o:OLEObject>
              </w:object>
            </w:r>
            <w:r>
              <w:rPr>
                <w:rFonts w:hint="default"/>
                <w:bCs/>
                <w:color w:val="auto"/>
                <w:sz w:val="24"/>
                <w:highlight w:val="none"/>
                <w:lang w:val="pt-BR"/>
              </w:rPr>
              <w:t>——靠近围护结构处室外N个声源</w:t>
            </w:r>
            <w:r>
              <w:rPr>
                <w:rFonts w:hint="default"/>
                <w:bCs/>
                <w:color w:val="auto"/>
                <w:sz w:val="24"/>
                <w:highlight w:val="none"/>
              </w:rPr>
              <w:object>
                <v:shape id="_x0000_i1053" o:spt="75" type="#_x0000_t75" style="height:12pt;width:6.75pt;" o:ole="t" filled="f" o:preferrelative="t" stroked="f" coordsize="21600,21600">
                  <v:path/>
                  <v:fill on="f" focussize="0,0"/>
                  <v:stroke on="f" joinstyle="miter"/>
                  <v:imagedata r:id="rId71" o:title=""/>
                  <o:lock v:ext="edit" aspectratio="t"/>
                  <w10:wrap type="none"/>
                  <w10:anchorlock/>
                </v:shape>
                <o:OLEObject Type="Embed" ProgID="Equation.3" ShapeID="_x0000_i1053" DrawAspect="Content" ObjectID="_1468075753" r:id="rId83">
                  <o:LockedField>false</o:LockedField>
                </o:OLEObject>
              </w:object>
            </w:r>
            <w:r>
              <w:rPr>
                <w:rFonts w:hint="default"/>
                <w:bCs/>
                <w:color w:val="auto"/>
                <w:sz w:val="24"/>
                <w:highlight w:val="none"/>
                <w:lang w:val="pt-BR"/>
              </w:rPr>
              <w:t>倍频带的叠加声压级，dB；</w:t>
            </w:r>
          </w:p>
          <w:p w14:paraId="536C800E">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object>
                <v:shape id="_x0000_i1054" o:spt="75" type="#_x0000_t75" style="height:18.75pt;width:18.75pt;" o:ole="t" filled="f" o:preferrelative="t" stroked="f" coordsize="21600,21600">
                  <v:path/>
                  <v:fill on="f" focussize="0,0"/>
                  <v:stroke on="f" joinstyle="miter"/>
                  <v:imagedata r:id="rId85" o:title=""/>
                  <o:lock v:ext="edit" aspectratio="t"/>
                  <w10:wrap type="none"/>
                  <w10:anchorlock/>
                </v:shape>
                <o:OLEObject Type="Embed" ProgID="Equation.3" ShapeID="_x0000_i1054" DrawAspect="Content" ObjectID="_1468075754" r:id="rId84">
                  <o:LockedField>false</o:LockedField>
                </o:OLEObject>
              </w:object>
            </w:r>
            <w:r>
              <w:rPr>
                <w:rFonts w:hint="default"/>
                <w:bCs/>
                <w:color w:val="auto"/>
                <w:sz w:val="24"/>
                <w:highlight w:val="none"/>
                <w:lang w:val="pt-BR"/>
              </w:rPr>
              <w:t>——围护结构</w:t>
            </w:r>
            <w:r>
              <w:rPr>
                <w:rFonts w:hint="default"/>
                <w:bCs/>
                <w:color w:val="auto"/>
                <w:sz w:val="24"/>
                <w:highlight w:val="none"/>
              </w:rPr>
              <w:object>
                <v:shape id="_x0000_i1055" o:spt="75" type="#_x0000_t75" style="height:12pt;width:6.75pt;" o:ole="t" filled="f" o:preferrelative="t" stroked="f" coordsize="21600,21600">
                  <v:path/>
                  <v:fill on="f" focussize="0,0"/>
                  <v:stroke on="f" joinstyle="miter"/>
                  <v:imagedata r:id="rId71" o:title=""/>
                  <o:lock v:ext="edit" aspectratio="t"/>
                  <w10:wrap type="none"/>
                  <w10:anchorlock/>
                </v:shape>
                <o:OLEObject Type="Embed" ProgID="Equation.3" ShapeID="_x0000_i1055" DrawAspect="Content" ObjectID="_1468075755" r:id="rId86">
                  <o:LockedField>false</o:LockedField>
                </o:OLEObject>
              </w:object>
            </w:r>
            <w:r>
              <w:rPr>
                <w:rFonts w:hint="default"/>
                <w:bCs/>
                <w:color w:val="auto"/>
                <w:sz w:val="24"/>
                <w:highlight w:val="none"/>
                <w:lang w:val="pt-BR"/>
              </w:rPr>
              <w:t>倍频带的隔声量，dB；</w:t>
            </w:r>
          </w:p>
          <w:p w14:paraId="0479745A">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t>④将室外声源的声压级和透过面积换算成等效的室外声源，计算出中心位置位于透声面积（S）处的等效声源的倍频带声功率级。</w:t>
            </w:r>
          </w:p>
          <w:p w14:paraId="42715D50">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pict>
                <v:shape id="_x0000_s1034" o:spid="_x0000_s1034" o:spt="75" type="#_x0000_t75" style="position:absolute;left:0pt;margin-left:26.05pt;margin-top:0.9pt;height:18.75pt;width:106.5pt;z-index:251666432;mso-width-relative:page;mso-height-relative:page;" o:ole="t" filled="f" o:preferrelative="t" stroked="f" coordsize="21600,21600">
                  <v:path/>
                  <v:fill on="f" focussize="0,0"/>
                  <v:stroke on="f" joinstyle="miter"/>
                  <v:imagedata r:id="rId88" o:title=""/>
                  <o:lock v:ext="edit" aspectratio="t"/>
                </v:shape>
                <o:OLEObject Type="Embed" ProgID="Equation.3" ShapeID="_x0000_s1034" DrawAspect="Content" ObjectID="_1468075756" r:id="rId87">
                  <o:LockedField>false</o:LockedField>
                </o:OLEObject>
              </w:pict>
            </w:r>
          </w:p>
          <w:p w14:paraId="12159DE2">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t>⑤等效室外声源的位置为围护结构的位置，其倍频带声功率级为</w:t>
            </w:r>
            <w:r>
              <w:rPr>
                <w:rFonts w:hint="default"/>
                <w:bCs/>
                <w:color w:val="auto"/>
                <w:sz w:val="24"/>
                <w:highlight w:val="none"/>
              </w:rPr>
              <w:object>
                <v:shape id="_x0000_i1056" o:spt="75" type="#_x0000_t75" style="height:18.75pt;width:16.5pt;" o:ole="t" filled="f" o:preferrelative="t" stroked="f" coordsize="21600,21600">
                  <v:path/>
                  <v:fill on="f" focussize="0,0"/>
                  <v:stroke on="f" joinstyle="miter"/>
                  <v:imagedata r:id="rId90" o:title=""/>
                  <o:lock v:ext="edit" aspectratio="t"/>
                  <w10:wrap type="none"/>
                  <w10:anchorlock/>
                </v:shape>
                <o:OLEObject Type="Embed" ProgID="Equation.3" ShapeID="_x0000_i1056" DrawAspect="Content" ObjectID="_1468075757" r:id="rId89">
                  <o:LockedField>false</o:LockedField>
                </o:OLEObject>
              </w:object>
            </w:r>
            <w:r>
              <w:rPr>
                <w:rFonts w:hint="default"/>
                <w:bCs/>
                <w:color w:val="auto"/>
                <w:sz w:val="24"/>
                <w:highlight w:val="none"/>
              </w:rPr>
              <w:t>，根据厂房结构（门、窗）和预测点的位置关系，分别按照面声源、线声源和点声源的衰减模式，计算预测点处的声级。</w:t>
            </w:r>
          </w:p>
          <w:p w14:paraId="62569614">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t>假设窗户的宽度为a，高度为b，窗户个数为n；预测点距墙中心的距离为</w:t>
            </w:r>
            <w:r>
              <w:rPr>
                <w:rFonts w:hint="default"/>
                <w:bCs/>
                <w:color w:val="auto"/>
                <w:sz w:val="24"/>
                <w:highlight w:val="none"/>
              </w:rPr>
              <w:object>
                <v:shape id="_x0000_i1057" o:spt="75" type="#_x0000_t75" style="height:7.5pt;width:7.5pt;" o:ole="t" filled="f" o:preferrelative="t" stroked="f" coordsize="21600,21600">
                  <v:path/>
                  <v:fill on="f" focussize="0,0"/>
                  <v:stroke on="f" joinstyle="miter"/>
                  <v:imagedata r:id="rId92" o:title=""/>
                  <o:lock v:ext="edit" aspectratio="t"/>
                  <w10:wrap type="none"/>
                  <w10:anchorlock/>
                </v:shape>
                <o:OLEObject Type="Embed" ProgID="Equation.3" ShapeID="_x0000_i1057" DrawAspect="Content" ObjectID="_1468075758" r:id="rId91">
                  <o:LockedField>false</o:LockedField>
                </o:OLEObject>
              </w:object>
            </w:r>
            <w:r>
              <w:rPr>
                <w:rFonts w:hint="default"/>
                <w:bCs/>
                <w:color w:val="auto"/>
                <w:sz w:val="24"/>
                <w:highlight w:val="none"/>
              </w:rPr>
              <w:t>。预测点的声级按照下述公式进行预测：</w:t>
            </w:r>
          </w:p>
          <w:p w14:paraId="2EC87933">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t>当</w:t>
            </w:r>
            <w:r>
              <w:rPr>
                <w:rFonts w:hint="default"/>
                <w:bCs/>
                <w:color w:val="auto"/>
                <w:sz w:val="24"/>
                <w:highlight w:val="none"/>
              </w:rPr>
              <w:object>
                <v:shape id="_x0000_i1058" o:spt="75" type="#_x0000_t75" style="height:30pt;width:30pt;" o:ole="t" filled="f" o:preferrelative="t" stroked="f" coordsize="21600,21600">
                  <v:path/>
                  <v:fill on="f" focussize="0,0"/>
                  <v:stroke on="f" joinstyle="miter"/>
                  <v:imagedata r:id="rId94" o:title=""/>
                  <o:lock v:ext="edit" aspectratio="t"/>
                  <w10:wrap type="none"/>
                  <w10:anchorlock/>
                </v:shape>
                <o:OLEObject Type="Embed" ProgID="Equation.3" ShapeID="_x0000_i1058" DrawAspect="Content" ObjectID="_1468075759" r:id="rId93">
                  <o:LockedField>false</o:LockedField>
                </o:OLEObject>
              </w:object>
            </w:r>
            <w:r>
              <w:rPr>
                <w:rFonts w:hint="default"/>
                <w:bCs/>
                <w:color w:val="auto"/>
                <w:sz w:val="24"/>
                <w:highlight w:val="none"/>
              </w:rPr>
              <w:t>时，</w:t>
            </w:r>
            <w:r>
              <w:rPr>
                <w:rFonts w:hint="default"/>
                <w:bCs/>
                <w:color w:val="auto"/>
                <w:sz w:val="24"/>
                <w:highlight w:val="none"/>
              </w:rPr>
              <w:object>
                <v:shape id="_x0000_i1059" o:spt="75" type="#_x0000_t75" style="height:17.25pt;width:54.75pt;" o:ole="t" filled="f" o:preferrelative="t" stroked="f" coordsize="21600,21600">
                  <v:path/>
                  <v:fill on="f" focussize="0,0"/>
                  <v:stroke on="f" joinstyle="miter"/>
                  <v:imagedata r:id="rId96" o:title=""/>
                  <o:lock v:ext="edit" aspectratio="t"/>
                  <w10:wrap type="none"/>
                  <w10:anchorlock/>
                </v:shape>
                <o:OLEObject Type="Embed" ProgID="Equation.3" ShapeID="_x0000_i1059" DrawAspect="Content" ObjectID="_1468075760" r:id="rId95">
                  <o:LockedField>false</o:LockedField>
                </o:OLEObject>
              </w:object>
            </w:r>
            <w:r>
              <w:rPr>
                <w:rFonts w:hint="default"/>
                <w:bCs/>
                <w:color w:val="auto"/>
                <w:sz w:val="24"/>
                <w:highlight w:val="none"/>
              </w:rPr>
              <w:t>（即按面声源处理）；</w:t>
            </w:r>
          </w:p>
          <w:p w14:paraId="5BDE5DA3">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t>当</w:t>
            </w:r>
            <w:r>
              <w:rPr>
                <w:rFonts w:hint="default"/>
                <w:bCs/>
                <w:color w:val="auto"/>
                <w:sz w:val="24"/>
                <w:highlight w:val="none"/>
              </w:rPr>
              <w:object>
                <v:shape id="_x0000_i1060" o:spt="75" type="#_x0000_t75" style="height:30pt;width:58.5pt;" o:ole="t" filled="f" o:preferrelative="t" stroked="f" coordsize="21600,21600">
                  <v:path/>
                  <v:fill on="f" focussize="0,0"/>
                  <v:stroke on="f" joinstyle="miter"/>
                  <v:imagedata r:id="rId98" o:title=""/>
                  <o:lock v:ext="edit" aspectratio="t"/>
                  <w10:wrap type="none"/>
                  <w10:anchorlock/>
                </v:shape>
                <o:OLEObject Type="Embed" ProgID="Equation.3" ShapeID="_x0000_i1060" DrawAspect="Content" ObjectID="_1468075761" r:id="rId97">
                  <o:LockedField>false</o:LockedField>
                </o:OLEObject>
              </w:object>
            </w:r>
            <w:r>
              <w:rPr>
                <w:rFonts w:hint="default"/>
                <w:bCs/>
                <w:color w:val="auto"/>
                <w:sz w:val="24"/>
                <w:highlight w:val="none"/>
              </w:rPr>
              <w:t>时，</w:t>
            </w:r>
            <w:r>
              <w:rPr>
                <w:rFonts w:hint="default"/>
                <w:bCs/>
                <w:color w:val="auto"/>
                <w:sz w:val="24"/>
                <w:highlight w:val="none"/>
              </w:rPr>
              <w:object>
                <v:shape id="_x0000_i1061" o:spt="75" type="#_x0000_t75" style="height:30pt;width:97.5pt;" o:ole="t" filled="f" o:preferrelative="t" stroked="f" coordsize="21600,21600">
                  <v:path/>
                  <v:fill on="f" focussize="0,0"/>
                  <v:stroke on="f" joinstyle="miter"/>
                  <v:imagedata r:id="rId100" o:title=""/>
                  <o:lock v:ext="edit" aspectratio="t"/>
                  <w10:wrap type="none"/>
                  <w10:anchorlock/>
                </v:shape>
                <o:OLEObject Type="Embed" ProgID="Equation.3" ShapeID="_x0000_i1061" DrawAspect="Content" ObjectID="_1468075762" r:id="rId99">
                  <o:LockedField>false</o:LockedField>
                </o:OLEObject>
              </w:object>
            </w:r>
            <w:r>
              <w:rPr>
                <w:rFonts w:hint="default"/>
                <w:bCs/>
                <w:color w:val="auto"/>
                <w:sz w:val="24"/>
                <w:highlight w:val="none"/>
              </w:rPr>
              <w:t>（即按线声源处理）；</w:t>
            </w:r>
          </w:p>
          <w:p w14:paraId="7CBB1452">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t>当</w:t>
            </w:r>
            <w:r>
              <w:rPr>
                <w:rFonts w:hint="default"/>
                <w:bCs/>
                <w:color w:val="auto"/>
                <w:sz w:val="24"/>
                <w:highlight w:val="none"/>
              </w:rPr>
              <w:object>
                <v:shape id="_x0000_i1062" o:spt="75" type="#_x0000_t75" style="height:30pt;width:36pt;" o:ole="t" filled="f" o:preferrelative="t" stroked="f" coordsize="21600,21600">
                  <v:path/>
                  <v:fill on="f" focussize="0,0"/>
                  <v:stroke on="f" joinstyle="miter"/>
                  <v:imagedata r:id="rId102" o:title=""/>
                  <o:lock v:ext="edit" aspectratio="t"/>
                  <w10:wrap type="none"/>
                  <w10:anchorlock/>
                </v:shape>
                <o:OLEObject Type="Embed" ProgID="Equation.3" ShapeID="_x0000_i1062" DrawAspect="Content" ObjectID="_1468075763" r:id="rId101">
                  <o:LockedField>false</o:LockedField>
                </o:OLEObject>
              </w:object>
            </w:r>
            <w:r>
              <w:rPr>
                <w:rFonts w:hint="default"/>
                <w:bCs/>
                <w:color w:val="auto"/>
                <w:sz w:val="24"/>
                <w:highlight w:val="none"/>
              </w:rPr>
              <w:t>时，</w:t>
            </w:r>
            <w:r>
              <w:rPr>
                <w:rFonts w:hint="default"/>
                <w:bCs/>
                <w:color w:val="auto"/>
                <w:sz w:val="24"/>
                <w:highlight w:val="none"/>
              </w:rPr>
              <w:object>
                <v:shape id="_x0000_i1063" o:spt="75" type="#_x0000_t75" style="height:30pt;width:107.25pt;" o:ole="t" filled="f" o:preferrelative="t" stroked="f" coordsize="21600,21600">
                  <v:path/>
                  <v:fill on="f" focussize="0,0"/>
                  <v:stroke on="f" joinstyle="miter"/>
                  <v:imagedata r:id="rId104" o:title=""/>
                  <o:lock v:ext="edit" aspectratio="t"/>
                  <w10:wrap type="none"/>
                  <w10:anchorlock/>
                </v:shape>
                <o:OLEObject Type="Embed" ProgID="Equation.3" ShapeID="_x0000_i1063" DrawAspect="Content" ObjectID="_1468075764" r:id="rId103">
                  <o:LockedField>false</o:LockedField>
                </o:OLEObject>
              </w:object>
            </w:r>
            <w:r>
              <w:rPr>
                <w:rFonts w:hint="default"/>
                <w:bCs/>
                <w:color w:val="auto"/>
                <w:sz w:val="24"/>
                <w:highlight w:val="none"/>
              </w:rPr>
              <w:t>（即按点声源处理）；</w:t>
            </w:r>
          </w:p>
          <w:p w14:paraId="30079363">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eastAsia"/>
                <w:bCs/>
                <w:color w:val="auto"/>
                <w:sz w:val="24"/>
                <w:highlight w:val="none"/>
              </w:rPr>
              <w:t>（3）</w:t>
            </w:r>
            <w:r>
              <w:rPr>
                <w:rFonts w:hint="default"/>
                <w:bCs/>
                <w:color w:val="auto"/>
                <w:sz w:val="24"/>
                <w:highlight w:val="none"/>
              </w:rPr>
              <w:t>计算总声压级</w:t>
            </w:r>
          </w:p>
          <w:p w14:paraId="2DAE11B6">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t>①计算本工程各室外噪声源和各含噪声源厂房对各预测点噪声贡献值</w:t>
            </w:r>
          </w:p>
          <w:p w14:paraId="09EA374E">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t>设第</w:t>
            </w:r>
            <w:r>
              <w:rPr>
                <w:rFonts w:hint="default"/>
                <w:bCs/>
                <w:color w:val="auto"/>
                <w:sz w:val="24"/>
                <w:highlight w:val="none"/>
              </w:rPr>
              <w:object>
                <v:shape id="_x0000_i1064" o:spt="75" type="#_x0000_t75" style="height:12pt;width:6.75pt;" o:ole="t" filled="f" o:preferrelative="t" stroked="f" coordsize="21600,21600">
                  <v:path/>
                  <v:fill on="f" focussize="0,0"/>
                  <v:stroke on="f" joinstyle="miter"/>
                  <v:imagedata r:id="rId71" o:title=""/>
                  <o:lock v:ext="edit" aspectratio="t"/>
                  <w10:wrap type="none"/>
                  <w10:anchorlock/>
                </v:shape>
                <o:OLEObject Type="Embed" ProgID="Equation.3" ShapeID="_x0000_i1064" DrawAspect="Content" ObjectID="_1468075765" r:id="rId105">
                  <o:LockedField>false</o:LockedField>
                </o:OLEObject>
              </w:object>
            </w:r>
            <w:r>
              <w:rPr>
                <w:rFonts w:hint="default"/>
                <w:bCs/>
                <w:color w:val="auto"/>
                <w:sz w:val="24"/>
                <w:highlight w:val="none"/>
              </w:rPr>
              <w:t>个室外声源在预测点产生的A声级为</w:t>
            </w:r>
            <w:r>
              <w:rPr>
                <w:rFonts w:hint="default"/>
                <w:bCs/>
                <w:color w:val="auto"/>
                <w:sz w:val="24"/>
                <w:highlight w:val="none"/>
              </w:rPr>
              <w:object>
                <v:shape id="_x0000_i1065" o:spt="75" type="#_x0000_t75" style="height:18.75pt;width:18.75pt;" o:ole="t" filled="f" o:preferrelative="t" stroked="f" coordsize="21600,21600">
                  <v:path/>
                  <v:fill on="f" focussize="0,0"/>
                  <v:stroke on="f" joinstyle="miter"/>
                  <v:imagedata r:id="rId107" o:title=""/>
                  <o:lock v:ext="edit" aspectratio="t"/>
                  <w10:wrap type="none"/>
                  <w10:anchorlock/>
                </v:shape>
                <o:OLEObject Type="Embed" ProgID="Equation.3" ShapeID="_x0000_i1065" DrawAspect="Content" ObjectID="_1468075766" r:id="rId106">
                  <o:LockedField>false</o:LockedField>
                </o:OLEObject>
              </w:object>
            </w:r>
            <w:r>
              <w:rPr>
                <w:rFonts w:hint="default"/>
                <w:bCs/>
                <w:color w:val="auto"/>
                <w:sz w:val="24"/>
                <w:highlight w:val="none"/>
              </w:rPr>
              <w:t>，在T时间内该声源工作时间为</w:t>
            </w:r>
            <w:r>
              <w:rPr>
                <w:rFonts w:hint="default"/>
                <w:bCs/>
                <w:color w:val="auto"/>
                <w:sz w:val="24"/>
                <w:highlight w:val="none"/>
              </w:rPr>
              <w:object>
                <v:shape id="_x0000_i1066" o:spt="75" type="#_x0000_t75" style="height:18.75pt;width:7.5pt;" o:ole="t" filled="f" o:preferrelative="t" stroked="f" coordsize="21600,21600">
                  <v:path/>
                  <v:fill on="f" focussize="0,0"/>
                  <v:stroke on="f" joinstyle="miter"/>
                  <v:imagedata r:id="rId109" o:title=""/>
                  <o:lock v:ext="edit" aspectratio="t"/>
                  <w10:wrap type="none"/>
                  <w10:anchorlock/>
                </v:shape>
                <o:OLEObject Type="Embed" ProgID="Equation.3" ShapeID="_x0000_i1066" DrawAspect="Content" ObjectID="_1468075767" r:id="rId108">
                  <o:LockedField>false</o:LockedField>
                </o:OLEObject>
              </w:object>
            </w:r>
            <w:r>
              <w:rPr>
                <w:rFonts w:hint="default"/>
                <w:bCs/>
                <w:color w:val="auto"/>
                <w:sz w:val="24"/>
                <w:highlight w:val="none"/>
              </w:rPr>
              <w:t>；第</w:t>
            </w:r>
            <w:r>
              <w:rPr>
                <w:rFonts w:hint="default"/>
                <w:bCs/>
                <w:color w:val="auto"/>
                <w:sz w:val="24"/>
                <w:highlight w:val="none"/>
              </w:rPr>
              <w:object>
                <v:shape id="_x0000_i1067" o:spt="75" type="#_x0000_t75" style="height:13.5pt;width:7.5pt;" o:ole="t" filled="f" o:preferrelative="t" stroked="f" coordsize="21600,21600">
                  <v:path/>
                  <v:fill on="f" focussize="0,0"/>
                  <v:stroke on="f" joinstyle="miter"/>
                  <v:imagedata r:id="rId111" o:title=""/>
                  <o:lock v:ext="edit" aspectratio="t"/>
                  <w10:wrap type="none"/>
                  <w10:anchorlock/>
                </v:shape>
                <o:OLEObject Type="Embed" ProgID="Equation.3" ShapeID="_x0000_i1067" DrawAspect="Content" ObjectID="_1468075768" r:id="rId110">
                  <o:LockedField>false</o:LockedField>
                </o:OLEObject>
              </w:object>
            </w:r>
            <w:r>
              <w:rPr>
                <w:rFonts w:hint="default"/>
                <w:bCs/>
                <w:color w:val="auto"/>
                <w:sz w:val="24"/>
                <w:highlight w:val="none"/>
              </w:rPr>
              <w:t>个等效室外声源在预测点产生的A声级为</w:t>
            </w:r>
            <w:r>
              <w:rPr>
                <w:rFonts w:hint="default"/>
                <w:bCs/>
                <w:color w:val="auto"/>
                <w:sz w:val="24"/>
                <w:highlight w:val="none"/>
              </w:rPr>
              <w:object>
                <v:shape id="_x0000_i1068" o:spt="75" type="#_x0000_t75" style="height:18.75pt;width:18.75pt;" o:ole="t" filled="f" o:preferrelative="t" stroked="f" coordsize="21600,21600">
                  <v:path/>
                  <v:fill on="f" focussize="0,0"/>
                  <v:stroke on="f" joinstyle="miter"/>
                  <v:imagedata r:id="rId113" o:title=""/>
                  <o:lock v:ext="edit" aspectratio="t"/>
                  <w10:wrap type="none"/>
                  <w10:anchorlock/>
                </v:shape>
                <o:OLEObject Type="Embed" ProgID="Equation.3" ShapeID="_x0000_i1068" DrawAspect="Content" ObjectID="_1468075769" r:id="rId112">
                  <o:LockedField>false</o:LockedField>
                </o:OLEObject>
              </w:object>
            </w:r>
            <w:r>
              <w:rPr>
                <w:rFonts w:hint="default"/>
                <w:bCs/>
                <w:color w:val="auto"/>
                <w:sz w:val="24"/>
                <w:highlight w:val="none"/>
              </w:rPr>
              <w:t>，在T时间内该声源工作时间为</w:t>
            </w:r>
            <w:r>
              <w:rPr>
                <w:rFonts w:hint="default"/>
                <w:bCs/>
                <w:color w:val="auto"/>
                <w:sz w:val="24"/>
                <w:highlight w:val="none"/>
              </w:rPr>
              <w:object>
                <v:shape id="_x0000_i1069" o:spt="75" type="#_x0000_t75" style="height:18.75pt;width:11.25pt;" o:ole="t" filled="f" o:preferrelative="t" stroked="f" coordsize="21600,21600">
                  <v:path/>
                  <v:fill on="f" focussize="0,0"/>
                  <v:stroke on="f" joinstyle="miter"/>
                  <v:imagedata r:id="rId115" o:title=""/>
                  <o:lock v:ext="edit" aspectratio="t"/>
                  <w10:wrap type="none"/>
                  <w10:anchorlock/>
                </v:shape>
                <o:OLEObject Type="Embed" ProgID="Equation.3" ShapeID="_x0000_i1069" DrawAspect="Content" ObjectID="_1468075770" r:id="rId114">
                  <o:LockedField>false</o:LockedField>
                </o:OLEObject>
              </w:object>
            </w:r>
            <w:r>
              <w:rPr>
                <w:rFonts w:hint="default"/>
                <w:bCs/>
                <w:color w:val="auto"/>
                <w:sz w:val="24"/>
                <w:highlight w:val="none"/>
              </w:rPr>
              <w:t>，则拟建工程声源对预测点产生的贡献值（</w:t>
            </w:r>
            <w:r>
              <w:rPr>
                <w:rFonts w:hint="default"/>
                <w:bCs/>
                <w:color w:val="auto"/>
                <w:sz w:val="24"/>
                <w:highlight w:val="none"/>
              </w:rPr>
              <w:object>
                <v:shape id="_x0000_i1070" o:spt="75" type="#_x0000_t75" style="height:18.75pt;width:22.5pt;" o:ole="t" filled="f" o:preferrelative="t" stroked="f" coordsize="21600,21600">
                  <v:path/>
                  <v:fill on="f" focussize="0,0"/>
                  <v:stroke on="f" joinstyle="miter"/>
                  <v:imagedata r:id="rId117" o:title=""/>
                  <o:lock v:ext="edit" aspectratio="t"/>
                  <w10:wrap type="none"/>
                  <w10:anchorlock/>
                </v:shape>
                <o:OLEObject Type="Embed" ProgID="Equation.3" ShapeID="_x0000_i1070" DrawAspect="Content" ObjectID="_1468075771" r:id="rId116">
                  <o:LockedField>false</o:LockedField>
                </o:OLEObject>
              </w:object>
            </w:r>
            <w:r>
              <w:rPr>
                <w:rFonts w:hint="default"/>
                <w:bCs/>
                <w:color w:val="auto"/>
                <w:sz w:val="24"/>
                <w:highlight w:val="none"/>
              </w:rPr>
              <w:t>）为:</w:t>
            </w:r>
          </w:p>
          <w:p w14:paraId="79586A0C">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drawing>
                <wp:anchor distT="0" distB="0" distL="114300" distR="114300" simplePos="0" relativeHeight="251662336" behindDoc="0" locked="0" layoutInCell="1" allowOverlap="1">
                  <wp:simplePos x="0" y="0"/>
                  <wp:positionH relativeFrom="column">
                    <wp:posOffset>292735</wp:posOffset>
                  </wp:positionH>
                  <wp:positionV relativeFrom="paragraph">
                    <wp:posOffset>12065</wp:posOffset>
                  </wp:positionV>
                  <wp:extent cx="2637790" cy="466090"/>
                  <wp:effectExtent l="0" t="0" r="10160" b="10795"/>
                  <wp:wrapNone/>
                  <wp:docPr id="1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5"/>
                          <pic:cNvPicPr>
                            <a:picLocks noChangeAspect="1"/>
                          </pic:cNvPicPr>
                        </pic:nvPicPr>
                        <pic:blipFill>
                          <a:blip r:embed="rId118"/>
                          <a:stretch>
                            <a:fillRect/>
                          </a:stretch>
                        </pic:blipFill>
                        <pic:spPr>
                          <a:xfrm>
                            <a:off x="0" y="0"/>
                            <a:ext cx="2637790" cy="466090"/>
                          </a:xfrm>
                          <a:prstGeom prst="rect">
                            <a:avLst/>
                          </a:prstGeom>
                          <a:noFill/>
                          <a:ln>
                            <a:noFill/>
                          </a:ln>
                        </pic:spPr>
                      </pic:pic>
                    </a:graphicData>
                  </a:graphic>
                </wp:anchor>
              </w:drawing>
            </w:r>
          </w:p>
          <w:p w14:paraId="4FE94FD6">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p>
          <w:p w14:paraId="44A899C9">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t>②预测点的噪声预测值</w:t>
            </w:r>
          </w:p>
          <w:p w14:paraId="13209415">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default"/>
                <w:bCs/>
                <w:color w:val="auto"/>
                <w:sz w:val="24"/>
                <w:highlight w:val="none"/>
              </w:rPr>
              <w:object>
                <v:shape id="_x0000_i1071" o:spt="75" type="#_x0000_t75" style="height:22.5pt;width:142.5pt;" o:ole="t" filled="f" o:preferrelative="t" stroked="f" coordsize="21600,21600">
                  <v:path/>
                  <v:fill on="f" focussize="0,0"/>
                  <v:stroke on="f" joinstyle="miter"/>
                  <v:imagedata r:id="rId120" o:title=""/>
                  <o:lock v:ext="edit" aspectratio="t"/>
                  <w10:wrap type="none"/>
                  <w10:anchorlock/>
                </v:shape>
                <o:OLEObject Type="Embed" ProgID="Equation.3" ShapeID="_x0000_i1071" DrawAspect="Content" ObjectID="_1468075772" r:id="rId119">
                  <o:LockedField>false</o:LockedField>
                </o:OLEObject>
              </w:object>
            </w:r>
          </w:p>
          <w:p w14:paraId="63DD97DC">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lang w:val="pt-BR"/>
              </w:rPr>
            </w:pPr>
            <w:r>
              <w:rPr>
                <w:rFonts w:hint="default"/>
                <w:bCs/>
                <w:color w:val="auto"/>
                <w:sz w:val="24"/>
                <w:highlight w:val="none"/>
              </w:rPr>
              <w:t>式中：</w:t>
            </w:r>
            <w:r>
              <w:rPr>
                <w:rFonts w:hint="default"/>
                <w:bCs/>
                <w:color w:val="auto"/>
                <w:sz w:val="24"/>
                <w:highlight w:val="none"/>
              </w:rPr>
              <w:object>
                <v:shape id="_x0000_i1072" o:spt="75" type="#_x0000_t75" style="height:18.75pt;width:22.5pt;" o:ole="t" filled="f" o:preferrelative="t" stroked="f" coordsize="21600,21600">
                  <v:path/>
                  <v:fill on="f" focussize="0,0"/>
                  <v:stroke on="f" joinstyle="miter"/>
                  <v:imagedata r:id="rId122" o:title=""/>
                  <o:lock v:ext="edit" aspectratio="t"/>
                  <w10:wrap type="none"/>
                  <w10:anchorlock/>
                </v:shape>
                <o:OLEObject Type="Embed" ProgID="Equation.3" ShapeID="_x0000_i1072" DrawAspect="Content" ObjectID="_1468075773" r:id="rId121">
                  <o:LockedField>false</o:LockedField>
                </o:OLEObject>
              </w:object>
            </w:r>
            <w:r>
              <w:rPr>
                <w:rFonts w:hint="default"/>
                <w:bCs/>
                <w:color w:val="auto"/>
                <w:sz w:val="24"/>
                <w:highlight w:val="none"/>
                <w:lang w:val="pt-BR"/>
              </w:rPr>
              <w:t>——建设项目声源在预测点的等效声级贡献值，dB（A）；</w:t>
            </w:r>
          </w:p>
          <w:p w14:paraId="4717AF88">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lang w:val="pt-BR"/>
              </w:rPr>
            </w:pPr>
            <w:r>
              <w:rPr>
                <w:rFonts w:hint="default"/>
                <w:bCs/>
                <w:color w:val="auto"/>
                <w:sz w:val="24"/>
                <w:highlight w:val="none"/>
              </w:rPr>
              <w:object>
                <v:shape id="_x0000_i1073" o:spt="75" type="#_x0000_t75" style="height:18.75pt;width:22.5pt;" o:ole="t" filled="f" o:preferrelative="t" stroked="f" coordsize="21600,21600">
                  <v:path/>
                  <v:fill on="f" focussize="0,0"/>
                  <v:stroke on="f" joinstyle="miter"/>
                  <v:imagedata r:id="rId124" o:title=""/>
                  <o:lock v:ext="edit" aspectratio="t"/>
                  <w10:wrap type="none"/>
                  <w10:anchorlock/>
                </v:shape>
                <o:OLEObject Type="Embed" ProgID="Equation.3" ShapeID="_x0000_i1073" DrawAspect="Content" ObjectID="_1468075774" r:id="rId123">
                  <o:LockedField>false</o:LockedField>
                </o:OLEObject>
              </w:object>
            </w:r>
            <w:r>
              <w:rPr>
                <w:rFonts w:hint="default"/>
                <w:bCs/>
                <w:color w:val="auto"/>
                <w:sz w:val="24"/>
                <w:highlight w:val="none"/>
                <w:lang w:val="pt-BR"/>
              </w:rPr>
              <w:t>——预测点的背景值，dB（A）。</w:t>
            </w:r>
          </w:p>
          <w:p w14:paraId="72B5E1B9">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bCs/>
                <w:color w:val="auto"/>
                <w:sz w:val="24"/>
                <w:highlight w:val="none"/>
              </w:rPr>
            </w:pPr>
            <w:r>
              <w:rPr>
                <w:rFonts w:hint="eastAsia"/>
                <w:bCs/>
                <w:color w:val="auto"/>
                <w:sz w:val="24"/>
                <w:highlight w:val="none"/>
              </w:rPr>
              <w:t>2.2</w:t>
            </w:r>
            <w:r>
              <w:rPr>
                <w:rFonts w:hint="default"/>
                <w:bCs/>
                <w:color w:val="auto"/>
                <w:sz w:val="24"/>
                <w:highlight w:val="none"/>
              </w:rPr>
              <w:t>噪声源参数的确定</w:t>
            </w:r>
          </w:p>
          <w:p w14:paraId="46A176EF">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eastAsia"/>
                <w:bCs/>
                <w:color w:val="auto"/>
                <w:sz w:val="24"/>
                <w:highlight w:val="none"/>
              </w:rPr>
              <w:t>根据各企业以及使用同类型设备企业</w:t>
            </w:r>
            <w:r>
              <w:rPr>
                <w:rFonts w:hint="default"/>
                <w:bCs/>
                <w:color w:val="auto"/>
                <w:sz w:val="24"/>
                <w:highlight w:val="none"/>
              </w:rPr>
              <w:t>的调研，企业主要设备噪声源强见下表。由表可知，主要生产设备的噪声源为</w:t>
            </w:r>
            <w:r>
              <w:rPr>
                <w:rFonts w:hint="eastAsia"/>
                <w:bCs/>
                <w:color w:val="auto"/>
                <w:sz w:val="24"/>
                <w:highlight w:val="none"/>
                <w:lang w:val="en-US" w:eastAsia="zh-CN"/>
              </w:rPr>
              <w:t>75</w:t>
            </w:r>
            <w:r>
              <w:rPr>
                <w:rFonts w:hint="eastAsia"/>
                <w:bCs/>
                <w:color w:val="auto"/>
                <w:sz w:val="24"/>
                <w:highlight w:val="none"/>
              </w:rPr>
              <w:t>-</w:t>
            </w:r>
            <w:r>
              <w:rPr>
                <w:rFonts w:hint="eastAsia"/>
                <w:bCs/>
                <w:color w:val="auto"/>
                <w:sz w:val="24"/>
                <w:highlight w:val="none"/>
                <w:lang w:val="en-US" w:eastAsia="zh-CN"/>
              </w:rPr>
              <w:t>100</w:t>
            </w:r>
            <w:r>
              <w:rPr>
                <w:rFonts w:hint="default"/>
                <w:bCs/>
                <w:color w:val="auto"/>
                <w:sz w:val="24"/>
                <w:highlight w:val="none"/>
              </w:rPr>
              <w:t>dB(A)。</w:t>
            </w:r>
          </w:p>
          <w:p w14:paraId="3B5C8B10">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eastAsia"/>
                <w:bCs/>
                <w:color w:val="auto"/>
                <w:sz w:val="24"/>
                <w:highlight w:val="none"/>
              </w:rPr>
              <w:t>建设项目所处区域的年平均风速1.82m/s、主导风向为西南风、年平均气温12.74℃、年平均相对湿度60%、大气压强1050KPa。</w:t>
            </w:r>
          </w:p>
          <w:p w14:paraId="684FAF4A">
            <w:pPr>
              <w:keepNext w:val="0"/>
              <w:keepLines w:val="0"/>
              <w:suppressLineNumbers w:val="0"/>
              <w:adjustRightInd w:val="0"/>
              <w:snapToGrid w:val="0"/>
              <w:spacing w:before="0" w:beforeAutospacing="0" w:after="0" w:afterAutospacing="0" w:line="360" w:lineRule="auto"/>
              <w:ind w:left="0" w:right="0" w:firstLine="480" w:firstLineChars="200"/>
              <w:rPr>
                <w:rFonts w:hint="default"/>
                <w:bCs/>
                <w:color w:val="auto"/>
                <w:sz w:val="24"/>
                <w:highlight w:val="none"/>
              </w:rPr>
            </w:pPr>
            <w:r>
              <w:rPr>
                <w:rFonts w:hint="eastAsia"/>
                <w:bCs/>
                <w:color w:val="auto"/>
                <w:sz w:val="24"/>
                <w:highlight w:val="none"/>
              </w:rPr>
              <w:t>企业</w:t>
            </w:r>
            <w:r>
              <w:rPr>
                <w:rFonts w:hint="default"/>
                <w:bCs/>
                <w:color w:val="auto"/>
                <w:sz w:val="24"/>
                <w:highlight w:val="none"/>
              </w:rPr>
              <w:t>主要设备噪声源强见下表</w:t>
            </w:r>
            <w:r>
              <w:rPr>
                <w:rFonts w:hint="eastAsia"/>
                <w:bCs/>
                <w:color w:val="auto"/>
                <w:sz w:val="24"/>
                <w:highlight w:val="none"/>
              </w:rPr>
              <w:t>：</w:t>
            </w:r>
          </w:p>
          <w:p w14:paraId="540498DA">
            <w:pPr>
              <w:keepNext w:val="0"/>
              <w:keepLines w:val="0"/>
              <w:suppressLineNumbers w:val="0"/>
              <w:spacing w:before="0" w:beforeAutospacing="0" w:after="0" w:afterAutospacing="0"/>
              <w:ind w:left="0" w:right="0"/>
              <w:jc w:val="center"/>
              <w:rPr>
                <w:rFonts w:hint="default"/>
                <w:b/>
                <w:bCs/>
                <w:color w:val="auto"/>
                <w:sz w:val="24"/>
                <w:highlight w:val="none"/>
              </w:rPr>
            </w:pPr>
            <w:r>
              <w:rPr>
                <w:rFonts w:hint="eastAsia"/>
                <w:b/>
                <w:bCs/>
                <w:color w:val="auto"/>
                <w:sz w:val="24"/>
                <w:highlight w:val="none"/>
              </w:rPr>
              <w:t>表4-</w:t>
            </w:r>
            <w:r>
              <w:rPr>
                <w:rFonts w:hint="eastAsia"/>
                <w:b/>
                <w:bCs/>
                <w:color w:val="auto"/>
                <w:sz w:val="24"/>
                <w:highlight w:val="none"/>
                <w:lang w:val="en-US" w:eastAsia="zh-CN"/>
              </w:rPr>
              <w:t>5-1</w:t>
            </w:r>
            <w:r>
              <w:rPr>
                <w:rFonts w:hint="eastAsia"/>
                <w:b/>
                <w:bCs/>
                <w:color w:val="auto"/>
                <w:sz w:val="24"/>
                <w:highlight w:val="none"/>
              </w:rPr>
              <w:t xml:space="preserve">  </w:t>
            </w:r>
            <w:r>
              <w:rPr>
                <w:rFonts w:hint="eastAsia"/>
                <w:b/>
                <w:bCs/>
                <w:color w:val="auto"/>
                <w:sz w:val="24"/>
                <w:highlight w:val="none"/>
                <w:lang w:val="en-US" w:eastAsia="zh-CN"/>
              </w:rPr>
              <w:t>室内</w:t>
            </w:r>
            <w:r>
              <w:rPr>
                <w:rFonts w:hint="eastAsia"/>
                <w:b/>
                <w:bCs/>
                <w:color w:val="auto"/>
                <w:sz w:val="24"/>
                <w:highlight w:val="none"/>
              </w:rPr>
              <w:t>主要设备噪声源强表</w:t>
            </w:r>
          </w:p>
          <w:tbl>
            <w:tblPr>
              <w:tblStyle w:val="35"/>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63"/>
              <w:gridCol w:w="528"/>
              <w:gridCol w:w="509"/>
              <w:gridCol w:w="643"/>
              <w:gridCol w:w="514"/>
              <w:gridCol w:w="841"/>
              <w:gridCol w:w="643"/>
              <w:gridCol w:w="643"/>
              <w:gridCol w:w="1879"/>
              <w:gridCol w:w="551"/>
              <w:gridCol w:w="571"/>
              <w:gridCol w:w="631"/>
            </w:tblGrid>
            <w:tr w14:paraId="77ED0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218" w:type="pct"/>
                  <w:vAlign w:val="center"/>
                </w:tcPr>
                <w:p w14:paraId="4F68BD69">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lang w:val="zh-CN"/>
                    </w:rPr>
                    <w:t>序号</w:t>
                  </w:r>
                </w:p>
              </w:tc>
              <w:tc>
                <w:tcPr>
                  <w:tcW w:w="317" w:type="pct"/>
                  <w:tcMar>
                    <w:left w:w="0" w:type="dxa"/>
                    <w:right w:w="0" w:type="dxa"/>
                  </w:tcMar>
                  <w:vAlign w:val="center"/>
                </w:tcPr>
                <w:p w14:paraId="0037334D">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lang w:val="zh-CN"/>
                    </w:rPr>
                    <w:t>名称</w:t>
                  </w:r>
                </w:p>
              </w:tc>
              <w:tc>
                <w:tcPr>
                  <w:tcW w:w="306" w:type="pct"/>
                  <w:vAlign w:val="center"/>
                </w:tcPr>
                <w:p w14:paraId="60B7AF64">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lang w:val="zh-CN"/>
                    </w:rPr>
                    <w:t>数量</w:t>
                  </w:r>
                </w:p>
              </w:tc>
              <w:tc>
                <w:tcPr>
                  <w:tcW w:w="386" w:type="pct"/>
                  <w:vAlign w:val="center"/>
                </w:tcPr>
                <w:p w14:paraId="01D085CC">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噪声</w:t>
                  </w:r>
                </w:p>
                <w:p w14:paraId="37A98547">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源强dB(A)</w:t>
                  </w:r>
                </w:p>
              </w:tc>
              <w:tc>
                <w:tcPr>
                  <w:tcW w:w="309" w:type="pct"/>
                  <w:vAlign w:val="center"/>
                </w:tcPr>
                <w:p w14:paraId="7D6AC80A">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治理</w:t>
                  </w:r>
                </w:p>
                <w:p w14:paraId="048910E9">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措施</w:t>
                  </w:r>
                </w:p>
              </w:tc>
              <w:tc>
                <w:tcPr>
                  <w:tcW w:w="505" w:type="pct"/>
                  <w:vAlign w:val="center"/>
                </w:tcPr>
                <w:p w14:paraId="195A7611">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建筑物插入损失dB(A)</w:t>
                  </w:r>
                </w:p>
              </w:tc>
              <w:tc>
                <w:tcPr>
                  <w:tcW w:w="386" w:type="pct"/>
                  <w:vAlign w:val="center"/>
                </w:tcPr>
                <w:p w14:paraId="3E701F3A">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室内吸声量dB(A)</w:t>
                  </w:r>
                </w:p>
              </w:tc>
              <w:tc>
                <w:tcPr>
                  <w:tcW w:w="386" w:type="pct"/>
                  <w:vAlign w:val="center"/>
                </w:tcPr>
                <w:p w14:paraId="6E6ABE9F">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治理后源强dB(A)</w:t>
                  </w:r>
                </w:p>
              </w:tc>
              <w:tc>
                <w:tcPr>
                  <w:tcW w:w="1129" w:type="pct"/>
                  <w:vAlign w:val="center"/>
                </w:tcPr>
                <w:p w14:paraId="101FCFB4">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坐标位置</w:t>
                  </w:r>
                </w:p>
              </w:tc>
              <w:tc>
                <w:tcPr>
                  <w:tcW w:w="331" w:type="pct"/>
                  <w:vAlign w:val="center"/>
                </w:tcPr>
                <w:p w14:paraId="2F6FDC45">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到厂界障碍物数量</w:t>
                  </w:r>
                </w:p>
              </w:tc>
              <w:tc>
                <w:tcPr>
                  <w:tcW w:w="343" w:type="pct"/>
                  <w:vAlign w:val="center"/>
                </w:tcPr>
                <w:p w14:paraId="71621F86">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树林、灌木分布情况</w:t>
                  </w:r>
                </w:p>
              </w:tc>
              <w:tc>
                <w:tcPr>
                  <w:tcW w:w="379" w:type="pct"/>
                  <w:vAlign w:val="center"/>
                </w:tcPr>
                <w:p w14:paraId="5C605D6D">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地面覆盖情况</w:t>
                  </w:r>
                </w:p>
              </w:tc>
            </w:tr>
            <w:tr w14:paraId="451F3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7" w:hRule="atLeast"/>
                <w:jc w:val="center"/>
              </w:trPr>
              <w:tc>
                <w:tcPr>
                  <w:tcW w:w="218" w:type="pct"/>
                  <w:vAlign w:val="center"/>
                </w:tcPr>
                <w:p w14:paraId="5A56E319">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1</w:t>
                  </w:r>
                </w:p>
              </w:tc>
              <w:tc>
                <w:tcPr>
                  <w:tcW w:w="317" w:type="pct"/>
                  <w:tcMar>
                    <w:left w:w="0" w:type="dxa"/>
                    <w:right w:w="0" w:type="dxa"/>
                  </w:tcMar>
                  <w:vAlign w:val="center"/>
                </w:tcPr>
                <w:p w14:paraId="52531BE9">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color w:val="auto"/>
                      <w:sz w:val="21"/>
                      <w:szCs w:val="21"/>
                      <w:highlight w:val="none"/>
                    </w:rPr>
                  </w:pPr>
                  <w:r>
                    <w:rPr>
                      <w:rFonts w:hint="eastAsia" w:ascii="Times New Roman"/>
                      <w:color w:val="auto"/>
                      <w:sz w:val="21"/>
                      <w:szCs w:val="21"/>
                      <w:highlight w:val="none"/>
                      <w:lang w:eastAsia="zh-CN"/>
                    </w:rPr>
                    <w:t>自动水磨机</w:t>
                  </w:r>
                </w:p>
              </w:tc>
              <w:tc>
                <w:tcPr>
                  <w:tcW w:w="306" w:type="pct"/>
                  <w:vAlign w:val="center"/>
                </w:tcPr>
                <w:p w14:paraId="59628DB6">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20</w:t>
                  </w:r>
                </w:p>
              </w:tc>
              <w:tc>
                <w:tcPr>
                  <w:tcW w:w="386" w:type="pct"/>
                  <w:vAlign w:val="center"/>
                </w:tcPr>
                <w:p w14:paraId="34E377AE">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85</w:t>
                  </w:r>
                </w:p>
              </w:tc>
              <w:tc>
                <w:tcPr>
                  <w:tcW w:w="309" w:type="pct"/>
                  <w:vMerge w:val="restart"/>
                  <w:vAlign w:val="center"/>
                </w:tcPr>
                <w:p w14:paraId="15730BA8">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基础减振、</w:t>
                  </w:r>
                </w:p>
                <w:p w14:paraId="7992DD68">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距离衰减、</w:t>
                  </w:r>
                </w:p>
                <w:p w14:paraId="1244D386">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厂房隔声、</w:t>
                  </w:r>
                </w:p>
                <w:p w14:paraId="75736F27">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加强管理</w:t>
                  </w:r>
                </w:p>
              </w:tc>
              <w:tc>
                <w:tcPr>
                  <w:tcW w:w="505" w:type="pct"/>
                  <w:vAlign w:val="center"/>
                </w:tcPr>
                <w:p w14:paraId="687C2333">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25</w:t>
                  </w:r>
                </w:p>
              </w:tc>
              <w:tc>
                <w:tcPr>
                  <w:tcW w:w="386" w:type="pct"/>
                  <w:vAlign w:val="center"/>
                </w:tcPr>
                <w:p w14:paraId="7D5F5B6D">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10</w:t>
                  </w:r>
                </w:p>
              </w:tc>
              <w:tc>
                <w:tcPr>
                  <w:tcW w:w="386" w:type="pct"/>
                  <w:vAlign w:val="center"/>
                </w:tcPr>
                <w:p w14:paraId="4E43671F">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50</w:t>
                  </w:r>
                </w:p>
              </w:tc>
              <w:tc>
                <w:tcPr>
                  <w:tcW w:w="1129" w:type="pct"/>
                  <w:vAlign w:val="center"/>
                </w:tcPr>
                <w:p w14:paraId="0AD7FA4A">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eastAsia"/>
                      <w:color w:val="auto"/>
                      <w:sz w:val="21"/>
                      <w:szCs w:val="21"/>
                      <w:highlight w:val="none"/>
                    </w:rPr>
                    <w:t>{</w:t>
                  </w:r>
                  <w:r>
                    <w:rPr>
                      <w:rFonts w:hint="eastAsia"/>
                      <w:color w:val="auto"/>
                      <w:sz w:val="21"/>
                      <w:szCs w:val="21"/>
                      <w:highlight w:val="none"/>
                      <w:lang w:val="en-US" w:eastAsia="zh-CN"/>
                    </w:rPr>
                    <w:t>30.7</w:t>
                  </w:r>
                  <w:r>
                    <w:rPr>
                      <w:rFonts w:hint="eastAsia"/>
                      <w:color w:val="auto"/>
                      <w:sz w:val="21"/>
                      <w:szCs w:val="21"/>
                      <w:highlight w:val="none"/>
                    </w:rPr>
                    <w:t>,</w:t>
                  </w:r>
                  <w:r>
                    <w:rPr>
                      <w:rFonts w:hint="eastAsia"/>
                      <w:color w:val="auto"/>
                      <w:sz w:val="21"/>
                      <w:szCs w:val="21"/>
                      <w:highlight w:val="none"/>
                      <w:lang w:val="en-US" w:eastAsia="zh-CN"/>
                    </w:rPr>
                    <w:t>35.67</w:t>
                  </w:r>
                  <w:r>
                    <w:rPr>
                      <w:rFonts w:hint="eastAsia"/>
                      <w:color w:val="auto"/>
                      <w:sz w:val="21"/>
                      <w:szCs w:val="21"/>
                      <w:highlight w:val="none"/>
                    </w:rPr>
                    <w:t>,1}</w:t>
                  </w:r>
                </w:p>
              </w:tc>
              <w:tc>
                <w:tcPr>
                  <w:tcW w:w="331" w:type="pct"/>
                  <w:vMerge w:val="restart"/>
                  <w:vAlign w:val="center"/>
                </w:tcPr>
                <w:p w14:paraId="1AA99D2F">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东侧</w:t>
                  </w:r>
                  <w:r>
                    <w:rPr>
                      <w:rFonts w:hint="eastAsia"/>
                      <w:color w:val="auto"/>
                      <w:sz w:val="21"/>
                      <w:szCs w:val="21"/>
                      <w:highlight w:val="none"/>
                      <w:lang w:val="en-US" w:eastAsia="zh-CN"/>
                    </w:rPr>
                    <w:t>5</w:t>
                  </w:r>
                  <w:r>
                    <w:rPr>
                      <w:rFonts w:hint="default"/>
                      <w:color w:val="auto"/>
                      <w:sz w:val="21"/>
                      <w:szCs w:val="21"/>
                      <w:highlight w:val="none"/>
                    </w:rPr>
                    <w:t>道墙壁；南侧</w:t>
                  </w:r>
                  <w:r>
                    <w:rPr>
                      <w:rFonts w:hint="eastAsia"/>
                      <w:color w:val="auto"/>
                      <w:sz w:val="21"/>
                      <w:szCs w:val="21"/>
                      <w:highlight w:val="none"/>
                    </w:rPr>
                    <w:t>1</w:t>
                  </w:r>
                  <w:r>
                    <w:rPr>
                      <w:rFonts w:hint="default"/>
                      <w:color w:val="auto"/>
                      <w:sz w:val="21"/>
                      <w:szCs w:val="21"/>
                      <w:highlight w:val="none"/>
                    </w:rPr>
                    <w:t>道墙壁；西侧</w:t>
                  </w:r>
                  <w:r>
                    <w:rPr>
                      <w:rFonts w:hint="eastAsia"/>
                      <w:color w:val="auto"/>
                      <w:sz w:val="21"/>
                      <w:szCs w:val="21"/>
                      <w:highlight w:val="none"/>
                    </w:rPr>
                    <w:t>1</w:t>
                  </w:r>
                  <w:r>
                    <w:rPr>
                      <w:rFonts w:hint="default"/>
                      <w:color w:val="auto"/>
                      <w:sz w:val="21"/>
                      <w:szCs w:val="21"/>
                      <w:highlight w:val="none"/>
                    </w:rPr>
                    <w:t>道墙壁；北侧</w:t>
                  </w:r>
                  <w:r>
                    <w:rPr>
                      <w:rFonts w:hint="eastAsia"/>
                      <w:color w:val="auto"/>
                      <w:sz w:val="21"/>
                      <w:szCs w:val="21"/>
                      <w:highlight w:val="none"/>
                      <w:lang w:val="en-US" w:eastAsia="zh-CN"/>
                    </w:rPr>
                    <w:t>5</w:t>
                  </w:r>
                  <w:r>
                    <w:rPr>
                      <w:rFonts w:hint="default"/>
                      <w:color w:val="auto"/>
                      <w:sz w:val="21"/>
                      <w:szCs w:val="21"/>
                      <w:highlight w:val="none"/>
                    </w:rPr>
                    <w:t>道墙壁</w:t>
                  </w:r>
                </w:p>
              </w:tc>
              <w:tc>
                <w:tcPr>
                  <w:tcW w:w="343" w:type="pct"/>
                  <w:vMerge w:val="restart"/>
                  <w:vAlign w:val="center"/>
                </w:tcPr>
                <w:p w14:paraId="77FFE5AB">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种植低矮灌木</w:t>
                  </w:r>
                </w:p>
              </w:tc>
              <w:tc>
                <w:tcPr>
                  <w:tcW w:w="379" w:type="pct"/>
                  <w:vMerge w:val="restart"/>
                  <w:vAlign w:val="center"/>
                </w:tcPr>
                <w:p w14:paraId="2F1AC9E8">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水泥</w:t>
                  </w:r>
                </w:p>
                <w:p w14:paraId="31C09BA1">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硬化</w:t>
                  </w:r>
                </w:p>
              </w:tc>
            </w:tr>
            <w:tr w14:paraId="27D3F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218" w:type="pct"/>
                  <w:vAlign w:val="center"/>
                </w:tcPr>
                <w:p w14:paraId="5A222625">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2</w:t>
                  </w:r>
                </w:p>
              </w:tc>
              <w:tc>
                <w:tcPr>
                  <w:tcW w:w="317" w:type="pct"/>
                  <w:tcMar>
                    <w:left w:w="0" w:type="dxa"/>
                    <w:right w:w="0" w:type="dxa"/>
                  </w:tcMar>
                  <w:vAlign w:val="center"/>
                </w:tcPr>
                <w:p w14:paraId="6B1E4EE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color w:val="auto"/>
                      <w:sz w:val="21"/>
                      <w:szCs w:val="21"/>
                      <w:highlight w:val="none"/>
                    </w:rPr>
                  </w:pPr>
                  <w:r>
                    <w:rPr>
                      <w:rFonts w:hint="eastAsia" w:ascii="Times New Roman"/>
                      <w:color w:val="auto"/>
                      <w:sz w:val="21"/>
                      <w:szCs w:val="21"/>
                      <w:highlight w:val="none"/>
                      <w:lang w:val="en-US" w:eastAsia="zh-CN"/>
                    </w:rPr>
                    <w:t>角磨机</w:t>
                  </w:r>
                </w:p>
              </w:tc>
              <w:tc>
                <w:tcPr>
                  <w:tcW w:w="306" w:type="pct"/>
                  <w:vAlign w:val="center"/>
                </w:tcPr>
                <w:p w14:paraId="04C6D31C">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10</w:t>
                  </w:r>
                </w:p>
              </w:tc>
              <w:tc>
                <w:tcPr>
                  <w:tcW w:w="386" w:type="pct"/>
                  <w:vAlign w:val="center"/>
                </w:tcPr>
                <w:p w14:paraId="5A9D9A22">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90</w:t>
                  </w:r>
                </w:p>
              </w:tc>
              <w:tc>
                <w:tcPr>
                  <w:tcW w:w="309" w:type="pct"/>
                  <w:vMerge w:val="continue"/>
                  <w:vAlign w:val="center"/>
                </w:tcPr>
                <w:p w14:paraId="6B2EF6B2">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p>
              </w:tc>
              <w:tc>
                <w:tcPr>
                  <w:tcW w:w="505" w:type="pct"/>
                  <w:vAlign w:val="center"/>
                </w:tcPr>
                <w:p w14:paraId="03BAFD88">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25</w:t>
                  </w:r>
                </w:p>
              </w:tc>
              <w:tc>
                <w:tcPr>
                  <w:tcW w:w="386" w:type="pct"/>
                  <w:vAlign w:val="center"/>
                </w:tcPr>
                <w:p w14:paraId="379D0F6B">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10</w:t>
                  </w:r>
                </w:p>
              </w:tc>
              <w:tc>
                <w:tcPr>
                  <w:tcW w:w="386" w:type="pct"/>
                  <w:vAlign w:val="center"/>
                </w:tcPr>
                <w:p w14:paraId="1F653A83">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55</w:t>
                  </w:r>
                </w:p>
              </w:tc>
              <w:tc>
                <w:tcPr>
                  <w:tcW w:w="1129" w:type="pct"/>
                  <w:vAlign w:val="center"/>
                </w:tcPr>
                <w:p w14:paraId="098287BD">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w:t>
                  </w:r>
                  <w:r>
                    <w:rPr>
                      <w:rFonts w:hint="eastAsia"/>
                      <w:color w:val="auto"/>
                      <w:sz w:val="21"/>
                      <w:szCs w:val="21"/>
                      <w:highlight w:val="none"/>
                      <w:lang w:val="en-US" w:eastAsia="zh-CN"/>
                    </w:rPr>
                    <w:t>15.83</w:t>
                  </w:r>
                  <w:r>
                    <w:rPr>
                      <w:rFonts w:hint="eastAsia"/>
                      <w:color w:val="auto"/>
                      <w:sz w:val="21"/>
                      <w:szCs w:val="21"/>
                      <w:highlight w:val="none"/>
                    </w:rPr>
                    <w:t>，</w:t>
                  </w:r>
                  <w:r>
                    <w:rPr>
                      <w:rFonts w:hint="eastAsia"/>
                      <w:color w:val="auto"/>
                      <w:sz w:val="21"/>
                      <w:szCs w:val="21"/>
                      <w:highlight w:val="none"/>
                      <w:lang w:val="en-US" w:eastAsia="zh-CN"/>
                    </w:rPr>
                    <w:t>26.05</w:t>
                  </w:r>
                  <w:r>
                    <w:rPr>
                      <w:rFonts w:hint="eastAsia"/>
                      <w:color w:val="auto"/>
                      <w:sz w:val="21"/>
                      <w:szCs w:val="21"/>
                      <w:highlight w:val="none"/>
                    </w:rPr>
                    <w:t>，</w:t>
                  </w:r>
                  <w:r>
                    <w:rPr>
                      <w:rFonts w:hint="default"/>
                      <w:color w:val="auto"/>
                      <w:sz w:val="21"/>
                      <w:szCs w:val="21"/>
                      <w:highlight w:val="none"/>
                    </w:rPr>
                    <w:t>1}</w:t>
                  </w:r>
                </w:p>
              </w:tc>
              <w:tc>
                <w:tcPr>
                  <w:tcW w:w="331" w:type="pct"/>
                  <w:vMerge w:val="continue"/>
                  <w:vAlign w:val="center"/>
                </w:tcPr>
                <w:p w14:paraId="6F9E1075">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343" w:type="pct"/>
                  <w:vMerge w:val="continue"/>
                  <w:vAlign w:val="center"/>
                </w:tcPr>
                <w:p w14:paraId="1DEA5E8E">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379" w:type="pct"/>
                  <w:vMerge w:val="continue"/>
                  <w:vAlign w:val="center"/>
                </w:tcPr>
                <w:p w14:paraId="433A1F6A">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r>
            <w:tr w14:paraId="27B27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0" w:hRule="atLeast"/>
                <w:jc w:val="center"/>
              </w:trPr>
              <w:tc>
                <w:tcPr>
                  <w:tcW w:w="218" w:type="pct"/>
                  <w:vAlign w:val="center"/>
                </w:tcPr>
                <w:p w14:paraId="09C438D8">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3</w:t>
                  </w:r>
                </w:p>
              </w:tc>
              <w:tc>
                <w:tcPr>
                  <w:tcW w:w="317" w:type="pct"/>
                  <w:tcMar>
                    <w:left w:w="0" w:type="dxa"/>
                    <w:right w:w="0" w:type="dxa"/>
                  </w:tcMar>
                  <w:vAlign w:val="center"/>
                </w:tcPr>
                <w:p w14:paraId="47C57C74">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color w:val="auto"/>
                      <w:sz w:val="21"/>
                      <w:szCs w:val="21"/>
                      <w:highlight w:val="none"/>
                    </w:rPr>
                  </w:pPr>
                  <w:r>
                    <w:rPr>
                      <w:rFonts w:hint="eastAsia" w:ascii="Times New Roman"/>
                      <w:color w:val="auto"/>
                      <w:sz w:val="21"/>
                      <w:szCs w:val="21"/>
                      <w:highlight w:val="none"/>
                      <w:lang w:val="en-US" w:eastAsia="zh-CN"/>
                    </w:rPr>
                    <w:t>环保抛光打磨湿式一体机</w:t>
                  </w:r>
                </w:p>
              </w:tc>
              <w:tc>
                <w:tcPr>
                  <w:tcW w:w="306" w:type="pct"/>
                  <w:vAlign w:val="center"/>
                </w:tcPr>
                <w:p w14:paraId="7E443AA4">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20</w:t>
                  </w:r>
                </w:p>
              </w:tc>
              <w:tc>
                <w:tcPr>
                  <w:tcW w:w="386" w:type="pct"/>
                  <w:vAlign w:val="center"/>
                </w:tcPr>
                <w:p w14:paraId="1A8A90E1">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90</w:t>
                  </w:r>
                </w:p>
              </w:tc>
              <w:tc>
                <w:tcPr>
                  <w:tcW w:w="309" w:type="pct"/>
                  <w:vMerge w:val="continue"/>
                  <w:vAlign w:val="center"/>
                </w:tcPr>
                <w:p w14:paraId="50E4BF69">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p>
              </w:tc>
              <w:tc>
                <w:tcPr>
                  <w:tcW w:w="505" w:type="pct"/>
                  <w:vAlign w:val="center"/>
                </w:tcPr>
                <w:p w14:paraId="728FF768">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25</w:t>
                  </w:r>
                </w:p>
              </w:tc>
              <w:tc>
                <w:tcPr>
                  <w:tcW w:w="386" w:type="pct"/>
                  <w:vAlign w:val="center"/>
                </w:tcPr>
                <w:p w14:paraId="18134FF0">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10</w:t>
                  </w:r>
                </w:p>
              </w:tc>
              <w:tc>
                <w:tcPr>
                  <w:tcW w:w="386" w:type="pct"/>
                  <w:vAlign w:val="center"/>
                </w:tcPr>
                <w:p w14:paraId="37EE671B">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55</w:t>
                  </w:r>
                </w:p>
              </w:tc>
              <w:tc>
                <w:tcPr>
                  <w:tcW w:w="1129" w:type="pct"/>
                  <w:vAlign w:val="center"/>
                </w:tcPr>
                <w:p w14:paraId="4FF64422">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w:t>
                  </w:r>
                  <w:r>
                    <w:rPr>
                      <w:rFonts w:hint="eastAsia"/>
                      <w:color w:val="auto"/>
                      <w:sz w:val="21"/>
                      <w:szCs w:val="21"/>
                      <w:highlight w:val="none"/>
                      <w:lang w:val="en-US" w:eastAsia="zh-CN"/>
                    </w:rPr>
                    <w:t>3.6</w:t>
                  </w:r>
                  <w:r>
                    <w:rPr>
                      <w:rFonts w:hint="eastAsia"/>
                      <w:color w:val="auto"/>
                      <w:sz w:val="21"/>
                      <w:szCs w:val="21"/>
                      <w:highlight w:val="none"/>
                    </w:rPr>
                    <w:t>，</w:t>
                  </w:r>
                  <w:r>
                    <w:rPr>
                      <w:rFonts w:hint="eastAsia"/>
                      <w:color w:val="auto"/>
                      <w:sz w:val="21"/>
                      <w:szCs w:val="21"/>
                      <w:highlight w:val="none"/>
                      <w:lang w:val="en-US" w:eastAsia="zh-CN"/>
                    </w:rPr>
                    <w:t>12.94</w:t>
                  </w:r>
                  <w:r>
                    <w:rPr>
                      <w:rFonts w:hint="eastAsia"/>
                      <w:color w:val="auto"/>
                      <w:sz w:val="21"/>
                      <w:szCs w:val="21"/>
                      <w:highlight w:val="none"/>
                    </w:rPr>
                    <w:t>，</w:t>
                  </w:r>
                  <w:r>
                    <w:rPr>
                      <w:rFonts w:hint="default"/>
                      <w:color w:val="auto"/>
                      <w:sz w:val="21"/>
                      <w:szCs w:val="21"/>
                      <w:highlight w:val="none"/>
                    </w:rPr>
                    <w:t>1}</w:t>
                  </w:r>
                </w:p>
              </w:tc>
              <w:tc>
                <w:tcPr>
                  <w:tcW w:w="331" w:type="pct"/>
                  <w:vMerge w:val="continue"/>
                  <w:vAlign w:val="center"/>
                </w:tcPr>
                <w:p w14:paraId="35A0B793">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343" w:type="pct"/>
                  <w:vMerge w:val="continue"/>
                  <w:vAlign w:val="center"/>
                </w:tcPr>
                <w:p w14:paraId="71AF5977">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379" w:type="pct"/>
                  <w:vMerge w:val="continue"/>
                  <w:vAlign w:val="center"/>
                </w:tcPr>
                <w:p w14:paraId="6F082CFA">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r>
            <w:tr w14:paraId="21F77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8" w:type="pct"/>
                  <w:shd w:val="clear" w:color="auto" w:fill="auto"/>
                  <w:vAlign w:val="center"/>
                </w:tcPr>
                <w:p w14:paraId="03BFC142">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4</w:t>
                  </w:r>
                </w:p>
              </w:tc>
              <w:tc>
                <w:tcPr>
                  <w:tcW w:w="317" w:type="pct"/>
                  <w:vAlign w:val="center"/>
                </w:tcPr>
                <w:p w14:paraId="6E65B86C">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eastAsia" w:ascii="Times New Roman"/>
                      <w:color w:val="auto"/>
                      <w:sz w:val="21"/>
                      <w:szCs w:val="21"/>
                      <w:highlight w:val="none"/>
                      <w:lang w:val="en-US" w:eastAsia="zh-CN"/>
                    </w:rPr>
                    <w:t>压滤机</w:t>
                  </w:r>
                </w:p>
              </w:tc>
              <w:tc>
                <w:tcPr>
                  <w:tcW w:w="306" w:type="pct"/>
                  <w:vAlign w:val="center"/>
                </w:tcPr>
                <w:p w14:paraId="4F60F0F5">
                  <w:pPr>
                    <w:pStyle w:val="102"/>
                    <w:keepNext w:val="0"/>
                    <w:keepLines w:val="0"/>
                    <w:suppressLineNumbers w:val="0"/>
                    <w:spacing w:before="0" w:beforeAutospacing="0" w:after="0" w:afterAutospacing="0" w:line="240" w:lineRule="auto"/>
                    <w:ind w:left="0" w:right="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1</w:t>
                  </w:r>
                </w:p>
              </w:tc>
              <w:tc>
                <w:tcPr>
                  <w:tcW w:w="386" w:type="pct"/>
                  <w:vAlign w:val="center"/>
                </w:tcPr>
                <w:p w14:paraId="5508CC3B">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75</w:t>
                  </w:r>
                </w:p>
              </w:tc>
              <w:tc>
                <w:tcPr>
                  <w:tcW w:w="309" w:type="pct"/>
                  <w:vMerge w:val="continue"/>
                  <w:vAlign w:val="center"/>
                </w:tcPr>
                <w:p w14:paraId="4D8FDC7C">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p>
              </w:tc>
              <w:tc>
                <w:tcPr>
                  <w:tcW w:w="505" w:type="pct"/>
                  <w:vAlign w:val="center"/>
                </w:tcPr>
                <w:p w14:paraId="230A4DDA">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25</w:t>
                  </w:r>
                </w:p>
              </w:tc>
              <w:tc>
                <w:tcPr>
                  <w:tcW w:w="386" w:type="pct"/>
                  <w:vAlign w:val="center"/>
                </w:tcPr>
                <w:p w14:paraId="5D595EA3">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10</w:t>
                  </w:r>
                </w:p>
              </w:tc>
              <w:tc>
                <w:tcPr>
                  <w:tcW w:w="386" w:type="pct"/>
                  <w:vAlign w:val="center"/>
                </w:tcPr>
                <w:p w14:paraId="48908721">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40</w:t>
                  </w:r>
                </w:p>
              </w:tc>
              <w:tc>
                <w:tcPr>
                  <w:tcW w:w="1129" w:type="pct"/>
                  <w:vAlign w:val="center"/>
                </w:tcPr>
                <w:p w14:paraId="6B9CD6C0">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w:t>
                  </w:r>
                  <w:r>
                    <w:rPr>
                      <w:rFonts w:hint="eastAsia"/>
                      <w:color w:val="auto"/>
                      <w:sz w:val="21"/>
                      <w:szCs w:val="21"/>
                      <w:highlight w:val="none"/>
                      <w:lang w:val="en-US" w:eastAsia="zh-CN"/>
                    </w:rPr>
                    <w:t>-9.52</w:t>
                  </w:r>
                  <w:r>
                    <w:rPr>
                      <w:rFonts w:hint="eastAsia"/>
                      <w:color w:val="auto"/>
                      <w:sz w:val="21"/>
                      <w:szCs w:val="21"/>
                      <w:highlight w:val="none"/>
                    </w:rPr>
                    <w:t>，</w:t>
                  </w:r>
                  <w:r>
                    <w:rPr>
                      <w:rFonts w:hint="eastAsia"/>
                      <w:color w:val="auto"/>
                      <w:sz w:val="21"/>
                      <w:szCs w:val="21"/>
                      <w:highlight w:val="none"/>
                      <w:lang w:val="en-US" w:eastAsia="zh-CN"/>
                    </w:rPr>
                    <w:t>0.7</w:t>
                  </w:r>
                  <w:r>
                    <w:rPr>
                      <w:rFonts w:hint="eastAsia"/>
                      <w:color w:val="auto"/>
                      <w:sz w:val="21"/>
                      <w:szCs w:val="21"/>
                      <w:highlight w:val="none"/>
                    </w:rPr>
                    <w:t>，</w:t>
                  </w:r>
                  <w:r>
                    <w:rPr>
                      <w:rFonts w:hint="default"/>
                      <w:color w:val="auto"/>
                      <w:sz w:val="21"/>
                      <w:szCs w:val="21"/>
                      <w:highlight w:val="none"/>
                    </w:rPr>
                    <w:t>1}</w:t>
                  </w:r>
                </w:p>
              </w:tc>
              <w:tc>
                <w:tcPr>
                  <w:tcW w:w="331" w:type="pct"/>
                  <w:vMerge w:val="continue"/>
                  <w:vAlign w:val="center"/>
                </w:tcPr>
                <w:p w14:paraId="7AE774D0">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343" w:type="pct"/>
                  <w:vMerge w:val="continue"/>
                  <w:vAlign w:val="center"/>
                </w:tcPr>
                <w:p w14:paraId="1C795384">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379" w:type="pct"/>
                  <w:vMerge w:val="continue"/>
                  <w:vAlign w:val="center"/>
                </w:tcPr>
                <w:p w14:paraId="75859D7B">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r>
            <w:tr w14:paraId="193BF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8" w:type="pct"/>
                  <w:shd w:val="clear" w:color="auto" w:fill="auto"/>
                  <w:vAlign w:val="center"/>
                </w:tcPr>
                <w:p w14:paraId="79E60170">
                  <w:pPr>
                    <w:pStyle w:val="102"/>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12"/>
                      <w:kern w:val="2"/>
                      <w:sz w:val="21"/>
                      <w:szCs w:val="21"/>
                      <w:highlight w:val="none"/>
                      <w:lang w:val="en-US" w:eastAsia="zh-CN" w:bidi="ar-SA"/>
                    </w:rPr>
                  </w:pPr>
                  <w:r>
                    <w:rPr>
                      <w:rFonts w:hint="eastAsia" w:cs="Times New Roman"/>
                      <w:color w:val="auto"/>
                      <w:spacing w:val="12"/>
                      <w:kern w:val="2"/>
                      <w:sz w:val="21"/>
                      <w:szCs w:val="21"/>
                      <w:highlight w:val="none"/>
                      <w:lang w:val="en-US" w:eastAsia="zh-CN" w:bidi="ar-SA"/>
                    </w:rPr>
                    <w:t>5</w:t>
                  </w:r>
                </w:p>
              </w:tc>
              <w:tc>
                <w:tcPr>
                  <w:tcW w:w="317" w:type="pct"/>
                  <w:shd w:val="clear" w:color="auto" w:fill="auto"/>
                  <w:vAlign w:val="center"/>
                </w:tcPr>
                <w:p w14:paraId="13CAC847">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循环水泵</w:t>
                  </w:r>
                </w:p>
              </w:tc>
              <w:tc>
                <w:tcPr>
                  <w:tcW w:w="306" w:type="pct"/>
                  <w:vAlign w:val="center"/>
                </w:tcPr>
                <w:p w14:paraId="19C789D8">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1</w:t>
                  </w:r>
                </w:p>
              </w:tc>
              <w:tc>
                <w:tcPr>
                  <w:tcW w:w="386" w:type="pct"/>
                  <w:vAlign w:val="center"/>
                </w:tcPr>
                <w:p w14:paraId="3B07DF89">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90</w:t>
                  </w:r>
                </w:p>
              </w:tc>
              <w:tc>
                <w:tcPr>
                  <w:tcW w:w="309" w:type="pct"/>
                  <w:vMerge w:val="continue"/>
                  <w:vAlign w:val="center"/>
                </w:tcPr>
                <w:p w14:paraId="4634180A">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p>
              </w:tc>
              <w:tc>
                <w:tcPr>
                  <w:tcW w:w="505" w:type="pct"/>
                  <w:vAlign w:val="center"/>
                </w:tcPr>
                <w:p w14:paraId="234785C7">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25</w:t>
                  </w:r>
                </w:p>
              </w:tc>
              <w:tc>
                <w:tcPr>
                  <w:tcW w:w="386" w:type="pct"/>
                  <w:vAlign w:val="center"/>
                </w:tcPr>
                <w:p w14:paraId="1687CE99">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10</w:t>
                  </w:r>
                </w:p>
              </w:tc>
              <w:tc>
                <w:tcPr>
                  <w:tcW w:w="386" w:type="pct"/>
                  <w:vAlign w:val="center"/>
                </w:tcPr>
                <w:p w14:paraId="41E4EE01">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55</w:t>
                  </w:r>
                </w:p>
              </w:tc>
              <w:tc>
                <w:tcPr>
                  <w:tcW w:w="1129" w:type="pct"/>
                  <w:vAlign w:val="center"/>
                </w:tcPr>
                <w:p w14:paraId="2007AFFB">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p>
              </w:tc>
              <w:tc>
                <w:tcPr>
                  <w:tcW w:w="331" w:type="pct"/>
                  <w:vMerge w:val="continue"/>
                  <w:vAlign w:val="center"/>
                </w:tcPr>
                <w:p w14:paraId="4FE6E5E7">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343" w:type="pct"/>
                  <w:vMerge w:val="continue"/>
                  <w:vAlign w:val="center"/>
                </w:tcPr>
                <w:p w14:paraId="4969AFE8">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379" w:type="pct"/>
                  <w:vMerge w:val="continue"/>
                  <w:vAlign w:val="center"/>
                </w:tcPr>
                <w:p w14:paraId="1A8BD1D5">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r>
            <w:tr w14:paraId="41FAE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8" w:type="pct"/>
                  <w:shd w:val="clear" w:color="auto" w:fill="auto"/>
                  <w:vAlign w:val="center"/>
                </w:tcPr>
                <w:p w14:paraId="1981B997">
                  <w:pPr>
                    <w:pStyle w:val="102"/>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12"/>
                      <w:kern w:val="2"/>
                      <w:sz w:val="21"/>
                      <w:szCs w:val="21"/>
                      <w:highlight w:val="none"/>
                      <w:lang w:val="en-US" w:eastAsia="zh-CN" w:bidi="ar-SA"/>
                    </w:rPr>
                  </w:pPr>
                  <w:r>
                    <w:rPr>
                      <w:rFonts w:hint="eastAsia" w:cs="Times New Roman"/>
                      <w:color w:val="auto"/>
                      <w:spacing w:val="12"/>
                      <w:kern w:val="2"/>
                      <w:sz w:val="21"/>
                      <w:szCs w:val="21"/>
                      <w:highlight w:val="none"/>
                      <w:lang w:val="en-US" w:eastAsia="zh-CN" w:bidi="ar-SA"/>
                    </w:rPr>
                    <w:t>6</w:t>
                  </w:r>
                </w:p>
              </w:tc>
              <w:tc>
                <w:tcPr>
                  <w:tcW w:w="317" w:type="pct"/>
                  <w:shd w:val="clear" w:color="auto" w:fill="auto"/>
                  <w:vAlign w:val="center"/>
                </w:tcPr>
                <w:p w14:paraId="20B98EF4">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打磨机</w:t>
                  </w:r>
                </w:p>
              </w:tc>
              <w:tc>
                <w:tcPr>
                  <w:tcW w:w="306" w:type="pct"/>
                  <w:vAlign w:val="center"/>
                </w:tcPr>
                <w:p w14:paraId="09ADE9DB">
                  <w:pPr>
                    <w:pStyle w:val="102"/>
                    <w:keepNext w:val="0"/>
                    <w:keepLines w:val="0"/>
                    <w:suppressLineNumbers w:val="0"/>
                    <w:spacing w:before="0" w:beforeAutospacing="0" w:after="0" w:afterAutospacing="0" w:line="240" w:lineRule="auto"/>
                    <w:ind w:left="0" w:right="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1</w:t>
                  </w:r>
                </w:p>
              </w:tc>
              <w:tc>
                <w:tcPr>
                  <w:tcW w:w="386" w:type="pct"/>
                  <w:vAlign w:val="center"/>
                </w:tcPr>
                <w:p w14:paraId="6FF12769">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90</w:t>
                  </w:r>
                </w:p>
              </w:tc>
              <w:tc>
                <w:tcPr>
                  <w:tcW w:w="309" w:type="pct"/>
                  <w:vMerge w:val="continue"/>
                  <w:vAlign w:val="center"/>
                </w:tcPr>
                <w:p w14:paraId="1181D179">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p>
              </w:tc>
              <w:tc>
                <w:tcPr>
                  <w:tcW w:w="505" w:type="pct"/>
                  <w:vAlign w:val="center"/>
                </w:tcPr>
                <w:p w14:paraId="3C4DB8D8">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25</w:t>
                  </w:r>
                </w:p>
              </w:tc>
              <w:tc>
                <w:tcPr>
                  <w:tcW w:w="386" w:type="pct"/>
                  <w:vAlign w:val="center"/>
                </w:tcPr>
                <w:p w14:paraId="0CB8FE8E">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10</w:t>
                  </w:r>
                </w:p>
              </w:tc>
              <w:tc>
                <w:tcPr>
                  <w:tcW w:w="386" w:type="pct"/>
                  <w:vAlign w:val="center"/>
                </w:tcPr>
                <w:p w14:paraId="300A3706">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55</w:t>
                  </w:r>
                </w:p>
              </w:tc>
              <w:tc>
                <w:tcPr>
                  <w:tcW w:w="1129" w:type="pct"/>
                  <w:vAlign w:val="center"/>
                </w:tcPr>
                <w:p w14:paraId="12EDA5D1">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w:t>
                  </w:r>
                  <w:r>
                    <w:rPr>
                      <w:rFonts w:hint="eastAsia"/>
                      <w:color w:val="auto"/>
                      <w:sz w:val="21"/>
                      <w:szCs w:val="21"/>
                      <w:highlight w:val="none"/>
                      <w:lang w:val="en-US" w:eastAsia="zh-CN"/>
                    </w:rPr>
                    <w:t>-37.49</w:t>
                  </w:r>
                  <w:r>
                    <w:rPr>
                      <w:rFonts w:hint="eastAsia"/>
                      <w:color w:val="auto"/>
                      <w:sz w:val="21"/>
                      <w:szCs w:val="21"/>
                      <w:highlight w:val="none"/>
                    </w:rPr>
                    <w:t>，-</w:t>
                  </w:r>
                  <w:r>
                    <w:rPr>
                      <w:rFonts w:hint="eastAsia"/>
                      <w:color w:val="auto"/>
                      <w:sz w:val="21"/>
                      <w:szCs w:val="21"/>
                      <w:highlight w:val="none"/>
                      <w:lang w:val="en-US" w:eastAsia="zh-CN"/>
                    </w:rPr>
                    <w:t>28.15</w:t>
                  </w:r>
                  <w:r>
                    <w:rPr>
                      <w:rFonts w:hint="eastAsia"/>
                      <w:color w:val="auto"/>
                      <w:sz w:val="21"/>
                      <w:szCs w:val="21"/>
                      <w:highlight w:val="none"/>
                    </w:rPr>
                    <w:t>，</w:t>
                  </w:r>
                  <w:r>
                    <w:rPr>
                      <w:rFonts w:hint="default"/>
                      <w:color w:val="auto"/>
                      <w:sz w:val="21"/>
                      <w:szCs w:val="21"/>
                      <w:highlight w:val="none"/>
                    </w:rPr>
                    <w:t>1}</w:t>
                  </w:r>
                </w:p>
              </w:tc>
              <w:tc>
                <w:tcPr>
                  <w:tcW w:w="331" w:type="pct"/>
                  <w:vMerge w:val="continue"/>
                  <w:vAlign w:val="center"/>
                </w:tcPr>
                <w:p w14:paraId="41FF0516">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343" w:type="pct"/>
                  <w:vMerge w:val="continue"/>
                  <w:vAlign w:val="center"/>
                </w:tcPr>
                <w:p w14:paraId="6F7305BD">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379" w:type="pct"/>
                  <w:vMerge w:val="continue"/>
                  <w:vAlign w:val="center"/>
                </w:tcPr>
                <w:p w14:paraId="2AB02151">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r>
            <w:tr w14:paraId="44226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8" w:type="pct"/>
                  <w:shd w:val="clear" w:color="auto" w:fill="auto"/>
                  <w:vAlign w:val="center"/>
                </w:tcPr>
                <w:p w14:paraId="5226ADFB">
                  <w:pPr>
                    <w:pStyle w:val="102"/>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12"/>
                      <w:kern w:val="2"/>
                      <w:sz w:val="21"/>
                      <w:szCs w:val="21"/>
                      <w:highlight w:val="none"/>
                      <w:lang w:val="en-US" w:eastAsia="zh-CN" w:bidi="ar-SA"/>
                    </w:rPr>
                  </w:pPr>
                  <w:r>
                    <w:rPr>
                      <w:rFonts w:hint="eastAsia" w:cs="Times New Roman"/>
                      <w:color w:val="auto"/>
                      <w:spacing w:val="12"/>
                      <w:kern w:val="2"/>
                      <w:sz w:val="21"/>
                      <w:szCs w:val="21"/>
                      <w:highlight w:val="none"/>
                      <w:lang w:val="en-US" w:eastAsia="zh-CN" w:bidi="ar-SA"/>
                    </w:rPr>
                    <w:t>7</w:t>
                  </w:r>
                </w:p>
              </w:tc>
              <w:tc>
                <w:tcPr>
                  <w:tcW w:w="317" w:type="pct"/>
                  <w:shd w:val="clear" w:color="auto" w:fill="auto"/>
                  <w:vAlign w:val="center"/>
                </w:tcPr>
                <w:p w14:paraId="30ED59EA">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研磨机</w:t>
                  </w:r>
                </w:p>
              </w:tc>
              <w:tc>
                <w:tcPr>
                  <w:tcW w:w="306" w:type="pct"/>
                  <w:vAlign w:val="center"/>
                </w:tcPr>
                <w:p w14:paraId="1C9F36C8">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16</w:t>
                  </w:r>
                </w:p>
              </w:tc>
              <w:tc>
                <w:tcPr>
                  <w:tcW w:w="386" w:type="pct"/>
                  <w:vAlign w:val="center"/>
                </w:tcPr>
                <w:p w14:paraId="23056928">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90</w:t>
                  </w:r>
                </w:p>
              </w:tc>
              <w:tc>
                <w:tcPr>
                  <w:tcW w:w="309" w:type="pct"/>
                  <w:vMerge w:val="continue"/>
                  <w:vAlign w:val="center"/>
                </w:tcPr>
                <w:p w14:paraId="219FD67C">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p>
              </w:tc>
              <w:tc>
                <w:tcPr>
                  <w:tcW w:w="505" w:type="pct"/>
                  <w:vAlign w:val="center"/>
                </w:tcPr>
                <w:p w14:paraId="0BF41A4F">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25</w:t>
                  </w:r>
                </w:p>
              </w:tc>
              <w:tc>
                <w:tcPr>
                  <w:tcW w:w="386" w:type="pct"/>
                  <w:vAlign w:val="center"/>
                </w:tcPr>
                <w:p w14:paraId="2EA1F236">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10</w:t>
                  </w:r>
                </w:p>
              </w:tc>
              <w:tc>
                <w:tcPr>
                  <w:tcW w:w="386" w:type="pct"/>
                  <w:vAlign w:val="center"/>
                </w:tcPr>
                <w:p w14:paraId="15D5CD39">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55</w:t>
                  </w:r>
                </w:p>
              </w:tc>
              <w:tc>
                <w:tcPr>
                  <w:tcW w:w="1129" w:type="pct"/>
                  <w:vAlign w:val="center"/>
                </w:tcPr>
                <w:p w14:paraId="462EC1BF">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w:t>
                  </w:r>
                  <w:r>
                    <w:rPr>
                      <w:rFonts w:hint="eastAsia"/>
                      <w:color w:val="auto"/>
                      <w:sz w:val="21"/>
                      <w:szCs w:val="21"/>
                      <w:highlight w:val="none"/>
                      <w:lang w:val="en-US" w:eastAsia="zh-CN"/>
                    </w:rPr>
                    <w:t>34.19</w:t>
                  </w:r>
                  <w:r>
                    <w:rPr>
                      <w:rFonts w:hint="eastAsia"/>
                      <w:color w:val="auto"/>
                      <w:sz w:val="21"/>
                      <w:szCs w:val="21"/>
                      <w:highlight w:val="none"/>
                    </w:rPr>
                    <w:t>，</w:t>
                  </w:r>
                  <w:r>
                    <w:rPr>
                      <w:rFonts w:hint="eastAsia"/>
                      <w:color w:val="auto"/>
                      <w:sz w:val="21"/>
                      <w:szCs w:val="21"/>
                      <w:highlight w:val="none"/>
                      <w:lang w:val="en-US" w:eastAsia="zh-CN"/>
                    </w:rPr>
                    <w:t>26.05</w:t>
                  </w:r>
                  <w:r>
                    <w:rPr>
                      <w:rFonts w:hint="eastAsia"/>
                      <w:color w:val="auto"/>
                      <w:sz w:val="21"/>
                      <w:szCs w:val="21"/>
                      <w:highlight w:val="none"/>
                    </w:rPr>
                    <w:t>，</w:t>
                  </w:r>
                  <w:r>
                    <w:rPr>
                      <w:rFonts w:hint="default"/>
                      <w:color w:val="auto"/>
                      <w:sz w:val="21"/>
                      <w:szCs w:val="21"/>
                      <w:highlight w:val="none"/>
                    </w:rPr>
                    <w:t>1}</w:t>
                  </w:r>
                </w:p>
              </w:tc>
              <w:tc>
                <w:tcPr>
                  <w:tcW w:w="331" w:type="pct"/>
                  <w:vMerge w:val="continue"/>
                  <w:vAlign w:val="center"/>
                </w:tcPr>
                <w:p w14:paraId="0ACBA584">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343" w:type="pct"/>
                  <w:vMerge w:val="continue"/>
                  <w:vAlign w:val="center"/>
                </w:tcPr>
                <w:p w14:paraId="4199665C">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379" w:type="pct"/>
                  <w:vMerge w:val="continue"/>
                  <w:vAlign w:val="center"/>
                </w:tcPr>
                <w:p w14:paraId="34F8B41C">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r>
            <w:tr w14:paraId="2B4CF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8" w:type="pct"/>
                  <w:shd w:val="clear" w:color="auto" w:fill="auto"/>
                  <w:vAlign w:val="center"/>
                </w:tcPr>
                <w:p w14:paraId="7666E952">
                  <w:pPr>
                    <w:pStyle w:val="102"/>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12"/>
                      <w:kern w:val="2"/>
                      <w:sz w:val="21"/>
                      <w:szCs w:val="21"/>
                      <w:highlight w:val="none"/>
                      <w:lang w:val="en-US" w:eastAsia="zh-CN" w:bidi="ar-SA"/>
                    </w:rPr>
                  </w:pPr>
                  <w:r>
                    <w:rPr>
                      <w:rFonts w:hint="eastAsia" w:cs="Times New Roman"/>
                      <w:color w:val="auto"/>
                      <w:spacing w:val="12"/>
                      <w:kern w:val="2"/>
                      <w:sz w:val="21"/>
                      <w:szCs w:val="21"/>
                      <w:highlight w:val="none"/>
                      <w:lang w:val="en-US" w:eastAsia="zh-CN" w:bidi="ar-SA"/>
                    </w:rPr>
                    <w:t>8</w:t>
                  </w:r>
                </w:p>
              </w:tc>
              <w:tc>
                <w:tcPr>
                  <w:tcW w:w="317" w:type="pct"/>
                  <w:shd w:val="clear" w:color="auto" w:fill="auto"/>
                  <w:vAlign w:val="center"/>
                </w:tcPr>
                <w:p w14:paraId="6511F19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麻轮机</w:t>
                  </w:r>
                </w:p>
              </w:tc>
              <w:tc>
                <w:tcPr>
                  <w:tcW w:w="306" w:type="pct"/>
                  <w:vAlign w:val="center"/>
                </w:tcPr>
                <w:p w14:paraId="7C6EF391">
                  <w:pPr>
                    <w:pStyle w:val="102"/>
                    <w:keepNext w:val="0"/>
                    <w:keepLines w:val="0"/>
                    <w:suppressLineNumbers w:val="0"/>
                    <w:spacing w:before="0" w:beforeAutospacing="0" w:after="0" w:afterAutospacing="0" w:line="240" w:lineRule="auto"/>
                    <w:ind w:left="0" w:right="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4</w:t>
                  </w:r>
                </w:p>
              </w:tc>
              <w:tc>
                <w:tcPr>
                  <w:tcW w:w="386" w:type="pct"/>
                  <w:vAlign w:val="center"/>
                </w:tcPr>
                <w:p w14:paraId="4782F238">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90</w:t>
                  </w:r>
                </w:p>
              </w:tc>
              <w:tc>
                <w:tcPr>
                  <w:tcW w:w="309" w:type="pct"/>
                  <w:vMerge w:val="continue"/>
                  <w:vAlign w:val="center"/>
                </w:tcPr>
                <w:p w14:paraId="05932198">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p>
              </w:tc>
              <w:tc>
                <w:tcPr>
                  <w:tcW w:w="505" w:type="pct"/>
                  <w:vAlign w:val="center"/>
                </w:tcPr>
                <w:p w14:paraId="787C7020">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25</w:t>
                  </w:r>
                </w:p>
              </w:tc>
              <w:tc>
                <w:tcPr>
                  <w:tcW w:w="386" w:type="pct"/>
                  <w:vAlign w:val="center"/>
                </w:tcPr>
                <w:p w14:paraId="58E66666">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eastAsia"/>
                      <w:color w:val="auto"/>
                      <w:sz w:val="21"/>
                      <w:szCs w:val="21"/>
                      <w:highlight w:val="none"/>
                    </w:rPr>
                    <w:t>10</w:t>
                  </w:r>
                </w:p>
              </w:tc>
              <w:tc>
                <w:tcPr>
                  <w:tcW w:w="386" w:type="pct"/>
                  <w:vAlign w:val="center"/>
                </w:tcPr>
                <w:p w14:paraId="19F32AC1">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55</w:t>
                  </w:r>
                </w:p>
              </w:tc>
              <w:tc>
                <w:tcPr>
                  <w:tcW w:w="1129" w:type="pct"/>
                  <w:vAlign w:val="center"/>
                </w:tcPr>
                <w:p w14:paraId="20BBDD78">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w:t>
                  </w:r>
                  <w:r>
                    <w:rPr>
                      <w:rFonts w:hint="eastAsia"/>
                      <w:color w:val="auto"/>
                      <w:sz w:val="21"/>
                      <w:szCs w:val="21"/>
                      <w:highlight w:val="none"/>
                      <w:lang w:val="en-US" w:eastAsia="zh-CN"/>
                    </w:rPr>
                    <w:t>14.96</w:t>
                  </w:r>
                  <w:r>
                    <w:rPr>
                      <w:rFonts w:hint="eastAsia"/>
                      <w:color w:val="auto"/>
                      <w:sz w:val="21"/>
                      <w:szCs w:val="21"/>
                      <w:highlight w:val="none"/>
                    </w:rPr>
                    <w:t>，</w:t>
                  </w:r>
                  <w:r>
                    <w:rPr>
                      <w:rFonts w:hint="eastAsia"/>
                      <w:color w:val="auto"/>
                      <w:sz w:val="21"/>
                      <w:szCs w:val="21"/>
                      <w:highlight w:val="none"/>
                      <w:lang w:val="en-US" w:eastAsia="zh-CN"/>
                    </w:rPr>
                    <w:t>10.31</w:t>
                  </w:r>
                  <w:r>
                    <w:rPr>
                      <w:rFonts w:hint="eastAsia"/>
                      <w:color w:val="auto"/>
                      <w:sz w:val="21"/>
                      <w:szCs w:val="21"/>
                      <w:highlight w:val="none"/>
                    </w:rPr>
                    <w:t>，</w:t>
                  </w:r>
                  <w:r>
                    <w:rPr>
                      <w:rFonts w:hint="default"/>
                      <w:color w:val="auto"/>
                      <w:sz w:val="21"/>
                      <w:szCs w:val="21"/>
                      <w:highlight w:val="none"/>
                    </w:rPr>
                    <w:t>1}</w:t>
                  </w:r>
                </w:p>
              </w:tc>
              <w:tc>
                <w:tcPr>
                  <w:tcW w:w="331" w:type="pct"/>
                  <w:vMerge w:val="continue"/>
                  <w:vAlign w:val="center"/>
                </w:tcPr>
                <w:p w14:paraId="622C16A3">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343" w:type="pct"/>
                  <w:vMerge w:val="continue"/>
                  <w:vAlign w:val="center"/>
                </w:tcPr>
                <w:p w14:paraId="506D6772">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379" w:type="pct"/>
                  <w:vMerge w:val="continue"/>
                  <w:vAlign w:val="center"/>
                </w:tcPr>
                <w:p w14:paraId="10266067">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r>
            <w:tr w14:paraId="571FE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8" w:type="pct"/>
                  <w:shd w:val="clear" w:color="auto" w:fill="auto"/>
                  <w:vAlign w:val="center"/>
                </w:tcPr>
                <w:p w14:paraId="71774AE9">
                  <w:pPr>
                    <w:pStyle w:val="102"/>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12"/>
                      <w:kern w:val="2"/>
                      <w:sz w:val="21"/>
                      <w:szCs w:val="21"/>
                      <w:highlight w:val="none"/>
                      <w:lang w:val="en-US" w:eastAsia="zh-CN" w:bidi="ar-SA"/>
                    </w:rPr>
                  </w:pPr>
                  <w:r>
                    <w:rPr>
                      <w:rFonts w:hint="eastAsia" w:cs="Times New Roman"/>
                      <w:color w:val="auto"/>
                      <w:spacing w:val="12"/>
                      <w:kern w:val="2"/>
                      <w:sz w:val="21"/>
                      <w:szCs w:val="21"/>
                      <w:highlight w:val="none"/>
                      <w:lang w:val="en-US" w:eastAsia="zh-CN" w:bidi="ar-SA"/>
                    </w:rPr>
                    <w:t>9</w:t>
                  </w:r>
                </w:p>
              </w:tc>
              <w:tc>
                <w:tcPr>
                  <w:tcW w:w="317" w:type="pct"/>
                  <w:shd w:val="clear" w:color="auto" w:fill="auto"/>
                  <w:vAlign w:val="center"/>
                </w:tcPr>
                <w:p w14:paraId="1F10CD56">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硬布机</w:t>
                  </w:r>
                </w:p>
              </w:tc>
              <w:tc>
                <w:tcPr>
                  <w:tcW w:w="306" w:type="pct"/>
                  <w:vAlign w:val="center"/>
                </w:tcPr>
                <w:p w14:paraId="0E9F47D9">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w:t>
                  </w:r>
                </w:p>
              </w:tc>
              <w:tc>
                <w:tcPr>
                  <w:tcW w:w="386" w:type="pct"/>
                  <w:vAlign w:val="center"/>
                </w:tcPr>
                <w:p w14:paraId="201CF46B">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90</w:t>
                  </w:r>
                </w:p>
              </w:tc>
              <w:tc>
                <w:tcPr>
                  <w:tcW w:w="309" w:type="pct"/>
                  <w:vMerge w:val="continue"/>
                  <w:vAlign w:val="center"/>
                </w:tcPr>
                <w:p w14:paraId="27D12FBB">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p>
              </w:tc>
              <w:tc>
                <w:tcPr>
                  <w:tcW w:w="505" w:type="pct"/>
                  <w:shd w:val="clear" w:color="auto" w:fill="auto"/>
                  <w:vAlign w:val="center"/>
                </w:tcPr>
                <w:p w14:paraId="0FFE83F9">
                  <w:pPr>
                    <w:pStyle w:val="102"/>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12"/>
                      <w:kern w:val="2"/>
                      <w:sz w:val="21"/>
                      <w:szCs w:val="21"/>
                      <w:highlight w:val="none"/>
                      <w:lang w:val="en-US" w:eastAsia="zh-CN" w:bidi="ar-SA"/>
                    </w:rPr>
                  </w:pPr>
                  <w:r>
                    <w:rPr>
                      <w:rFonts w:hint="eastAsia" w:cs="Times New Roman"/>
                      <w:color w:val="auto"/>
                      <w:spacing w:val="12"/>
                      <w:kern w:val="2"/>
                      <w:sz w:val="21"/>
                      <w:szCs w:val="21"/>
                      <w:highlight w:val="none"/>
                      <w:lang w:val="en-US" w:eastAsia="zh-CN" w:bidi="ar-SA"/>
                    </w:rPr>
                    <w:t>25</w:t>
                  </w:r>
                </w:p>
              </w:tc>
              <w:tc>
                <w:tcPr>
                  <w:tcW w:w="386" w:type="pct"/>
                  <w:shd w:val="clear" w:color="auto" w:fill="auto"/>
                  <w:vAlign w:val="center"/>
                </w:tcPr>
                <w:p w14:paraId="0662741A">
                  <w:pPr>
                    <w:pStyle w:val="102"/>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pacing w:val="12"/>
                      <w:kern w:val="2"/>
                      <w:sz w:val="21"/>
                      <w:szCs w:val="21"/>
                      <w:highlight w:val="none"/>
                      <w:lang w:val="en-US" w:eastAsia="zh-CN" w:bidi="ar-SA"/>
                    </w:rPr>
                  </w:pPr>
                  <w:r>
                    <w:rPr>
                      <w:rFonts w:hint="default"/>
                      <w:color w:val="auto"/>
                      <w:sz w:val="21"/>
                      <w:szCs w:val="21"/>
                      <w:highlight w:val="none"/>
                    </w:rPr>
                    <w:t>10</w:t>
                  </w:r>
                </w:p>
              </w:tc>
              <w:tc>
                <w:tcPr>
                  <w:tcW w:w="386" w:type="pct"/>
                  <w:vAlign w:val="center"/>
                </w:tcPr>
                <w:p w14:paraId="0722A7DB">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55</w:t>
                  </w:r>
                </w:p>
              </w:tc>
              <w:tc>
                <w:tcPr>
                  <w:tcW w:w="1129" w:type="pct"/>
                  <w:vAlign w:val="center"/>
                </w:tcPr>
                <w:p w14:paraId="48A49A25">
                  <w:pPr>
                    <w:pStyle w:val="102"/>
                    <w:keepNext w:val="0"/>
                    <w:keepLines w:val="0"/>
                    <w:suppressLineNumbers w:val="0"/>
                    <w:spacing w:before="0" w:beforeAutospacing="0" w:after="0" w:afterAutospacing="0" w:line="240" w:lineRule="auto"/>
                    <w:ind w:left="0" w:right="0"/>
                    <w:jc w:val="both"/>
                    <w:rPr>
                      <w:rFonts w:hint="default"/>
                      <w:color w:val="auto"/>
                      <w:sz w:val="21"/>
                      <w:szCs w:val="21"/>
                      <w:highlight w:val="none"/>
                    </w:rPr>
                  </w:pPr>
                  <w:r>
                    <w:rPr>
                      <w:rFonts w:hint="default"/>
                      <w:color w:val="auto"/>
                      <w:sz w:val="21"/>
                      <w:szCs w:val="21"/>
                      <w:highlight w:val="none"/>
                    </w:rPr>
                    <w:t>{</w:t>
                  </w:r>
                  <w:r>
                    <w:rPr>
                      <w:rFonts w:hint="eastAsia"/>
                      <w:color w:val="auto"/>
                      <w:sz w:val="21"/>
                      <w:szCs w:val="21"/>
                      <w:highlight w:val="none"/>
                      <w:lang w:val="en-US" w:eastAsia="zh-CN"/>
                    </w:rPr>
                    <w:t>-6.89</w:t>
                  </w:r>
                  <w:r>
                    <w:rPr>
                      <w:rFonts w:hint="eastAsia"/>
                      <w:color w:val="auto"/>
                      <w:sz w:val="21"/>
                      <w:szCs w:val="21"/>
                      <w:highlight w:val="none"/>
                    </w:rPr>
                    <w:t>，-</w:t>
                  </w:r>
                  <w:r>
                    <w:rPr>
                      <w:rFonts w:hint="eastAsia"/>
                      <w:color w:val="auto"/>
                      <w:sz w:val="21"/>
                      <w:szCs w:val="21"/>
                      <w:highlight w:val="none"/>
                      <w:lang w:val="en-US" w:eastAsia="zh-CN"/>
                    </w:rPr>
                    <w:t>16.78</w:t>
                  </w:r>
                  <w:r>
                    <w:rPr>
                      <w:rFonts w:hint="eastAsia"/>
                      <w:color w:val="auto"/>
                      <w:sz w:val="21"/>
                      <w:szCs w:val="21"/>
                      <w:highlight w:val="none"/>
                    </w:rPr>
                    <w:t>，</w:t>
                  </w:r>
                  <w:r>
                    <w:rPr>
                      <w:rFonts w:hint="default"/>
                      <w:color w:val="auto"/>
                      <w:sz w:val="21"/>
                      <w:szCs w:val="21"/>
                      <w:highlight w:val="none"/>
                    </w:rPr>
                    <w:t>1}</w:t>
                  </w:r>
                </w:p>
              </w:tc>
              <w:tc>
                <w:tcPr>
                  <w:tcW w:w="331" w:type="pct"/>
                  <w:vMerge w:val="continue"/>
                  <w:vAlign w:val="center"/>
                </w:tcPr>
                <w:p w14:paraId="5918CC44">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343" w:type="pct"/>
                  <w:vMerge w:val="continue"/>
                  <w:vAlign w:val="center"/>
                </w:tcPr>
                <w:p w14:paraId="5379C102">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379" w:type="pct"/>
                  <w:vMerge w:val="continue"/>
                  <w:vAlign w:val="center"/>
                </w:tcPr>
                <w:p w14:paraId="6359177A">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r>
            <w:tr w14:paraId="1FAF1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8" w:type="pct"/>
                  <w:shd w:val="clear" w:color="auto" w:fill="auto"/>
                  <w:vAlign w:val="center"/>
                </w:tcPr>
                <w:p w14:paraId="3EB14649">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10</w:t>
                  </w:r>
                </w:p>
              </w:tc>
              <w:tc>
                <w:tcPr>
                  <w:tcW w:w="317" w:type="pct"/>
                  <w:shd w:val="clear" w:color="auto" w:fill="auto"/>
                  <w:vAlign w:val="center"/>
                </w:tcPr>
                <w:p w14:paraId="032990FB">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软抛机</w:t>
                  </w:r>
                </w:p>
              </w:tc>
              <w:tc>
                <w:tcPr>
                  <w:tcW w:w="306" w:type="pct"/>
                  <w:vAlign w:val="center"/>
                </w:tcPr>
                <w:p w14:paraId="1A5D0716">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2</w:t>
                  </w:r>
                </w:p>
              </w:tc>
              <w:tc>
                <w:tcPr>
                  <w:tcW w:w="386" w:type="pct"/>
                  <w:vAlign w:val="center"/>
                </w:tcPr>
                <w:p w14:paraId="43329E55">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90</w:t>
                  </w:r>
                </w:p>
              </w:tc>
              <w:tc>
                <w:tcPr>
                  <w:tcW w:w="309" w:type="pct"/>
                  <w:vMerge w:val="continue"/>
                  <w:vAlign w:val="center"/>
                </w:tcPr>
                <w:p w14:paraId="4C44D001">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p>
              </w:tc>
              <w:tc>
                <w:tcPr>
                  <w:tcW w:w="505" w:type="pct"/>
                  <w:shd w:val="clear" w:color="auto" w:fill="auto"/>
                  <w:vAlign w:val="center"/>
                </w:tcPr>
                <w:p w14:paraId="47374149">
                  <w:pPr>
                    <w:pStyle w:val="102"/>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12"/>
                      <w:kern w:val="2"/>
                      <w:sz w:val="21"/>
                      <w:szCs w:val="21"/>
                      <w:highlight w:val="none"/>
                      <w:lang w:val="en-US" w:eastAsia="zh-CN" w:bidi="ar-SA"/>
                    </w:rPr>
                  </w:pPr>
                  <w:r>
                    <w:rPr>
                      <w:rFonts w:hint="eastAsia" w:cs="Times New Roman"/>
                      <w:color w:val="auto"/>
                      <w:spacing w:val="12"/>
                      <w:kern w:val="2"/>
                      <w:sz w:val="21"/>
                      <w:szCs w:val="21"/>
                      <w:highlight w:val="none"/>
                      <w:lang w:val="en-US" w:eastAsia="zh-CN" w:bidi="ar-SA"/>
                    </w:rPr>
                    <w:t>25</w:t>
                  </w:r>
                </w:p>
              </w:tc>
              <w:tc>
                <w:tcPr>
                  <w:tcW w:w="386" w:type="pct"/>
                  <w:shd w:val="clear" w:color="auto" w:fill="auto"/>
                  <w:vAlign w:val="center"/>
                </w:tcPr>
                <w:p w14:paraId="18242D2D">
                  <w:pPr>
                    <w:pStyle w:val="102"/>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spacing w:val="12"/>
                      <w:kern w:val="2"/>
                      <w:sz w:val="21"/>
                      <w:szCs w:val="21"/>
                      <w:highlight w:val="none"/>
                      <w:lang w:val="en-US" w:eastAsia="zh-CN" w:bidi="ar-SA"/>
                    </w:rPr>
                  </w:pPr>
                  <w:r>
                    <w:rPr>
                      <w:rFonts w:hint="default"/>
                      <w:color w:val="auto"/>
                      <w:sz w:val="21"/>
                      <w:szCs w:val="21"/>
                      <w:highlight w:val="none"/>
                    </w:rPr>
                    <w:t>10</w:t>
                  </w:r>
                </w:p>
              </w:tc>
              <w:tc>
                <w:tcPr>
                  <w:tcW w:w="386" w:type="pct"/>
                  <w:vAlign w:val="center"/>
                </w:tcPr>
                <w:p w14:paraId="011B9CA0">
                  <w:pPr>
                    <w:pStyle w:val="102"/>
                    <w:keepNext w:val="0"/>
                    <w:keepLines w:val="0"/>
                    <w:suppressLineNumbers w:val="0"/>
                    <w:spacing w:before="0" w:beforeAutospacing="0" w:after="0" w:afterAutospacing="0" w:line="240" w:lineRule="auto"/>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55</w:t>
                  </w:r>
                </w:p>
              </w:tc>
              <w:tc>
                <w:tcPr>
                  <w:tcW w:w="1129" w:type="pct"/>
                  <w:vAlign w:val="center"/>
                </w:tcPr>
                <w:p w14:paraId="69E6A7BD">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w:t>
                  </w:r>
                  <w:r>
                    <w:rPr>
                      <w:rFonts w:hint="eastAsia"/>
                      <w:color w:val="auto"/>
                      <w:sz w:val="21"/>
                      <w:szCs w:val="21"/>
                      <w:highlight w:val="none"/>
                      <w:lang w:val="en-US" w:eastAsia="zh-CN"/>
                    </w:rPr>
                    <w:t>-28.75</w:t>
                  </w:r>
                  <w:r>
                    <w:rPr>
                      <w:rFonts w:hint="eastAsia"/>
                      <w:color w:val="auto"/>
                      <w:sz w:val="21"/>
                      <w:szCs w:val="21"/>
                      <w:highlight w:val="none"/>
                    </w:rPr>
                    <w:t>，-</w:t>
                  </w:r>
                  <w:r>
                    <w:rPr>
                      <w:rFonts w:hint="eastAsia"/>
                      <w:color w:val="auto"/>
                      <w:sz w:val="21"/>
                      <w:szCs w:val="21"/>
                      <w:highlight w:val="none"/>
                      <w:lang w:val="en-US" w:eastAsia="zh-CN"/>
                    </w:rPr>
                    <w:t>36.02</w:t>
                  </w:r>
                  <w:r>
                    <w:rPr>
                      <w:rFonts w:hint="eastAsia"/>
                      <w:color w:val="auto"/>
                      <w:sz w:val="21"/>
                      <w:szCs w:val="21"/>
                      <w:highlight w:val="none"/>
                    </w:rPr>
                    <w:t>，</w:t>
                  </w:r>
                  <w:r>
                    <w:rPr>
                      <w:rFonts w:hint="default"/>
                      <w:color w:val="auto"/>
                      <w:sz w:val="21"/>
                      <w:szCs w:val="21"/>
                      <w:highlight w:val="none"/>
                    </w:rPr>
                    <w:t>1}</w:t>
                  </w:r>
                </w:p>
              </w:tc>
              <w:tc>
                <w:tcPr>
                  <w:tcW w:w="331" w:type="pct"/>
                  <w:vMerge w:val="continue"/>
                  <w:vAlign w:val="center"/>
                </w:tcPr>
                <w:p w14:paraId="1693AA8F">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343" w:type="pct"/>
                  <w:vMerge w:val="continue"/>
                  <w:vAlign w:val="center"/>
                </w:tcPr>
                <w:p w14:paraId="2B038E9D">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c>
                <w:tcPr>
                  <w:tcW w:w="379" w:type="pct"/>
                  <w:vMerge w:val="continue"/>
                  <w:vAlign w:val="center"/>
                </w:tcPr>
                <w:p w14:paraId="2FFB40AC">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p>
              </w:tc>
            </w:tr>
          </w:tbl>
          <w:p w14:paraId="78B55A1D">
            <w:pPr>
              <w:pStyle w:val="4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eastAsia"/>
                <w:bCs/>
                <w:color w:val="auto"/>
                <w:sz w:val="24"/>
                <w:highlight w:val="none"/>
              </w:rPr>
            </w:pPr>
            <w:r>
              <w:rPr>
                <w:rFonts w:hint="eastAsia"/>
                <w:b/>
                <w:bCs/>
                <w:color w:val="auto"/>
                <w:sz w:val="24"/>
                <w:highlight w:val="none"/>
              </w:rPr>
              <w:t>表4-</w:t>
            </w:r>
            <w:r>
              <w:rPr>
                <w:rFonts w:hint="eastAsia"/>
                <w:b/>
                <w:bCs/>
                <w:color w:val="auto"/>
                <w:sz w:val="24"/>
                <w:highlight w:val="none"/>
                <w:lang w:val="en-US" w:eastAsia="zh-CN"/>
              </w:rPr>
              <w:t>5-2</w:t>
            </w:r>
            <w:r>
              <w:rPr>
                <w:rFonts w:hint="eastAsia" w:ascii="Times New Roman" w:hAnsi="Times New Roman" w:eastAsia="宋体" w:cs="Times New Roman"/>
                <w:b/>
                <w:bCs w:val="0"/>
                <w:color w:val="auto"/>
                <w:sz w:val="24"/>
                <w:szCs w:val="22"/>
                <w:highlight w:val="none"/>
              </w:rPr>
              <w:t xml:space="preserve">  </w:t>
            </w:r>
            <w:r>
              <w:rPr>
                <w:rFonts w:hint="eastAsia"/>
                <w:b/>
                <w:bCs/>
                <w:color w:val="auto"/>
                <w:sz w:val="24"/>
                <w:highlight w:val="none"/>
                <w:lang w:val="en-US" w:eastAsia="zh-CN"/>
              </w:rPr>
              <w:t>室外</w:t>
            </w:r>
            <w:r>
              <w:rPr>
                <w:rFonts w:hint="eastAsia"/>
                <w:b/>
                <w:bCs/>
                <w:color w:val="auto"/>
                <w:sz w:val="24"/>
                <w:highlight w:val="none"/>
              </w:rPr>
              <w:t>主要设备噪声源强表</w:t>
            </w:r>
          </w:p>
          <w:tbl>
            <w:tblPr>
              <w:tblStyle w:val="35"/>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3"/>
              <w:gridCol w:w="1651"/>
              <w:gridCol w:w="706"/>
              <w:gridCol w:w="2099"/>
              <w:gridCol w:w="1568"/>
              <w:gridCol w:w="1307"/>
              <w:gridCol w:w="470"/>
            </w:tblGrid>
            <w:tr w14:paraId="791D2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13" w:type="dxa"/>
                  <w:vMerge w:val="restart"/>
                  <w:noWrap w:val="0"/>
                  <w:vAlign w:val="center"/>
                </w:tcPr>
                <w:p w14:paraId="5E749AD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序号</w:t>
                  </w:r>
                </w:p>
              </w:tc>
              <w:tc>
                <w:tcPr>
                  <w:tcW w:w="1651" w:type="dxa"/>
                  <w:vMerge w:val="restart"/>
                  <w:noWrap w:val="0"/>
                  <w:vAlign w:val="center"/>
                </w:tcPr>
                <w:p w14:paraId="5AD7146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声源名称</w:t>
                  </w:r>
                </w:p>
              </w:tc>
              <w:tc>
                <w:tcPr>
                  <w:tcW w:w="706" w:type="dxa"/>
                  <w:vMerge w:val="restart"/>
                  <w:noWrap w:val="0"/>
                  <w:vAlign w:val="center"/>
                </w:tcPr>
                <w:p w14:paraId="487E577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型号</w:t>
                  </w:r>
                </w:p>
              </w:tc>
              <w:tc>
                <w:tcPr>
                  <w:tcW w:w="2099" w:type="dxa"/>
                  <w:noWrap w:val="0"/>
                  <w:vAlign w:val="center"/>
                </w:tcPr>
                <w:p w14:paraId="3156C7A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空间相对位置/m</w:t>
                  </w:r>
                </w:p>
              </w:tc>
              <w:tc>
                <w:tcPr>
                  <w:tcW w:w="1568" w:type="dxa"/>
                  <w:vMerge w:val="restart"/>
                  <w:noWrap w:val="0"/>
                  <w:vAlign w:val="center"/>
                </w:tcPr>
                <w:p w14:paraId="440EE10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声源源强（声功率级</w:t>
                  </w:r>
                  <w:r>
                    <w:rPr>
                      <w:rFonts w:hint="default" w:ascii="Times New Roman" w:hAnsi="Times New Roman" w:eastAsia="宋体" w:cs="Times New Roman"/>
                      <w:b w:val="0"/>
                      <w:bCs w:val="0"/>
                      <w:color w:val="auto"/>
                      <w:sz w:val="21"/>
                      <w:szCs w:val="21"/>
                      <w:highlight w:val="none"/>
                    </w:rPr>
                    <w:t>/dB(A)</w:t>
                  </w:r>
                  <w:r>
                    <w:rPr>
                      <w:rFonts w:hint="eastAsia" w:cs="Times New Roman"/>
                      <w:b w:val="0"/>
                      <w:bCs w:val="0"/>
                      <w:color w:val="auto"/>
                      <w:sz w:val="21"/>
                      <w:szCs w:val="21"/>
                      <w:highlight w:val="none"/>
                      <w:lang w:val="en-US" w:eastAsia="zh-CN"/>
                    </w:rPr>
                    <w:t>）</w:t>
                  </w:r>
                </w:p>
              </w:tc>
              <w:tc>
                <w:tcPr>
                  <w:tcW w:w="1307" w:type="dxa"/>
                  <w:vMerge w:val="restart"/>
                  <w:noWrap w:val="0"/>
                  <w:vAlign w:val="center"/>
                </w:tcPr>
                <w:p w14:paraId="4DDBD3F6">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val="0"/>
                      <w:bCs w:val="0"/>
                      <w:color w:val="auto"/>
                      <w:sz w:val="21"/>
                      <w:szCs w:val="21"/>
                      <w:highlight w:val="none"/>
                      <w:lang w:eastAsia="zh-CN"/>
                    </w:rPr>
                  </w:pPr>
                  <w:r>
                    <w:rPr>
                      <w:rFonts w:hint="eastAsia" w:cs="Times New Roman"/>
                      <w:b w:val="0"/>
                      <w:bCs w:val="0"/>
                      <w:color w:val="auto"/>
                      <w:sz w:val="21"/>
                      <w:szCs w:val="21"/>
                      <w:highlight w:val="none"/>
                      <w:lang w:val="en-US" w:eastAsia="zh-CN"/>
                    </w:rPr>
                    <w:t>声源控制措施</w:t>
                  </w:r>
                </w:p>
              </w:tc>
              <w:tc>
                <w:tcPr>
                  <w:tcW w:w="470" w:type="dxa"/>
                  <w:vMerge w:val="restart"/>
                  <w:noWrap w:val="0"/>
                  <w:vAlign w:val="center"/>
                </w:tcPr>
                <w:p w14:paraId="3EFA5EB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运行时段</w:t>
                  </w:r>
                </w:p>
              </w:tc>
            </w:tr>
            <w:tr w14:paraId="55E61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13" w:type="dxa"/>
                  <w:vMerge w:val="continue"/>
                  <w:noWrap w:val="0"/>
                  <w:vAlign w:val="center"/>
                </w:tcPr>
                <w:p w14:paraId="2632761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rPr>
                  </w:pPr>
                </w:p>
              </w:tc>
              <w:tc>
                <w:tcPr>
                  <w:tcW w:w="1651" w:type="dxa"/>
                  <w:vMerge w:val="continue"/>
                  <w:noWrap w:val="0"/>
                  <w:vAlign w:val="center"/>
                </w:tcPr>
                <w:p w14:paraId="61F7CBE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rPr>
                  </w:pPr>
                </w:p>
              </w:tc>
              <w:tc>
                <w:tcPr>
                  <w:tcW w:w="706" w:type="dxa"/>
                  <w:vMerge w:val="continue"/>
                  <w:noWrap w:val="0"/>
                  <w:vAlign w:val="center"/>
                </w:tcPr>
                <w:p w14:paraId="77B5C2D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rPr>
                  </w:pPr>
                </w:p>
              </w:tc>
              <w:tc>
                <w:tcPr>
                  <w:tcW w:w="2099" w:type="dxa"/>
                  <w:noWrap w:val="0"/>
                  <w:vAlign w:val="center"/>
                </w:tcPr>
                <w:p w14:paraId="1918C665">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X</w:t>
                  </w:r>
                  <w:r>
                    <w:rPr>
                      <w:rFonts w:hint="eastAsia"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Y</w:t>
                  </w:r>
                  <w:r>
                    <w:rPr>
                      <w:rFonts w:hint="eastAsia"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Z</w:t>
                  </w:r>
                </w:p>
              </w:tc>
              <w:tc>
                <w:tcPr>
                  <w:tcW w:w="1568" w:type="dxa"/>
                  <w:vMerge w:val="continue"/>
                  <w:noWrap w:val="0"/>
                  <w:vAlign w:val="center"/>
                </w:tcPr>
                <w:p w14:paraId="5EBAFB9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rPr>
                  </w:pPr>
                </w:p>
              </w:tc>
              <w:tc>
                <w:tcPr>
                  <w:tcW w:w="1307" w:type="dxa"/>
                  <w:vMerge w:val="continue"/>
                  <w:noWrap w:val="0"/>
                  <w:vAlign w:val="center"/>
                </w:tcPr>
                <w:p w14:paraId="38D3651F">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rPr>
                  </w:pPr>
                </w:p>
              </w:tc>
              <w:tc>
                <w:tcPr>
                  <w:tcW w:w="470" w:type="dxa"/>
                  <w:vMerge w:val="continue"/>
                  <w:noWrap w:val="0"/>
                  <w:vAlign w:val="center"/>
                </w:tcPr>
                <w:p w14:paraId="142643A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rPr>
                  </w:pPr>
                </w:p>
              </w:tc>
            </w:tr>
            <w:tr w14:paraId="485CB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13" w:type="dxa"/>
                  <w:noWrap w:val="0"/>
                  <w:vAlign w:val="center"/>
                </w:tcPr>
                <w:p w14:paraId="0DA03A5F">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w:t>
                  </w:r>
                </w:p>
              </w:tc>
              <w:tc>
                <w:tcPr>
                  <w:tcW w:w="1651" w:type="dxa"/>
                  <w:shd w:val="clear" w:color="auto" w:fill="auto"/>
                  <w:noWrap w:val="0"/>
                  <w:vAlign w:val="center"/>
                </w:tcPr>
                <w:p w14:paraId="3221A1F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eastAsia="zh-CN"/>
                    </w:rPr>
                    <w:t>螺杆式空气压缩</w:t>
                  </w:r>
                  <w:r>
                    <w:rPr>
                      <w:rFonts w:hint="eastAsia" w:ascii="Times New Roman"/>
                      <w:color w:val="auto"/>
                      <w:sz w:val="21"/>
                      <w:szCs w:val="21"/>
                      <w:highlight w:val="none"/>
                    </w:rPr>
                    <w:t>机</w:t>
                  </w:r>
                </w:p>
              </w:tc>
              <w:tc>
                <w:tcPr>
                  <w:tcW w:w="706" w:type="dxa"/>
                  <w:shd w:val="clear" w:color="auto" w:fill="auto"/>
                  <w:noWrap w:val="0"/>
                  <w:vAlign w:val="center"/>
                </w:tcPr>
                <w:p w14:paraId="3D00CD7F">
                  <w:pPr>
                    <w:pStyle w:val="102"/>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12"/>
                      <w:kern w:val="2"/>
                      <w:sz w:val="21"/>
                      <w:szCs w:val="21"/>
                      <w:highlight w:val="none"/>
                      <w:lang w:val="en-US" w:eastAsia="zh-CN" w:bidi="ar-SA"/>
                    </w:rPr>
                  </w:pPr>
                  <w:r>
                    <w:rPr>
                      <w:rFonts w:hint="eastAsia"/>
                      <w:color w:val="auto"/>
                      <w:sz w:val="21"/>
                      <w:szCs w:val="21"/>
                      <w:highlight w:val="none"/>
                      <w:lang w:val="en-US" w:eastAsia="zh-CN"/>
                    </w:rPr>
                    <w:t>1</w:t>
                  </w:r>
                </w:p>
              </w:tc>
              <w:tc>
                <w:tcPr>
                  <w:tcW w:w="2099" w:type="dxa"/>
                  <w:shd w:val="clear" w:color="auto" w:fill="auto"/>
                  <w:noWrap w:val="0"/>
                  <w:vAlign w:val="center"/>
                </w:tcPr>
                <w:p w14:paraId="5DD32F23">
                  <w:pPr>
                    <w:pStyle w:val="102"/>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12"/>
                      <w:kern w:val="2"/>
                      <w:sz w:val="21"/>
                      <w:szCs w:val="21"/>
                      <w:highlight w:val="none"/>
                      <w:lang w:val="en-US" w:eastAsia="zh-CN" w:bidi="ar-SA"/>
                    </w:rPr>
                  </w:pPr>
                  <w:r>
                    <w:rPr>
                      <w:rFonts w:hint="default"/>
                      <w:color w:val="auto"/>
                      <w:sz w:val="21"/>
                      <w:szCs w:val="21"/>
                      <w:highlight w:val="none"/>
                    </w:rPr>
                    <w:t>{</w:t>
                  </w:r>
                  <w:r>
                    <w:rPr>
                      <w:rFonts w:hint="eastAsia"/>
                      <w:color w:val="auto"/>
                      <w:sz w:val="21"/>
                      <w:szCs w:val="21"/>
                      <w:highlight w:val="none"/>
                      <w:lang w:val="en-US" w:eastAsia="zh-CN"/>
                    </w:rPr>
                    <w:t>30.62</w:t>
                  </w:r>
                  <w:r>
                    <w:rPr>
                      <w:rFonts w:hint="eastAsia"/>
                      <w:color w:val="auto"/>
                      <w:sz w:val="21"/>
                      <w:szCs w:val="21"/>
                      <w:highlight w:val="none"/>
                    </w:rPr>
                    <w:t>，</w:t>
                  </w:r>
                  <w:r>
                    <w:rPr>
                      <w:rFonts w:hint="eastAsia"/>
                      <w:color w:val="auto"/>
                      <w:sz w:val="21"/>
                      <w:szCs w:val="21"/>
                      <w:highlight w:val="none"/>
                      <w:lang w:val="en-US" w:eastAsia="zh-CN"/>
                    </w:rPr>
                    <w:t>-1.29</w:t>
                  </w:r>
                  <w:r>
                    <w:rPr>
                      <w:rFonts w:hint="eastAsia"/>
                      <w:color w:val="auto"/>
                      <w:sz w:val="21"/>
                      <w:szCs w:val="21"/>
                      <w:highlight w:val="none"/>
                    </w:rPr>
                    <w:t>，</w:t>
                  </w:r>
                  <w:r>
                    <w:rPr>
                      <w:rFonts w:hint="default"/>
                      <w:color w:val="auto"/>
                      <w:sz w:val="21"/>
                      <w:szCs w:val="21"/>
                      <w:highlight w:val="none"/>
                    </w:rPr>
                    <w:t>1}</w:t>
                  </w:r>
                </w:p>
              </w:tc>
              <w:tc>
                <w:tcPr>
                  <w:tcW w:w="1568" w:type="dxa"/>
                  <w:noWrap w:val="0"/>
                  <w:vAlign w:val="center"/>
                </w:tcPr>
                <w:p w14:paraId="04DF635E">
                  <w:pPr>
                    <w:keepNext w:val="0"/>
                    <w:keepLines w:val="0"/>
                    <w:suppressLineNumbers w:val="0"/>
                    <w:spacing w:before="0" w:beforeAutospacing="0" w:after="0" w:afterAutospacing="0" w:line="240" w:lineRule="auto"/>
                    <w:ind w:left="0" w:right="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100</w:t>
                  </w:r>
                </w:p>
              </w:tc>
              <w:tc>
                <w:tcPr>
                  <w:tcW w:w="1307" w:type="dxa"/>
                  <w:noWrap w:val="0"/>
                  <w:vAlign w:val="center"/>
                </w:tcPr>
                <w:p w14:paraId="54CAEA06">
                  <w:pPr>
                    <w:keepNext w:val="0"/>
                    <w:keepLines w:val="0"/>
                    <w:suppressLineNumbers w:val="0"/>
                    <w:spacing w:before="0" w:beforeAutospacing="0" w:after="0" w:afterAutospacing="0" w:line="240" w:lineRule="auto"/>
                    <w:ind w:left="0" w:right="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基础减振，</w:t>
                  </w:r>
                </w:p>
                <w:p w14:paraId="02C2748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距离衰减</w:t>
                  </w:r>
                </w:p>
              </w:tc>
              <w:tc>
                <w:tcPr>
                  <w:tcW w:w="470" w:type="dxa"/>
                  <w:noWrap w:val="0"/>
                  <w:vAlign w:val="center"/>
                </w:tcPr>
                <w:p w14:paraId="3218091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昼夜</w:t>
                  </w:r>
                </w:p>
              </w:tc>
            </w:tr>
          </w:tbl>
          <w:p w14:paraId="2312E0B8">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color w:val="auto"/>
                <w:sz w:val="24"/>
                <w:szCs w:val="22"/>
                <w:highlight w:val="none"/>
              </w:rPr>
            </w:pPr>
            <w:r>
              <w:rPr>
                <w:rFonts w:hint="eastAsia"/>
                <w:bCs/>
                <w:color w:val="auto"/>
                <w:sz w:val="24"/>
                <w:highlight w:val="none"/>
              </w:rPr>
              <w:t>按照噪声预测模式，结合噪声源到各预测点距离和各现状监测点的监测值，通过计算，项目各噪声源对四周厂界的噪声贡献值见下表。结果见下表。</w:t>
            </w:r>
          </w:p>
          <w:p w14:paraId="2643B84E">
            <w:pPr>
              <w:pStyle w:val="47"/>
              <w:keepNext w:val="0"/>
              <w:keepLines w:val="0"/>
              <w:suppressLineNumbers w:val="0"/>
              <w:spacing w:before="0" w:beforeAutospacing="0" w:after="0" w:afterAutospacing="0"/>
              <w:ind w:right="0" w:firstLine="723"/>
              <w:rPr>
                <w:rFonts w:hint="default" w:eastAsia="宋体"/>
                <w:b/>
                <w:bCs w:val="0"/>
                <w:color w:val="auto"/>
                <w:sz w:val="24"/>
                <w:szCs w:val="22"/>
                <w:highlight w:val="none"/>
              </w:rPr>
            </w:pPr>
            <w:r>
              <w:rPr>
                <w:rFonts w:hint="default" w:eastAsia="宋体"/>
                <w:b/>
                <w:bCs w:val="0"/>
                <w:color w:val="auto"/>
                <w:sz w:val="24"/>
                <w:szCs w:val="22"/>
                <w:highlight w:val="none"/>
              </w:rPr>
              <w:t>表4-</w:t>
            </w:r>
            <w:r>
              <w:rPr>
                <w:rFonts w:hint="eastAsia" w:eastAsia="宋体"/>
                <w:b/>
                <w:bCs w:val="0"/>
                <w:color w:val="auto"/>
                <w:sz w:val="24"/>
                <w:szCs w:val="22"/>
                <w:highlight w:val="none"/>
                <w:lang w:val="en-US" w:eastAsia="zh-CN"/>
              </w:rPr>
              <w:t>6</w:t>
            </w:r>
            <w:r>
              <w:rPr>
                <w:rFonts w:hint="default" w:eastAsia="宋体"/>
                <w:b/>
                <w:bCs w:val="0"/>
                <w:color w:val="auto"/>
                <w:sz w:val="24"/>
                <w:szCs w:val="22"/>
                <w:highlight w:val="none"/>
              </w:rPr>
              <w:t xml:space="preserve">  项目建成后厂界噪声预测结果一览表  单位：dB(A)</w:t>
            </w:r>
          </w:p>
          <w:tbl>
            <w:tblPr>
              <w:tblStyle w:val="35"/>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768"/>
              <w:gridCol w:w="1092"/>
              <w:gridCol w:w="1092"/>
              <w:gridCol w:w="2184"/>
              <w:gridCol w:w="1092"/>
              <w:gridCol w:w="1092"/>
            </w:tblGrid>
            <w:tr w14:paraId="35BBE0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62" w:type="pct"/>
                  <w:vMerge w:val="restart"/>
                  <w:vAlign w:val="center"/>
                </w:tcPr>
                <w:p w14:paraId="0F024A6D">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预测点</w:t>
                  </w:r>
                </w:p>
              </w:tc>
              <w:tc>
                <w:tcPr>
                  <w:tcW w:w="1312" w:type="pct"/>
                  <w:gridSpan w:val="2"/>
                  <w:tcBorders>
                    <w:top w:val="single" w:color="auto" w:sz="4" w:space="0"/>
                    <w:bottom w:val="single" w:color="auto" w:sz="4" w:space="0"/>
                  </w:tcBorders>
                  <w:vAlign w:val="center"/>
                </w:tcPr>
                <w:p w14:paraId="65EDF304">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噪声标准dB（A）</w:t>
                  </w:r>
                </w:p>
              </w:tc>
              <w:tc>
                <w:tcPr>
                  <w:tcW w:w="1312" w:type="pct"/>
                  <w:vMerge w:val="restart"/>
                  <w:vAlign w:val="center"/>
                </w:tcPr>
                <w:p w14:paraId="7490BBDD">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噪声贡献值dB（A）</w:t>
                  </w:r>
                </w:p>
              </w:tc>
              <w:tc>
                <w:tcPr>
                  <w:tcW w:w="1312" w:type="pct"/>
                  <w:gridSpan w:val="2"/>
                  <w:tcBorders>
                    <w:bottom w:val="single" w:color="auto" w:sz="4" w:space="0"/>
                  </w:tcBorders>
                  <w:vAlign w:val="center"/>
                </w:tcPr>
                <w:p w14:paraId="6F83FE33">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超标和达标情况</w:t>
                  </w:r>
                </w:p>
              </w:tc>
            </w:tr>
            <w:tr w14:paraId="67A09B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62" w:type="pct"/>
                  <w:vMerge w:val="continue"/>
                  <w:vAlign w:val="center"/>
                </w:tcPr>
                <w:p w14:paraId="03A1EB46">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p>
              </w:tc>
              <w:tc>
                <w:tcPr>
                  <w:tcW w:w="656" w:type="pct"/>
                  <w:tcBorders>
                    <w:top w:val="single" w:color="auto" w:sz="4" w:space="0"/>
                    <w:right w:val="single" w:color="auto" w:sz="4" w:space="0"/>
                  </w:tcBorders>
                  <w:vAlign w:val="center"/>
                </w:tcPr>
                <w:p w14:paraId="75CB8770">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kern w:val="0"/>
                      <w:szCs w:val="21"/>
                      <w:highlight w:val="none"/>
                    </w:rPr>
                    <w:t>昼间</w:t>
                  </w:r>
                </w:p>
              </w:tc>
              <w:tc>
                <w:tcPr>
                  <w:tcW w:w="656" w:type="pct"/>
                  <w:tcBorders>
                    <w:top w:val="single" w:color="auto" w:sz="4" w:space="0"/>
                    <w:left w:val="single" w:color="auto" w:sz="4" w:space="0"/>
                  </w:tcBorders>
                  <w:vAlign w:val="center"/>
                </w:tcPr>
                <w:p w14:paraId="1C17B792">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夜间</w:t>
                  </w:r>
                </w:p>
              </w:tc>
              <w:tc>
                <w:tcPr>
                  <w:tcW w:w="1312" w:type="pct"/>
                  <w:vMerge w:val="continue"/>
                  <w:vAlign w:val="center"/>
                </w:tcPr>
                <w:p w14:paraId="331FC417">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p>
              </w:tc>
              <w:tc>
                <w:tcPr>
                  <w:tcW w:w="656" w:type="pct"/>
                  <w:tcBorders>
                    <w:top w:val="single" w:color="auto" w:sz="4" w:space="0"/>
                    <w:right w:val="single" w:color="auto" w:sz="4" w:space="0"/>
                  </w:tcBorders>
                  <w:vAlign w:val="center"/>
                </w:tcPr>
                <w:p w14:paraId="64B27C4C">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kern w:val="0"/>
                      <w:szCs w:val="21"/>
                      <w:highlight w:val="none"/>
                    </w:rPr>
                    <w:t>昼间</w:t>
                  </w:r>
                </w:p>
              </w:tc>
              <w:tc>
                <w:tcPr>
                  <w:tcW w:w="656" w:type="pct"/>
                  <w:tcBorders>
                    <w:top w:val="single" w:color="auto" w:sz="4" w:space="0"/>
                    <w:left w:val="single" w:color="auto" w:sz="4" w:space="0"/>
                  </w:tcBorders>
                  <w:vAlign w:val="center"/>
                </w:tcPr>
                <w:p w14:paraId="2E575690">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kern w:val="0"/>
                      <w:szCs w:val="21"/>
                      <w:highlight w:val="none"/>
                    </w:rPr>
                    <w:t>夜间</w:t>
                  </w:r>
                </w:p>
              </w:tc>
            </w:tr>
            <w:tr w14:paraId="7ECB41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62" w:type="pct"/>
                  <w:tcBorders>
                    <w:bottom w:val="single" w:color="auto" w:sz="4" w:space="0"/>
                  </w:tcBorders>
                  <w:vAlign w:val="center"/>
                </w:tcPr>
                <w:p w14:paraId="17868209">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东厂界</w:t>
                  </w:r>
                </w:p>
              </w:tc>
              <w:tc>
                <w:tcPr>
                  <w:tcW w:w="656" w:type="pct"/>
                  <w:tcBorders>
                    <w:bottom w:val="single" w:color="auto" w:sz="4" w:space="0"/>
                    <w:right w:val="single" w:color="auto" w:sz="4" w:space="0"/>
                  </w:tcBorders>
                  <w:vAlign w:val="center"/>
                </w:tcPr>
                <w:p w14:paraId="1E375655">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szCs w:val="21"/>
                      <w:highlight w:val="none"/>
                    </w:rPr>
                    <w:t>65</w:t>
                  </w:r>
                </w:p>
              </w:tc>
              <w:tc>
                <w:tcPr>
                  <w:tcW w:w="656" w:type="pct"/>
                  <w:tcBorders>
                    <w:left w:val="single" w:color="auto" w:sz="4" w:space="0"/>
                  </w:tcBorders>
                  <w:vAlign w:val="center"/>
                </w:tcPr>
                <w:p w14:paraId="4BF7C429">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55</w:t>
                  </w:r>
                </w:p>
              </w:tc>
              <w:tc>
                <w:tcPr>
                  <w:tcW w:w="1312" w:type="pct"/>
                  <w:tcBorders>
                    <w:left w:val="single" w:color="auto" w:sz="4" w:space="0"/>
                  </w:tcBorders>
                  <w:shd w:val="clear" w:color="auto" w:fill="auto"/>
                  <w:vAlign w:val="center"/>
                </w:tcPr>
                <w:p w14:paraId="0DF4FF82">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47.52</w:t>
                  </w:r>
                </w:p>
              </w:tc>
              <w:tc>
                <w:tcPr>
                  <w:tcW w:w="656" w:type="pct"/>
                  <w:tcBorders>
                    <w:right w:val="single" w:color="auto" w:sz="4" w:space="0"/>
                  </w:tcBorders>
                  <w:vAlign w:val="center"/>
                </w:tcPr>
                <w:p w14:paraId="0AFAE663">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达标</w:t>
                  </w:r>
                </w:p>
              </w:tc>
              <w:tc>
                <w:tcPr>
                  <w:tcW w:w="656" w:type="pct"/>
                  <w:tcBorders>
                    <w:left w:val="single" w:color="auto" w:sz="4" w:space="0"/>
                  </w:tcBorders>
                  <w:shd w:val="clear" w:color="auto" w:fill="auto"/>
                  <w:vAlign w:val="center"/>
                </w:tcPr>
                <w:p w14:paraId="5665145E">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达标</w:t>
                  </w:r>
                </w:p>
              </w:tc>
            </w:tr>
            <w:tr w14:paraId="64CD1F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62" w:type="pct"/>
                  <w:tcBorders>
                    <w:top w:val="single" w:color="auto" w:sz="4" w:space="0"/>
                    <w:bottom w:val="single" w:color="auto" w:sz="4" w:space="0"/>
                  </w:tcBorders>
                  <w:vAlign w:val="center"/>
                </w:tcPr>
                <w:p w14:paraId="568A6C14">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西厂界</w:t>
                  </w:r>
                </w:p>
              </w:tc>
              <w:tc>
                <w:tcPr>
                  <w:tcW w:w="656" w:type="pct"/>
                  <w:tcBorders>
                    <w:top w:val="single" w:color="auto" w:sz="4" w:space="0"/>
                    <w:bottom w:val="single" w:color="auto" w:sz="4" w:space="0"/>
                    <w:right w:val="single" w:color="auto" w:sz="4" w:space="0"/>
                  </w:tcBorders>
                  <w:vAlign w:val="center"/>
                </w:tcPr>
                <w:p w14:paraId="1761207F">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szCs w:val="21"/>
                      <w:highlight w:val="none"/>
                    </w:rPr>
                    <w:t>65</w:t>
                  </w:r>
                </w:p>
              </w:tc>
              <w:tc>
                <w:tcPr>
                  <w:tcW w:w="656" w:type="pct"/>
                  <w:tcBorders>
                    <w:left w:val="single" w:color="auto" w:sz="4" w:space="0"/>
                  </w:tcBorders>
                  <w:vAlign w:val="center"/>
                </w:tcPr>
                <w:p w14:paraId="04286AD4">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55</w:t>
                  </w:r>
                </w:p>
              </w:tc>
              <w:tc>
                <w:tcPr>
                  <w:tcW w:w="1312" w:type="pct"/>
                  <w:tcBorders>
                    <w:left w:val="single" w:color="auto" w:sz="4" w:space="0"/>
                  </w:tcBorders>
                  <w:shd w:val="clear" w:color="auto" w:fill="auto"/>
                  <w:vAlign w:val="center"/>
                </w:tcPr>
                <w:p w14:paraId="42205BF3">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44.22</w:t>
                  </w:r>
                </w:p>
              </w:tc>
              <w:tc>
                <w:tcPr>
                  <w:tcW w:w="656" w:type="pct"/>
                  <w:tcBorders>
                    <w:right w:val="single" w:color="auto" w:sz="4" w:space="0"/>
                  </w:tcBorders>
                  <w:vAlign w:val="center"/>
                </w:tcPr>
                <w:p w14:paraId="6E7446D3">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达标</w:t>
                  </w:r>
                </w:p>
              </w:tc>
              <w:tc>
                <w:tcPr>
                  <w:tcW w:w="656" w:type="pct"/>
                  <w:tcBorders>
                    <w:left w:val="single" w:color="auto" w:sz="4" w:space="0"/>
                  </w:tcBorders>
                  <w:shd w:val="clear" w:color="auto" w:fill="auto"/>
                  <w:vAlign w:val="center"/>
                </w:tcPr>
                <w:p w14:paraId="7DCE0CC7">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达标</w:t>
                  </w:r>
                </w:p>
              </w:tc>
            </w:tr>
            <w:tr w14:paraId="469427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62" w:type="pct"/>
                  <w:tcBorders>
                    <w:top w:val="single" w:color="auto" w:sz="4" w:space="0"/>
                    <w:bottom w:val="single" w:color="auto" w:sz="4" w:space="0"/>
                  </w:tcBorders>
                  <w:vAlign w:val="center"/>
                </w:tcPr>
                <w:p w14:paraId="2C3EA9C0">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南厂界</w:t>
                  </w:r>
                </w:p>
              </w:tc>
              <w:tc>
                <w:tcPr>
                  <w:tcW w:w="656" w:type="pct"/>
                  <w:tcBorders>
                    <w:top w:val="single" w:color="auto" w:sz="4" w:space="0"/>
                    <w:bottom w:val="single" w:color="auto" w:sz="4" w:space="0"/>
                    <w:right w:val="single" w:color="auto" w:sz="4" w:space="0"/>
                  </w:tcBorders>
                  <w:vAlign w:val="center"/>
                </w:tcPr>
                <w:p w14:paraId="7B02F753">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szCs w:val="21"/>
                      <w:highlight w:val="none"/>
                    </w:rPr>
                    <w:t>65</w:t>
                  </w:r>
                </w:p>
              </w:tc>
              <w:tc>
                <w:tcPr>
                  <w:tcW w:w="656" w:type="pct"/>
                  <w:tcBorders>
                    <w:left w:val="single" w:color="auto" w:sz="4" w:space="0"/>
                  </w:tcBorders>
                  <w:vAlign w:val="center"/>
                </w:tcPr>
                <w:p w14:paraId="3BD71D6B">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55</w:t>
                  </w:r>
                </w:p>
              </w:tc>
              <w:tc>
                <w:tcPr>
                  <w:tcW w:w="1312" w:type="pct"/>
                  <w:tcBorders>
                    <w:left w:val="single" w:color="auto" w:sz="4" w:space="0"/>
                  </w:tcBorders>
                  <w:shd w:val="clear" w:color="auto" w:fill="auto"/>
                  <w:vAlign w:val="center"/>
                </w:tcPr>
                <w:p w14:paraId="2D86B688">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48.52</w:t>
                  </w:r>
                </w:p>
              </w:tc>
              <w:tc>
                <w:tcPr>
                  <w:tcW w:w="656" w:type="pct"/>
                  <w:tcBorders>
                    <w:right w:val="single" w:color="auto" w:sz="4" w:space="0"/>
                  </w:tcBorders>
                  <w:vAlign w:val="center"/>
                </w:tcPr>
                <w:p w14:paraId="2415508E">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达标</w:t>
                  </w:r>
                </w:p>
              </w:tc>
              <w:tc>
                <w:tcPr>
                  <w:tcW w:w="656" w:type="pct"/>
                  <w:tcBorders>
                    <w:left w:val="single" w:color="auto" w:sz="4" w:space="0"/>
                  </w:tcBorders>
                  <w:shd w:val="clear" w:color="auto" w:fill="auto"/>
                  <w:vAlign w:val="center"/>
                </w:tcPr>
                <w:p w14:paraId="60C0268F">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达标</w:t>
                  </w:r>
                </w:p>
              </w:tc>
            </w:tr>
            <w:tr w14:paraId="303F5D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62" w:type="pct"/>
                  <w:tcBorders>
                    <w:top w:val="single" w:color="auto" w:sz="4" w:space="0"/>
                  </w:tcBorders>
                  <w:vAlign w:val="center"/>
                </w:tcPr>
                <w:p w14:paraId="3CA9DA4F">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北厂界</w:t>
                  </w:r>
                </w:p>
              </w:tc>
              <w:tc>
                <w:tcPr>
                  <w:tcW w:w="656" w:type="pct"/>
                  <w:tcBorders>
                    <w:top w:val="single" w:color="auto" w:sz="4" w:space="0"/>
                    <w:right w:val="single" w:color="auto" w:sz="4" w:space="0"/>
                  </w:tcBorders>
                  <w:vAlign w:val="center"/>
                </w:tcPr>
                <w:p w14:paraId="5B28ED54">
                  <w:pPr>
                    <w:keepNext w:val="0"/>
                    <w:keepLines w:val="0"/>
                    <w:suppressLineNumbers w:val="0"/>
                    <w:adjustRightInd w:val="0"/>
                    <w:snapToGrid w:val="0"/>
                    <w:spacing w:before="0" w:beforeAutospacing="0" w:after="0" w:afterAutospacing="0"/>
                    <w:ind w:left="0" w:right="0"/>
                    <w:jc w:val="center"/>
                    <w:rPr>
                      <w:rFonts w:hint="default"/>
                      <w:color w:val="auto"/>
                      <w:kern w:val="0"/>
                      <w:szCs w:val="21"/>
                      <w:highlight w:val="none"/>
                    </w:rPr>
                  </w:pPr>
                  <w:r>
                    <w:rPr>
                      <w:rFonts w:hint="default"/>
                      <w:color w:val="auto"/>
                      <w:szCs w:val="21"/>
                      <w:highlight w:val="none"/>
                    </w:rPr>
                    <w:t>65</w:t>
                  </w:r>
                </w:p>
              </w:tc>
              <w:tc>
                <w:tcPr>
                  <w:tcW w:w="656" w:type="pct"/>
                  <w:tcBorders>
                    <w:left w:val="single" w:color="auto" w:sz="4" w:space="0"/>
                  </w:tcBorders>
                  <w:vAlign w:val="center"/>
                </w:tcPr>
                <w:p w14:paraId="4C25872E">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55</w:t>
                  </w:r>
                </w:p>
              </w:tc>
              <w:tc>
                <w:tcPr>
                  <w:tcW w:w="1312" w:type="pct"/>
                  <w:tcBorders>
                    <w:left w:val="single" w:color="auto" w:sz="4" w:space="0"/>
                  </w:tcBorders>
                  <w:shd w:val="clear" w:color="auto" w:fill="auto"/>
                  <w:vAlign w:val="center"/>
                </w:tcPr>
                <w:p w14:paraId="19A0957F">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44.15</w:t>
                  </w:r>
                </w:p>
              </w:tc>
              <w:tc>
                <w:tcPr>
                  <w:tcW w:w="656" w:type="pct"/>
                  <w:tcBorders>
                    <w:right w:val="single" w:color="auto" w:sz="4" w:space="0"/>
                  </w:tcBorders>
                  <w:vAlign w:val="center"/>
                </w:tcPr>
                <w:p w14:paraId="4093EC7F">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达标</w:t>
                  </w:r>
                </w:p>
              </w:tc>
              <w:tc>
                <w:tcPr>
                  <w:tcW w:w="656" w:type="pct"/>
                  <w:tcBorders>
                    <w:left w:val="single" w:color="auto" w:sz="4" w:space="0"/>
                  </w:tcBorders>
                  <w:shd w:val="clear" w:color="auto" w:fill="auto"/>
                  <w:vAlign w:val="center"/>
                </w:tcPr>
                <w:p w14:paraId="05E4A94B">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达标</w:t>
                  </w:r>
                </w:p>
              </w:tc>
            </w:tr>
          </w:tbl>
          <w:p w14:paraId="0A049DA8">
            <w:pPr>
              <w:pStyle w:val="3"/>
              <w:keepNext/>
              <w:keepLines w:val="0"/>
              <w:suppressLineNumbers w:val="0"/>
              <w:spacing w:before="0" w:beforeAutospacing="0" w:after="0" w:afterAutospacing="0"/>
              <w:ind w:left="0" w:right="0" w:firstLine="480" w:firstLineChars="200"/>
              <w:rPr>
                <w:rFonts w:hint="default"/>
                <w:b w:val="0"/>
                <w:color w:val="auto"/>
                <w:szCs w:val="24"/>
                <w:highlight w:val="none"/>
              </w:rPr>
            </w:pPr>
            <w:r>
              <w:rPr>
                <w:rFonts w:hint="default"/>
                <w:b w:val="0"/>
                <w:color w:val="auto"/>
                <w:szCs w:val="24"/>
                <w:highlight w:val="none"/>
              </w:rPr>
              <w:t>本项目对产生噪声设备采取了基础减振、厂房隔声等措施，风机加装隔声罩，再经距离衰减后厂界噪声能够满足《工业企业厂界环境噪声排放标准》(GB12348-2008)</w:t>
            </w:r>
            <w:r>
              <w:rPr>
                <w:rFonts w:hint="eastAsia"/>
                <w:b w:val="0"/>
                <w:color w:val="auto"/>
                <w:szCs w:val="24"/>
                <w:highlight w:val="none"/>
              </w:rPr>
              <w:t>3</w:t>
            </w:r>
            <w:r>
              <w:rPr>
                <w:rFonts w:hint="default"/>
                <w:b w:val="0"/>
                <w:color w:val="auto"/>
                <w:szCs w:val="24"/>
                <w:highlight w:val="none"/>
              </w:rPr>
              <w:t>类标准要求。因此，项目运营期噪声对声环境的影响较小。</w:t>
            </w:r>
          </w:p>
          <w:p w14:paraId="6E20F019">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bCs/>
                <w:color w:val="auto"/>
                <w:sz w:val="24"/>
                <w:highlight w:val="none"/>
              </w:rPr>
            </w:pPr>
            <w:r>
              <w:rPr>
                <w:rFonts w:hint="eastAsia"/>
                <w:bCs/>
                <w:color w:val="auto"/>
                <w:sz w:val="24"/>
                <w:highlight w:val="none"/>
              </w:rPr>
              <w:t>2.2监测要求</w:t>
            </w:r>
          </w:p>
          <w:p w14:paraId="00A7E686">
            <w:pPr>
              <w:pStyle w:val="3"/>
              <w:keepNext/>
              <w:keepLines w:val="0"/>
              <w:suppressLineNumbers w:val="0"/>
              <w:spacing w:before="0" w:beforeAutospacing="0" w:after="0" w:afterAutospacing="0"/>
              <w:ind w:left="0" w:right="0" w:firstLine="480" w:firstLineChars="200"/>
              <w:rPr>
                <w:rFonts w:hint="default"/>
                <w:b w:val="0"/>
                <w:color w:val="auto"/>
                <w:szCs w:val="24"/>
                <w:highlight w:val="none"/>
              </w:rPr>
            </w:pPr>
            <w:r>
              <w:rPr>
                <w:rFonts w:hint="eastAsia"/>
                <w:b w:val="0"/>
                <w:color w:val="auto"/>
                <w:szCs w:val="24"/>
                <w:highlight w:val="none"/>
              </w:rPr>
              <w:t>按照国家颁布的环境质量标准、污染物排放标准及地方环保部门的要求，参照</w:t>
            </w:r>
            <w:r>
              <w:rPr>
                <w:rFonts w:hint="eastAsia" w:ascii="Times New Roman" w:hAnsi="Times New Roman" w:eastAsia="宋体" w:cs="Times New Roman"/>
                <w:b w:val="0"/>
                <w:color w:val="auto"/>
                <w:szCs w:val="24"/>
                <w:highlight w:val="none"/>
              </w:rPr>
              <w:t>《排污许可证申请与核发技术规范 汽车制造业》 (HJ 971-2018)、《排污许可证申请与核发技术规范 工业噪声》(HJ 1301-2023)中</w:t>
            </w:r>
            <w:r>
              <w:rPr>
                <w:rFonts w:hint="eastAsia"/>
                <w:b w:val="0"/>
                <w:color w:val="auto"/>
                <w:szCs w:val="24"/>
                <w:highlight w:val="none"/>
              </w:rPr>
              <w:t>噪声监测项目、最低监测频次，结合本项目生产特点及污染物排放特征制定监测方案，环境监测的主要工作内容如下</w:t>
            </w:r>
            <w:r>
              <w:rPr>
                <w:rFonts w:hint="default"/>
                <w:b w:val="0"/>
                <w:color w:val="auto"/>
                <w:szCs w:val="24"/>
                <w:highlight w:val="none"/>
              </w:rPr>
              <w:t>。</w:t>
            </w:r>
          </w:p>
          <w:p w14:paraId="44434479">
            <w:pPr>
              <w:pStyle w:val="47"/>
              <w:keepNext w:val="0"/>
              <w:keepLines w:val="0"/>
              <w:suppressLineNumbers w:val="0"/>
              <w:spacing w:before="0" w:beforeAutospacing="0" w:after="0" w:afterAutospacing="0"/>
              <w:ind w:left="0" w:right="0" w:firstLine="0" w:firstLineChars="0"/>
              <w:jc w:val="center"/>
              <w:rPr>
                <w:rFonts w:hint="default"/>
                <w:b/>
                <w:bCs w:val="0"/>
                <w:color w:val="auto"/>
                <w:sz w:val="24"/>
                <w:szCs w:val="22"/>
                <w:highlight w:val="none"/>
              </w:rPr>
            </w:pPr>
            <w:r>
              <w:rPr>
                <w:rFonts w:hint="default" w:eastAsia="宋体"/>
                <w:b/>
                <w:bCs w:val="0"/>
                <w:color w:val="auto"/>
                <w:sz w:val="24"/>
                <w:highlight w:val="none"/>
              </w:rPr>
              <w:t>表4-</w:t>
            </w:r>
            <w:r>
              <w:rPr>
                <w:rFonts w:hint="eastAsia" w:eastAsia="宋体"/>
                <w:b/>
                <w:bCs w:val="0"/>
                <w:color w:val="auto"/>
                <w:sz w:val="24"/>
                <w:highlight w:val="none"/>
                <w:lang w:val="en-US" w:eastAsia="zh-CN"/>
              </w:rPr>
              <w:t>7</w:t>
            </w:r>
            <w:r>
              <w:rPr>
                <w:rFonts w:hint="default" w:eastAsia="宋体"/>
                <w:b/>
                <w:bCs w:val="0"/>
                <w:color w:val="auto"/>
                <w:sz w:val="24"/>
                <w:highlight w:val="none"/>
              </w:rPr>
              <w:t xml:space="preserve">  监测要求一览表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2938"/>
              <w:gridCol w:w="2013"/>
              <w:gridCol w:w="2101"/>
            </w:tblGrid>
            <w:tr w14:paraId="747E5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12" w:type="dxa"/>
                  <w:vAlign w:val="center"/>
                </w:tcPr>
                <w:p w14:paraId="63A6ACB9">
                  <w:pPr>
                    <w:pStyle w:val="31"/>
                    <w:keepNext w:val="0"/>
                    <w:keepLines w:val="0"/>
                    <w:suppressLineNumbers w:val="0"/>
                    <w:ind w:left="0" w:right="0"/>
                    <w:jc w:val="center"/>
                    <w:rPr>
                      <w:rFonts w:hint="default" w:ascii="Times New Roman" w:hAnsi="Times New Roman"/>
                      <w:color w:val="auto"/>
                      <w:sz w:val="21"/>
                      <w:szCs w:val="21"/>
                      <w:highlight w:val="none"/>
                    </w:rPr>
                  </w:pPr>
                  <w:r>
                    <w:rPr>
                      <w:rFonts w:hint="default" w:ascii="Times New Roman" w:hAnsi="Times New Roman"/>
                      <w:color w:val="auto"/>
                      <w:sz w:val="21"/>
                      <w:szCs w:val="21"/>
                      <w:highlight w:val="none"/>
                    </w:rPr>
                    <w:t>监测项目</w:t>
                  </w:r>
                </w:p>
              </w:tc>
              <w:tc>
                <w:tcPr>
                  <w:tcW w:w="2802" w:type="dxa"/>
                  <w:vAlign w:val="center"/>
                </w:tcPr>
                <w:p w14:paraId="0C3D278D">
                  <w:pPr>
                    <w:pStyle w:val="31"/>
                    <w:keepNext w:val="0"/>
                    <w:keepLines w:val="0"/>
                    <w:suppressLineNumbers w:val="0"/>
                    <w:ind w:left="0" w:right="0"/>
                    <w:jc w:val="center"/>
                    <w:rPr>
                      <w:rFonts w:hint="default" w:ascii="Times New Roman" w:hAnsi="Times New Roman"/>
                      <w:color w:val="auto"/>
                      <w:sz w:val="21"/>
                      <w:szCs w:val="21"/>
                      <w:highlight w:val="none"/>
                    </w:rPr>
                  </w:pPr>
                  <w:r>
                    <w:rPr>
                      <w:rFonts w:hint="default" w:ascii="Times New Roman" w:hAnsi="Times New Roman"/>
                      <w:color w:val="auto"/>
                      <w:sz w:val="21"/>
                      <w:szCs w:val="21"/>
                      <w:highlight w:val="none"/>
                    </w:rPr>
                    <w:t>监测点位</w:t>
                  </w:r>
                </w:p>
              </w:tc>
              <w:tc>
                <w:tcPr>
                  <w:tcW w:w="1920" w:type="dxa"/>
                  <w:vAlign w:val="center"/>
                </w:tcPr>
                <w:p w14:paraId="212306BE">
                  <w:pPr>
                    <w:pStyle w:val="31"/>
                    <w:keepNext w:val="0"/>
                    <w:keepLines w:val="0"/>
                    <w:suppressLineNumbers w:val="0"/>
                    <w:ind w:left="0" w:right="0"/>
                    <w:jc w:val="center"/>
                    <w:rPr>
                      <w:rFonts w:hint="default" w:ascii="Times New Roman" w:hAnsi="Times New Roman"/>
                      <w:color w:val="auto"/>
                      <w:sz w:val="21"/>
                      <w:szCs w:val="21"/>
                      <w:highlight w:val="none"/>
                    </w:rPr>
                  </w:pPr>
                  <w:r>
                    <w:rPr>
                      <w:rFonts w:hint="default" w:ascii="Times New Roman" w:hAnsi="Times New Roman"/>
                      <w:color w:val="auto"/>
                      <w:sz w:val="21"/>
                      <w:szCs w:val="21"/>
                      <w:highlight w:val="none"/>
                    </w:rPr>
                    <w:t>监测因子</w:t>
                  </w:r>
                </w:p>
              </w:tc>
              <w:tc>
                <w:tcPr>
                  <w:tcW w:w="2003" w:type="dxa"/>
                  <w:vAlign w:val="center"/>
                </w:tcPr>
                <w:p w14:paraId="57C67B8B">
                  <w:pPr>
                    <w:pStyle w:val="31"/>
                    <w:keepNext w:val="0"/>
                    <w:keepLines w:val="0"/>
                    <w:suppressLineNumbers w:val="0"/>
                    <w:ind w:left="0" w:right="0"/>
                    <w:jc w:val="center"/>
                    <w:rPr>
                      <w:rFonts w:hint="default" w:ascii="Times New Roman" w:hAnsi="Times New Roman"/>
                      <w:color w:val="auto"/>
                      <w:sz w:val="21"/>
                      <w:szCs w:val="21"/>
                      <w:highlight w:val="none"/>
                    </w:rPr>
                  </w:pPr>
                  <w:r>
                    <w:rPr>
                      <w:rFonts w:hint="default" w:ascii="Times New Roman" w:hAnsi="Times New Roman"/>
                      <w:color w:val="auto"/>
                      <w:sz w:val="21"/>
                      <w:szCs w:val="21"/>
                      <w:highlight w:val="none"/>
                    </w:rPr>
                    <w:t>监测频次</w:t>
                  </w:r>
                </w:p>
              </w:tc>
            </w:tr>
            <w:tr w14:paraId="79918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12" w:type="dxa"/>
                  <w:vAlign w:val="center"/>
                </w:tcPr>
                <w:p w14:paraId="2E2E8528">
                  <w:pPr>
                    <w:pStyle w:val="31"/>
                    <w:keepNext w:val="0"/>
                    <w:keepLines w:val="0"/>
                    <w:suppressLineNumbers w:val="0"/>
                    <w:ind w:left="0" w:right="0"/>
                    <w:jc w:val="center"/>
                    <w:rPr>
                      <w:rFonts w:hint="default" w:ascii="Times New Roman" w:hAnsi="Times New Roman"/>
                      <w:color w:val="auto"/>
                      <w:sz w:val="21"/>
                      <w:szCs w:val="21"/>
                      <w:highlight w:val="none"/>
                    </w:rPr>
                  </w:pPr>
                  <w:r>
                    <w:rPr>
                      <w:rFonts w:hint="default" w:ascii="Times New Roman" w:hAnsi="Times New Roman"/>
                      <w:color w:val="auto"/>
                      <w:sz w:val="21"/>
                      <w:szCs w:val="21"/>
                      <w:highlight w:val="none"/>
                    </w:rPr>
                    <w:t>噪声</w:t>
                  </w:r>
                </w:p>
              </w:tc>
              <w:tc>
                <w:tcPr>
                  <w:tcW w:w="2802" w:type="dxa"/>
                  <w:vAlign w:val="center"/>
                </w:tcPr>
                <w:p w14:paraId="49B729AB">
                  <w:pPr>
                    <w:pStyle w:val="31"/>
                    <w:keepNext w:val="0"/>
                    <w:keepLines w:val="0"/>
                    <w:suppressLineNumbers w:val="0"/>
                    <w:ind w:left="0" w:right="0"/>
                    <w:jc w:val="center"/>
                    <w:rPr>
                      <w:rFonts w:hint="default" w:ascii="Times New Roman" w:hAnsi="Times New Roman"/>
                      <w:color w:val="auto"/>
                      <w:sz w:val="21"/>
                      <w:szCs w:val="21"/>
                      <w:highlight w:val="none"/>
                    </w:rPr>
                  </w:pPr>
                  <w:r>
                    <w:rPr>
                      <w:rFonts w:hint="default" w:ascii="Times New Roman" w:hAnsi="Times New Roman"/>
                      <w:color w:val="auto"/>
                      <w:sz w:val="21"/>
                      <w:szCs w:val="21"/>
                      <w:highlight w:val="none"/>
                    </w:rPr>
                    <w:t>东、西、南、北厂界外1米</w:t>
                  </w:r>
                </w:p>
              </w:tc>
              <w:tc>
                <w:tcPr>
                  <w:tcW w:w="1920" w:type="dxa"/>
                  <w:vAlign w:val="center"/>
                </w:tcPr>
                <w:p w14:paraId="12C672AB">
                  <w:pPr>
                    <w:pStyle w:val="31"/>
                    <w:keepNext w:val="0"/>
                    <w:keepLines w:val="0"/>
                    <w:suppressLineNumbers w:val="0"/>
                    <w:ind w:left="0" w:right="0"/>
                    <w:jc w:val="center"/>
                    <w:rPr>
                      <w:rFonts w:hint="default" w:ascii="Times New Roman" w:hAnsi="Times New Roman"/>
                      <w:color w:val="auto"/>
                      <w:sz w:val="21"/>
                      <w:szCs w:val="21"/>
                      <w:highlight w:val="none"/>
                    </w:rPr>
                  </w:pPr>
                  <w:r>
                    <w:rPr>
                      <w:rFonts w:hint="default" w:ascii="Times New Roman" w:hAnsi="Times New Roman"/>
                      <w:color w:val="auto"/>
                      <w:sz w:val="21"/>
                      <w:szCs w:val="21"/>
                      <w:highlight w:val="none"/>
                    </w:rPr>
                    <w:t>等效A声级</w:t>
                  </w:r>
                </w:p>
              </w:tc>
              <w:tc>
                <w:tcPr>
                  <w:tcW w:w="2003" w:type="dxa"/>
                  <w:vAlign w:val="center"/>
                </w:tcPr>
                <w:p w14:paraId="6229D306">
                  <w:pPr>
                    <w:pStyle w:val="31"/>
                    <w:keepNext w:val="0"/>
                    <w:keepLines w:val="0"/>
                    <w:suppressLineNumbers w:val="0"/>
                    <w:ind w:left="0" w:right="0"/>
                    <w:jc w:val="center"/>
                    <w:rPr>
                      <w:rFonts w:hint="default" w:ascii="Times New Roman" w:hAnsi="Times New Roman"/>
                      <w:color w:val="auto"/>
                      <w:sz w:val="21"/>
                      <w:szCs w:val="21"/>
                      <w:highlight w:val="none"/>
                    </w:rPr>
                  </w:pPr>
                  <w:r>
                    <w:rPr>
                      <w:rFonts w:hint="default" w:ascii="Times New Roman" w:hAnsi="Times New Roman"/>
                      <w:color w:val="auto"/>
                      <w:sz w:val="21"/>
                      <w:szCs w:val="21"/>
                      <w:highlight w:val="none"/>
                    </w:rPr>
                    <w:t>每季度一次</w:t>
                  </w:r>
                </w:p>
              </w:tc>
            </w:tr>
          </w:tbl>
          <w:p w14:paraId="32FDD5CC">
            <w:pPr>
              <w:pStyle w:val="6"/>
              <w:keepNext w:val="0"/>
              <w:keepLines w:val="0"/>
              <w:suppressLineNumbers w:val="0"/>
              <w:spacing w:before="0" w:beforeAutospacing="0" w:after="0" w:afterAutospacing="0"/>
              <w:ind w:left="0" w:right="0"/>
              <w:rPr>
                <w:rFonts w:hint="eastAsia"/>
                <w:color w:val="auto"/>
                <w:sz w:val="28"/>
                <w:szCs w:val="28"/>
                <w:highlight w:val="none"/>
                <w:lang w:val="en-US" w:eastAsia="zh-CN"/>
              </w:rPr>
            </w:pPr>
            <w:r>
              <w:rPr>
                <w:color w:val="auto"/>
                <w:sz w:val="28"/>
                <w:szCs w:val="28"/>
                <w:highlight w:val="none"/>
              </w:rPr>
              <w:t xml:space="preserve">3 </w:t>
            </w:r>
            <w:r>
              <w:rPr>
                <w:rFonts w:hint="eastAsia"/>
                <w:color w:val="auto"/>
                <w:sz w:val="28"/>
                <w:szCs w:val="28"/>
                <w:highlight w:val="none"/>
                <w:lang w:val="en-US" w:eastAsia="zh-CN"/>
              </w:rPr>
              <w:t>水环境影响分析</w:t>
            </w:r>
          </w:p>
          <w:p w14:paraId="2BD31CA5">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3</w:t>
            </w:r>
            <w:r>
              <w:rPr>
                <w:rFonts w:hint="default" w:ascii="Times New Roman" w:hAnsi="Times New Roman" w:eastAsia="宋体" w:cs="Times New Roman"/>
                <w:bCs/>
                <w:color w:val="auto"/>
                <w:sz w:val="24"/>
                <w:highlight w:val="none"/>
                <w:lang w:val="en-US" w:eastAsia="zh-CN"/>
              </w:rPr>
              <w:t xml:space="preserve">.1 </w:t>
            </w:r>
            <w:r>
              <w:rPr>
                <w:rFonts w:hint="eastAsia" w:ascii="Times New Roman" w:hAnsi="Times New Roman" w:eastAsia="宋体" w:cs="Times New Roman"/>
                <w:bCs/>
                <w:color w:val="auto"/>
                <w:sz w:val="24"/>
                <w:highlight w:val="none"/>
                <w:lang w:val="en-US" w:eastAsia="zh-CN"/>
              </w:rPr>
              <w:t>污染物产排情况</w:t>
            </w:r>
          </w:p>
          <w:p w14:paraId="5747EC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color w:val="auto"/>
                <w:kern w:val="0"/>
                <w:sz w:val="24"/>
                <w:szCs w:val="24"/>
                <w:highlight w:val="none"/>
                <w:lang w:val="en-US" w:eastAsia="zh-CN" w:bidi="ar-SA"/>
              </w:rPr>
            </w:pPr>
            <w:r>
              <w:rPr>
                <w:rFonts w:hint="eastAsia" w:ascii="Times New Roman" w:hAnsi="Times New Roman" w:eastAsia="宋体" w:cs="Times New Roman"/>
                <w:b w:val="0"/>
                <w:color w:val="auto"/>
                <w:kern w:val="0"/>
                <w:sz w:val="24"/>
                <w:szCs w:val="24"/>
                <w:highlight w:val="none"/>
                <w:lang w:val="en-US" w:eastAsia="zh-CN" w:bidi="ar-SA"/>
              </w:rPr>
              <w:t>本项目</w:t>
            </w:r>
            <w:r>
              <w:rPr>
                <w:rFonts w:hint="eastAsia" w:cs="Times New Roman"/>
                <w:b w:val="0"/>
                <w:color w:val="auto"/>
                <w:kern w:val="0"/>
                <w:sz w:val="24"/>
                <w:szCs w:val="24"/>
                <w:highlight w:val="none"/>
                <w:lang w:val="en-US" w:eastAsia="zh-CN" w:bidi="ar-SA"/>
              </w:rPr>
              <w:t>废水主要</w:t>
            </w:r>
            <w:r>
              <w:rPr>
                <w:rFonts w:hint="eastAsia" w:ascii="Times New Roman" w:hAnsi="Times New Roman" w:eastAsia="宋体" w:cs="Times New Roman"/>
                <w:b w:val="0"/>
                <w:color w:val="auto"/>
                <w:kern w:val="0"/>
                <w:sz w:val="24"/>
                <w:szCs w:val="24"/>
                <w:highlight w:val="none"/>
                <w:lang w:val="en-US" w:eastAsia="zh-CN" w:bidi="ar-SA"/>
              </w:rPr>
              <w:t>为</w:t>
            </w:r>
            <w:r>
              <w:rPr>
                <w:rFonts w:hint="eastAsia" w:cs="Times New Roman"/>
                <w:b w:val="0"/>
                <w:color w:val="auto"/>
                <w:kern w:val="0"/>
                <w:sz w:val="24"/>
                <w:szCs w:val="24"/>
                <w:highlight w:val="none"/>
                <w:lang w:val="en-US" w:eastAsia="zh-CN" w:bidi="ar-SA"/>
              </w:rPr>
              <w:t>清洗废水和</w:t>
            </w:r>
            <w:r>
              <w:rPr>
                <w:rFonts w:hint="eastAsia" w:ascii="Times New Roman" w:hAnsi="Times New Roman" w:eastAsia="宋体" w:cs="Times New Roman"/>
                <w:b w:val="0"/>
                <w:color w:val="auto"/>
                <w:kern w:val="0"/>
                <w:sz w:val="24"/>
                <w:szCs w:val="24"/>
                <w:highlight w:val="none"/>
                <w:lang w:val="en-US" w:eastAsia="zh-CN" w:bidi="ar-SA"/>
              </w:rPr>
              <w:t>生活污水，产生量为</w:t>
            </w:r>
            <w:r>
              <w:rPr>
                <w:rFonts w:hint="eastAsia" w:cs="Times New Roman"/>
                <w:b w:val="0"/>
                <w:color w:val="auto"/>
                <w:kern w:val="0"/>
                <w:sz w:val="24"/>
                <w:szCs w:val="24"/>
                <w:highlight w:val="none"/>
                <w:lang w:val="en-US" w:eastAsia="zh-CN" w:bidi="ar-SA"/>
              </w:rPr>
              <w:t xml:space="preserve"> 781.2000015 m</w:t>
            </w:r>
            <w:r>
              <w:rPr>
                <w:rFonts w:hint="eastAsia" w:cs="Times New Roman"/>
                <w:b w:val="0"/>
                <w:color w:val="auto"/>
                <w:kern w:val="0"/>
                <w:sz w:val="24"/>
                <w:szCs w:val="24"/>
                <w:highlight w:val="none"/>
                <w:vertAlign w:val="superscript"/>
                <w:lang w:val="en-US" w:eastAsia="zh-CN" w:bidi="ar-SA"/>
              </w:rPr>
              <w:t>3</w:t>
            </w:r>
            <w:r>
              <w:rPr>
                <w:rFonts w:hint="eastAsia" w:ascii="Times New Roman" w:hAnsi="Times New Roman" w:eastAsia="宋体" w:cs="Times New Roman"/>
                <w:b w:val="0"/>
                <w:color w:val="auto"/>
                <w:kern w:val="0"/>
                <w:sz w:val="24"/>
                <w:szCs w:val="24"/>
                <w:highlight w:val="none"/>
                <w:lang w:val="en-US" w:eastAsia="zh-CN" w:bidi="ar-SA"/>
              </w:rPr>
              <w:t>/a，</w:t>
            </w:r>
            <w:r>
              <w:rPr>
                <w:rFonts w:hint="eastAsia" w:cs="Times New Roman"/>
                <w:b w:val="0"/>
                <w:color w:val="auto"/>
                <w:kern w:val="0"/>
                <w:sz w:val="24"/>
                <w:szCs w:val="24"/>
                <w:highlight w:val="none"/>
                <w:lang w:val="en-US" w:eastAsia="zh-CN" w:bidi="ar-SA"/>
              </w:rPr>
              <w:t>清洗废水经“破乳-絮凝-沉淀”处理，生活污水</w:t>
            </w:r>
            <w:r>
              <w:rPr>
                <w:rFonts w:hint="eastAsia" w:ascii="Times New Roman" w:hAnsi="Times New Roman" w:eastAsia="宋体" w:cs="Times New Roman"/>
                <w:b w:val="0"/>
                <w:color w:val="auto"/>
                <w:kern w:val="0"/>
                <w:sz w:val="24"/>
                <w:szCs w:val="24"/>
                <w:highlight w:val="none"/>
                <w:lang w:val="en-US" w:eastAsia="zh-CN" w:bidi="ar-SA"/>
              </w:rPr>
              <w:t>经化粪池处理后</w:t>
            </w:r>
            <w:r>
              <w:rPr>
                <w:rFonts w:hint="eastAsia" w:cs="Times New Roman"/>
                <w:b w:val="0"/>
                <w:color w:val="auto"/>
                <w:kern w:val="0"/>
                <w:sz w:val="24"/>
                <w:szCs w:val="24"/>
                <w:highlight w:val="none"/>
                <w:lang w:val="en-US" w:eastAsia="zh-CN" w:bidi="ar-SA"/>
              </w:rPr>
              <w:t>，均</w:t>
            </w:r>
            <w:r>
              <w:rPr>
                <w:rFonts w:hint="eastAsia" w:ascii="Times New Roman" w:hAnsi="Times New Roman" w:eastAsia="宋体" w:cs="Times New Roman"/>
                <w:b w:val="0"/>
                <w:color w:val="auto"/>
                <w:kern w:val="0"/>
                <w:sz w:val="24"/>
                <w:szCs w:val="24"/>
                <w:highlight w:val="none"/>
                <w:lang w:val="en-US" w:eastAsia="zh-CN" w:bidi="ar-SA"/>
              </w:rPr>
              <w:t>经市政</w:t>
            </w:r>
            <w:r>
              <w:rPr>
                <w:rFonts w:hint="eastAsia" w:cs="Times New Roman"/>
                <w:b w:val="0"/>
                <w:color w:val="auto"/>
                <w:kern w:val="0"/>
                <w:sz w:val="24"/>
                <w:szCs w:val="24"/>
                <w:highlight w:val="none"/>
                <w:lang w:val="en-US" w:eastAsia="zh-CN" w:bidi="ar-SA"/>
              </w:rPr>
              <w:t>污水</w:t>
            </w:r>
            <w:r>
              <w:rPr>
                <w:rFonts w:hint="eastAsia" w:ascii="Times New Roman" w:hAnsi="Times New Roman" w:eastAsia="宋体" w:cs="Times New Roman"/>
                <w:b w:val="0"/>
                <w:color w:val="auto"/>
                <w:kern w:val="0"/>
                <w:sz w:val="24"/>
                <w:szCs w:val="24"/>
                <w:highlight w:val="none"/>
                <w:lang w:val="en-US" w:eastAsia="zh-CN" w:bidi="ar-SA"/>
              </w:rPr>
              <w:t>管网排放至秦皇岛市第三污水处理厂进行处理。</w:t>
            </w:r>
            <w:r>
              <w:rPr>
                <w:rFonts w:hint="eastAsia" w:cs="Times New Roman"/>
                <w:b w:val="0"/>
                <w:color w:val="auto"/>
                <w:kern w:val="0"/>
                <w:sz w:val="24"/>
                <w:szCs w:val="24"/>
                <w:highlight w:val="none"/>
                <w:lang w:val="en-US" w:eastAsia="zh-CN" w:bidi="ar-SA"/>
              </w:rPr>
              <w:t>经类比其他企业中废水的产生情况，</w:t>
            </w:r>
            <w:r>
              <w:rPr>
                <w:rFonts w:hint="eastAsia" w:ascii="Times New Roman" w:hAnsi="Times New Roman" w:eastAsia="宋体" w:cs="Times New Roman"/>
                <w:b w:val="0"/>
                <w:color w:val="auto"/>
                <w:kern w:val="0"/>
                <w:sz w:val="24"/>
                <w:szCs w:val="24"/>
                <w:highlight w:val="none"/>
                <w:lang w:val="en-US" w:eastAsia="zh-CN" w:bidi="ar-SA"/>
              </w:rPr>
              <w:t>本项目</w:t>
            </w:r>
            <w:r>
              <w:rPr>
                <w:rFonts w:hint="default" w:ascii="Times New Roman" w:hAnsi="Times New Roman" w:eastAsia="宋体" w:cs="Times New Roman"/>
                <w:b w:val="0"/>
                <w:color w:val="auto"/>
                <w:kern w:val="0"/>
                <w:sz w:val="24"/>
                <w:szCs w:val="24"/>
                <w:highlight w:val="none"/>
                <w:lang w:val="en-US" w:eastAsia="zh-CN" w:bidi="ar-SA"/>
              </w:rPr>
              <w:t>各污染物的排放浓度和排放量</w:t>
            </w:r>
            <w:r>
              <w:rPr>
                <w:rFonts w:hint="eastAsia" w:ascii="Times New Roman" w:hAnsi="Times New Roman" w:eastAsia="宋体" w:cs="Times New Roman"/>
                <w:b w:val="0"/>
                <w:color w:val="auto"/>
                <w:kern w:val="0"/>
                <w:sz w:val="24"/>
                <w:szCs w:val="24"/>
                <w:highlight w:val="none"/>
                <w:lang w:val="en-US" w:eastAsia="zh-CN" w:bidi="ar-SA"/>
              </w:rPr>
              <w:t>详见下表</w:t>
            </w:r>
            <w:r>
              <w:rPr>
                <w:rFonts w:hint="default" w:ascii="Times New Roman" w:hAnsi="Times New Roman" w:eastAsia="宋体" w:cs="Times New Roman"/>
                <w:b w:val="0"/>
                <w:color w:val="auto"/>
                <w:kern w:val="0"/>
                <w:sz w:val="24"/>
                <w:szCs w:val="24"/>
                <w:highlight w:val="none"/>
                <w:lang w:val="en-US" w:eastAsia="zh-CN" w:bidi="ar-SA"/>
              </w:rPr>
              <w:t>。</w:t>
            </w:r>
          </w:p>
          <w:p w14:paraId="56D49636">
            <w:pPr>
              <w:keepNext w:val="0"/>
              <w:keepLines w:val="0"/>
              <w:pageBreakBefore w:val="0"/>
              <w:widowControl w:val="0"/>
              <w:suppressLineNumbers w:val="0"/>
              <w:kinsoku/>
              <w:wordWrap/>
              <w:overflowPunct/>
              <w:topLinePunct w:val="0"/>
              <w:autoSpaceDE/>
              <w:autoSpaceDN/>
              <w:bidi w:val="0"/>
              <w:adjustRightInd/>
              <w:snapToGrid/>
              <w:spacing w:before="60" w:beforeAutospacing="0" w:after="0" w:afterAutospacing="0" w:line="259" w:lineRule="auto"/>
              <w:ind w:left="0" w:leftChars="0" w:right="113" w:firstLine="0" w:firstLineChars="0"/>
              <w:jc w:val="center"/>
              <w:textAlignment w:val="auto"/>
              <w:rPr>
                <w:rFonts w:hint="default" w:ascii="Times New Roman" w:hAnsi="Times New Roman" w:cs="Times New Roman" w:eastAsiaTheme="minorEastAsia"/>
                <w:color w:val="auto"/>
                <w:kern w:val="0"/>
                <w:sz w:val="24"/>
                <w:szCs w:val="24"/>
                <w:highlight w:val="none"/>
                <w:lang w:val="en-US" w:eastAsia="zh-CN" w:bidi="ar-SA"/>
              </w:rPr>
            </w:pPr>
            <w:r>
              <w:rPr>
                <w:rFonts w:hint="default" w:ascii="Times New Roman" w:hAnsi="Times New Roman" w:cs="Times New Roman" w:eastAsiaTheme="minorEastAsia"/>
                <w:b/>
                <w:bCs/>
                <w:color w:val="auto"/>
                <w:spacing w:val="6"/>
                <w:kern w:val="0"/>
                <w:sz w:val="24"/>
                <w:szCs w:val="24"/>
                <w:highlight w:val="none"/>
                <w:lang w:val="en-US" w:eastAsia="zh-CN" w:bidi="ar-SA"/>
              </w:rPr>
              <w:t>表4-</w:t>
            </w:r>
            <w:r>
              <w:rPr>
                <w:rFonts w:hint="eastAsia" w:cs="Times New Roman" w:eastAsiaTheme="minorEastAsia"/>
                <w:b/>
                <w:bCs/>
                <w:color w:val="auto"/>
                <w:spacing w:val="6"/>
                <w:kern w:val="0"/>
                <w:sz w:val="24"/>
                <w:szCs w:val="24"/>
                <w:highlight w:val="none"/>
                <w:lang w:val="en-US" w:eastAsia="zh-CN" w:bidi="ar-SA"/>
              </w:rPr>
              <w:t xml:space="preserve">8 </w:t>
            </w:r>
            <w:r>
              <w:rPr>
                <w:rFonts w:hint="default" w:ascii="Times New Roman" w:hAnsi="Times New Roman" w:cs="Times New Roman" w:eastAsiaTheme="minorEastAsia"/>
                <w:b/>
                <w:bCs/>
                <w:color w:val="auto"/>
                <w:spacing w:val="6"/>
                <w:kern w:val="0"/>
                <w:sz w:val="24"/>
                <w:szCs w:val="24"/>
                <w:highlight w:val="none"/>
                <w:lang w:val="en-US" w:eastAsia="zh-CN" w:bidi="ar-SA"/>
              </w:rPr>
              <w:t>本项目生产及生活各类废水污染物排放情况一览表</w:t>
            </w:r>
          </w:p>
          <w:tbl>
            <w:tblPr>
              <w:tblStyle w:val="35"/>
              <w:tblW w:w="8328"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28" w:type="dxa"/>
                <w:bottom w:w="0" w:type="dxa"/>
                <w:right w:w="28" w:type="dxa"/>
              </w:tblCellMar>
            </w:tblPr>
            <w:tblGrid>
              <w:gridCol w:w="546"/>
              <w:gridCol w:w="654"/>
              <w:gridCol w:w="764"/>
              <w:gridCol w:w="791"/>
              <w:gridCol w:w="805"/>
              <w:gridCol w:w="695"/>
              <w:gridCol w:w="682"/>
              <w:gridCol w:w="777"/>
              <w:gridCol w:w="696"/>
              <w:gridCol w:w="395"/>
              <w:gridCol w:w="423"/>
              <w:gridCol w:w="575"/>
              <w:gridCol w:w="525"/>
            </w:tblGrid>
            <w:tr w14:paraId="4DEA547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27" w:type="pct"/>
                  <w:noWrap w:val="0"/>
                  <w:tcMar>
                    <w:left w:w="0" w:type="dxa"/>
                    <w:right w:w="0" w:type="dxa"/>
                  </w:tcMar>
                  <w:vAlign w:val="center"/>
                </w:tcPr>
                <w:p w14:paraId="15B7D8E5">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产污</w:t>
                  </w:r>
                </w:p>
                <w:p w14:paraId="5E013096">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环节</w:t>
                  </w:r>
                </w:p>
              </w:tc>
              <w:tc>
                <w:tcPr>
                  <w:tcW w:w="392" w:type="pct"/>
                  <w:noWrap w:val="0"/>
                  <w:tcMar>
                    <w:left w:w="0" w:type="dxa"/>
                    <w:right w:w="0" w:type="dxa"/>
                  </w:tcMar>
                  <w:vAlign w:val="center"/>
                </w:tcPr>
                <w:p w14:paraId="3183E281">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废水产生量t/a</w:t>
                  </w:r>
                </w:p>
              </w:tc>
              <w:tc>
                <w:tcPr>
                  <w:tcW w:w="458" w:type="pct"/>
                  <w:noWrap w:val="0"/>
                  <w:tcMar>
                    <w:left w:w="0" w:type="dxa"/>
                    <w:right w:w="0" w:type="dxa"/>
                  </w:tcMar>
                  <w:vAlign w:val="center"/>
                </w:tcPr>
                <w:p w14:paraId="68E7E559">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污染物</w:t>
                  </w:r>
                </w:p>
              </w:tc>
              <w:tc>
                <w:tcPr>
                  <w:tcW w:w="474" w:type="pct"/>
                  <w:noWrap w:val="0"/>
                  <w:tcMar>
                    <w:left w:w="0" w:type="dxa"/>
                    <w:right w:w="0" w:type="dxa"/>
                  </w:tcMar>
                  <w:vAlign w:val="center"/>
                </w:tcPr>
                <w:p w14:paraId="4BF37B0C">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产生量</w:t>
                  </w:r>
                </w:p>
                <w:p w14:paraId="7A9035CA">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t/a</w:t>
                  </w:r>
                </w:p>
              </w:tc>
              <w:tc>
                <w:tcPr>
                  <w:tcW w:w="483" w:type="pct"/>
                  <w:tcBorders>
                    <w:right w:val="single" w:color="auto" w:sz="4" w:space="0"/>
                  </w:tcBorders>
                  <w:noWrap w:val="0"/>
                  <w:tcMar>
                    <w:left w:w="0" w:type="dxa"/>
                    <w:right w:w="0" w:type="dxa"/>
                  </w:tcMar>
                  <w:vAlign w:val="center"/>
                </w:tcPr>
                <w:p w14:paraId="7A401EC1">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产生浓度mg/L</w:t>
                  </w:r>
                </w:p>
              </w:tc>
              <w:tc>
                <w:tcPr>
                  <w:tcW w:w="417" w:type="pct"/>
                  <w:noWrap w:val="0"/>
                  <w:tcMar>
                    <w:left w:w="0" w:type="dxa"/>
                    <w:right w:w="0" w:type="dxa"/>
                  </w:tcMar>
                  <w:vAlign w:val="center"/>
                </w:tcPr>
                <w:p w14:paraId="481A1A14">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污染治理设施</w:t>
                  </w:r>
                </w:p>
              </w:tc>
              <w:tc>
                <w:tcPr>
                  <w:tcW w:w="409" w:type="pct"/>
                  <w:tcBorders>
                    <w:left w:val="single" w:color="auto" w:sz="4" w:space="0"/>
                  </w:tcBorders>
                  <w:noWrap w:val="0"/>
                  <w:tcMar>
                    <w:left w:w="0" w:type="dxa"/>
                    <w:right w:w="0" w:type="dxa"/>
                  </w:tcMar>
                  <w:vAlign w:val="center"/>
                </w:tcPr>
                <w:p w14:paraId="653E93CB">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去除效率</w:t>
                  </w:r>
                </w:p>
              </w:tc>
              <w:tc>
                <w:tcPr>
                  <w:tcW w:w="466" w:type="pct"/>
                  <w:tcBorders>
                    <w:left w:val="single" w:color="auto" w:sz="4" w:space="0"/>
                  </w:tcBorders>
                  <w:shd w:val="clear" w:color="auto" w:fill="auto"/>
                  <w:noWrap w:val="0"/>
                  <w:tcMar>
                    <w:left w:w="0" w:type="dxa"/>
                    <w:right w:w="0" w:type="dxa"/>
                  </w:tcMar>
                  <w:vAlign w:val="center"/>
                </w:tcPr>
                <w:p w14:paraId="577F6DB5">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排放量</w:t>
                  </w:r>
                </w:p>
                <w:p w14:paraId="3D19F218">
                  <w:pPr>
                    <w:pStyle w:val="61"/>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t/a</w:t>
                  </w:r>
                </w:p>
              </w:tc>
              <w:tc>
                <w:tcPr>
                  <w:tcW w:w="417" w:type="pct"/>
                  <w:noWrap w:val="0"/>
                  <w:tcMar>
                    <w:left w:w="0" w:type="dxa"/>
                    <w:right w:w="0" w:type="dxa"/>
                  </w:tcMar>
                  <w:vAlign w:val="center"/>
                </w:tcPr>
                <w:p w14:paraId="4F4D4C6F">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排放</w:t>
                  </w:r>
                </w:p>
                <w:p w14:paraId="09F81539">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浓度mg/L</w:t>
                  </w:r>
                </w:p>
              </w:tc>
              <w:tc>
                <w:tcPr>
                  <w:tcW w:w="237" w:type="pct"/>
                  <w:noWrap w:val="0"/>
                  <w:tcMar>
                    <w:left w:w="0" w:type="dxa"/>
                    <w:right w:w="0" w:type="dxa"/>
                  </w:tcMar>
                  <w:vAlign w:val="center"/>
                </w:tcPr>
                <w:p w14:paraId="6BC590EC">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排放口</w:t>
                  </w:r>
                </w:p>
              </w:tc>
              <w:tc>
                <w:tcPr>
                  <w:tcW w:w="253" w:type="pct"/>
                  <w:tcBorders>
                    <w:right w:val="single" w:color="auto" w:sz="4" w:space="0"/>
                  </w:tcBorders>
                  <w:noWrap w:val="0"/>
                  <w:tcMar>
                    <w:left w:w="0" w:type="dxa"/>
                    <w:right w:w="0" w:type="dxa"/>
                  </w:tcMar>
                  <w:vAlign w:val="center"/>
                </w:tcPr>
                <w:p w14:paraId="1D2630D7">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排放方式</w:t>
                  </w:r>
                </w:p>
              </w:tc>
              <w:tc>
                <w:tcPr>
                  <w:tcW w:w="345" w:type="pct"/>
                  <w:tcBorders>
                    <w:left w:val="single" w:color="auto" w:sz="4" w:space="0"/>
                  </w:tcBorders>
                  <w:noWrap w:val="0"/>
                  <w:tcMar>
                    <w:left w:w="0" w:type="dxa"/>
                    <w:right w:w="0" w:type="dxa"/>
                  </w:tcMar>
                  <w:vAlign w:val="center"/>
                </w:tcPr>
                <w:p w14:paraId="6A93476F">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排放口类型</w:t>
                  </w:r>
                </w:p>
              </w:tc>
              <w:tc>
                <w:tcPr>
                  <w:tcW w:w="315" w:type="pct"/>
                  <w:noWrap w:val="0"/>
                  <w:tcMar>
                    <w:left w:w="0" w:type="dxa"/>
                    <w:right w:w="0" w:type="dxa"/>
                  </w:tcMar>
                  <w:vAlign w:val="center"/>
                </w:tcPr>
                <w:p w14:paraId="412FC8C3">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排放去向</w:t>
                  </w:r>
                </w:p>
              </w:tc>
            </w:tr>
            <w:tr w14:paraId="45A714D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54" w:hRule="atLeast"/>
                <w:jc w:val="center"/>
              </w:trPr>
              <w:tc>
                <w:tcPr>
                  <w:tcW w:w="327" w:type="pct"/>
                  <w:vMerge w:val="restart"/>
                  <w:noWrap w:val="0"/>
                  <w:tcMar>
                    <w:left w:w="0" w:type="dxa"/>
                    <w:right w:w="0" w:type="dxa"/>
                  </w:tcMar>
                  <w:vAlign w:val="center"/>
                </w:tcPr>
                <w:p w14:paraId="5A45D358">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清洗废水、</w:t>
                  </w:r>
                  <w:r>
                    <w:rPr>
                      <w:rFonts w:hint="eastAsia" w:ascii="Times New Roman" w:hAnsi="Times New Roman" w:cs="Times New Roman"/>
                      <w:color w:val="auto"/>
                      <w:sz w:val="21"/>
                      <w:szCs w:val="21"/>
                      <w:highlight w:val="none"/>
                      <w:lang w:val="en-US" w:eastAsia="zh-CN"/>
                    </w:rPr>
                    <w:t>生活污水</w:t>
                  </w:r>
                </w:p>
              </w:tc>
              <w:tc>
                <w:tcPr>
                  <w:tcW w:w="392" w:type="pct"/>
                  <w:vMerge w:val="restart"/>
                  <w:noWrap w:val="0"/>
                  <w:tcMar>
                    <w:left w:w="0" w:type="dxa"/>
                    <w:right w:w="0" w:type="dxa"/>
                  </w:tcMar>
                  <w:vAlign w:val="center"/>
                </w:tcPr>
                <w:p w14:paraId="34AFFEDA">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781.2000015</w:t>
                  </w:r>
                </w:p>
              </w:tc>
              <w:tc>
                <w:tcPr>
                  <w:tcW w:w="458" w:type="pct"/>
                  <w:noWrap w:val="0"/>
                  <w:tcMar>
                    <w:left w:w="0" w:type="dxa"/>
                    <w:right w:w="0" w:type="dxa"/>
                  </w:tcMar>
                  <w:vAlign w:val="center"/>
                </w:tcPr>
                <w:p w14:paraId="06ADEA84">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COD</w:t>
                  </w:r>
                </w:p>
              </w:tc>
              <w:tc>
                <w:tcPr>
                  <w:tcW w:w="474" w:type="pct"/>
                  <w:noWrap w:val="0"/>
                  <w:tcMar>
                    <w:left w:w="0" w:type="dxa"/>
                    <w:right w:w="0" w:type="dxa"/>
                  </w:tcMar>
                  <w:vAlign w:val="center"/>
                </w:tcPr>
                <w:p w14:paraId="30ADD37D">
                  <w:pPr>
                    <w:pStyle w:val="61"/>
                    <w:keepNext w:val="0"/>
                    <w:keepLines w:val="0"/>
                    <w:suppressLineNumbers w:val="0"/>
                    <w:bidi w:val="0"/>
                    <w:spacing w:before="0" w:beforeAutospacing="0" w:after="0" w:afterAutospacing="0"/>
                    <w:ind w:left="0" w:right="0" w:firstLine="0" w:firstLineChars="0"/>
                    <w:rPr>
                      <w:rFonts w:hint="default" w:asci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0.273</w:t>
                  </w:r>
                </w:p>
              </w:tc>
              <w:tc>
                <w:tcPr>
                  <w:tcW w:w="483" w:type="pct"/>
                  <w:tcBorders>
                    <w:right w:val="single" w:color="auto" w:sz="4" w:space="0"/>
                  </w:tcBorders>
                  <w:noWrap w:val="0"/>
                  <w:tcMar>
                    <w:left w:w="0" w:type="dxa"/>
                    <w:right w:w="0" w:type="dxa"/>
                  </w:tcMar>
                  <w:vAlign w:val="center"/>
                </w:tcPr>
                <w:p w14:paraId="5D1C089E">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350</w:t>
                  </w:r>
                </w:p>
              </w:tc>
              <w:tc>
                <w:tcPr>
                  <w:tcW w:w="417" w:type="pct"/>
                  <w:vMerge w:val="restart"/>
                  <w:noWrap w:val="0"/>
                  <w:tcMar>
                    <w:left w:w="0" w:type="dxa"/>
                    <w:right w:w="0" w:type="dxa"/>
                  </w:tcMar>
                  <w:vAlign w:val="center"/>
                </w:tcPr>
                <w:p w14:paraId="2365B698">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“破乳-絮凝-沉淀”、</w:t>
                  </w:r>
                  <w:r>
                    <w:rPr>
                      <w:rFonts w:hint="eastAsia" w:ascii="Times New Roman" w:hAnsi="Times New Roman" w:eastAsia="宋体" w:cs="Times New Roman"/>
                      <w:color w:val="auto"/>
                      <w:sz w:val="21"/>
                      <w:szCs w:val="21"/>
                      <w:highlight w:val="none"/>
                      <w:lang w:val="en-US" w:eastAsia="zh-CN"/>
                    </w:rPr>
                    <w:t>化粪池</w:t>
                  </w:r>
                </w:p>
              </w:tc>
              <w:tc>
                <w:tcPr>
                  <w:tcW w:w="409" w:type="pct"/>
                  <w:tcBorders>
                    <w:left w:val="single" w:color="auto" w:sz="4" w:space="0"/>
                  </w:tcBorders>
                  <w:noWrap w:val="0"/>
                  <w:tcMar>
                    <w:left w:w="0" w:type="dxa"/>
                    <w:right w:w="0" w:type="dxa"/>
                  </w:tcMar>
                  <w:vAlign w:val="center"/>
                </w:tcPr>
                <w:p w14:paraId="203168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w:t>
                  </w:r>
                </w:p>
              </w:tc>
              <w:tc>
                <w:tcPr>
                  <w:tcW w:w="466" w:type="pct"/>
                  <w:tcBorders>
                    <w:left w:val="single" w:color="auto" w:sz="4" w:space="0"/>
                  </w:tcBorders>
                  <w:shd w:val="clear" w:color="auto" w:fill="auto"/>
                  <w:noWrap w:val="0"/>
                  <w:tcMar>
                    <w:left w:w="0" w:type="dxa"/>
                    <w:right w:w="0" w:type="dxa"/>
                  </w:tcMar>
                  <w:vAlign w:val="center"/>
                </w:tcPr>
                <w:p w14:paraId="309A6F4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0.205</w:t>
                  </w:r>
                </w:p>
              </w:tc>
              <w:tc>
                <w:tcPr>
                  <w:tcW w:w="417" w:type="pct"/>
                  <w:noWrap w:val="0"/>
                  <w:tcMar>
                    <w:left w:w="0" w:type="dxa"/>
                    <w:right w:w="0" w:type="dxa"/>
                  </w:tcMar>
                  <w:vAlign w:val="center"/>
                </w:tcPr>
                <w:p w14:paraId="7152230A">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262.5</w:t>
                  </w:r>
                </w:p>
              </w:tc>
              <w:tc>
                <w:tcPr>
                  <w:tcW w:w="237" w:type="pct"/>
                  <w:vMerge w:val="restart"/>
                  <w:noWrap w:val="0"/>
                  <w:tcMar>
                    <w:left w:w="0" w:type="dxa"/>
                    <w:right w:w="0" w:type="dxa"/>
                  </w:tcMar>
                  <w:vAlign w:val="center"/>
                </w:tcPr>
                <w:p w14:paraId="7C8486DB">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DW001</w:t>
                  </w:r>
                </w:p>
              </w:tc>
              <w:tc>
                <w:tcPr>
                  <w:tcW w:w="253" w:type="pct"/>
                  <w:vMerge w:val="restart"/>
                  <w:tcBorders>
                    <w:right w:val="single" w:color="auto" w:sz="4" w:space="0"/>
                  </w:tcBorders>
                  <w:noWrap w:val="0"/>
                  <w:tcMar>
                    <w:left w:w="0" w:type="dxa"/>
                    <w:right w:w="0" w:type="dxa"/>
                  </w:tcMar>
                  <w:vAlign w:val="center"/>
                </w:tcPr>
                <w:p w14:paraId="6B9CA2C9">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间接排放</w:t>
                  </w:r>
                </w:p>
              </w:tc>
              <w:tc>
                <w:tcPr>
                  <w:tcW w:w="345" w:type="pct"/>
                  <w:vMerge w:val="restart"/>
                  <w:tcBorders>
                    <w:left w:val="single" w:color="auto" w:sz="4" w:space="0"/>
                  </w:tcBorders>
                  <w:noWrap w:val="0"/>
                  <w:tcMar>
                    <w:left w:w="0" w:type="dxa"/>
                    <w:right w:w="0" w:type="dxa"/>
                  </w:tcMar>
                  <w:vAlign w:val="center"/>
                </w:tcPr>
                <w:p w14:paraId="75842965">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一般排放口</w:t>
                  </w:r>
                </w:p>
              </w:tc>
              <w:tc>
                <w:tcPr>
                  <w:tcW w:w="315" w:type="pct"/>
                  <w:vMerge w:val="restart"/>
                  <w:noWrap w:val="0"/>
                  <w:tcMar>
                    <w:left w:w="0" w:type="dxa"/>
                    <w:right w:w="0" w:type="dxa"/>
                  </w:tcMar>
                  <w:vAlign w:val="center"/>
                </w:tcPr>
                <w:p w14:paraId="06051018">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经市政污水管网</w:t>
                  </w:r>
                  <w:r>
                    <w:rPr>
                      <w:rFonts w:hint="eastAsia" w:ascii="Times New Roman" w:cs="Times New Roman"/>
                      <w:color w:val="auto"/>
                      <w:sz w:val="21"/>
                      <w:szCs w:val="21"/>
                      <w:highlight w:val="none"/>
                      <w:lang w:val="en-US" w:eastAsia="zh-CN"/>
                    </w:rPr>
                    <w:t>排</w:t>
                  </w:r>
                  <w:r>
                    <w:rPr>
                      <w:rFonts w:hint="default" w:ascii="Times New Roman" w:hAnsi="Times New Roman" w:cs="Times New Roman"/>
                      <w:color w:val="auto"/>
                      <w:sz w:val="21"/>
                      <w:szCs w:val="21"/>
                      <w:highlight w:val="none"/>
                      <w:lang w:val="en-US" w:eastAsia="zh-CN"/>
                    </w:rPr>
                    <w:t>至</w:t>
                  </w:r>
                  <w:r>
                    <w:rPr>
                      <w:rFonts w:hint="eastAsia" w:ascii="Times New Roman" w:hAnsi="Times New Roman" w:cs="Times New Roman"/>
                      <w:color w:val="auto"/>
                      <w:sz w:val="21"/>
                      <w:szCs w:val="21"/>
                      <w:highlight w:val="none"/>
                      <w:lang w:val="en-US" w:eastAsia="zh-CN"/>
                    </w:rPr>
                    <w:t>秦皇岛市第三</w:t>
                  </w:r>
                  <w:r>
                    <w:rPr>
                      <w:rFonts w:hint="default" w:ascii="Times New Roman" w:hAnsi="Times New Roman" w:cs="Times New Roman"/>
                      <w:color w:val="auto"/>
                      <w:sz w:val="21"/>
                      <w:szCs w:val="21"/>
                      <w:highlight w:val="none"/>
                      <w:lang w:val="en-US" w:eastAsia="zh-CN"/>
                    </w:rPr>
                    <w:t>污水处理厂集中处理</w:t>
                  </w:r>
                </w:p>
              </w:tc>
            </w:tr>
            <w:tr w14:paraId="3D80AD3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54" w:hRule="atLeast"/>
                <w:jc w:val="center"/>
              </w:trPr>
              <w:tc>
                <w:tcPr>
                  <w:tcW w:w="327" w:type="pct"/>
                  <w:vMerge w:val="continue"/>
                  <w:noWrap w:val="0"/>
                  <w:tcMar>
                    <w:left w:w="0" w:type="dxa"/>
                    <w:right w:w="0" w:type="dxa"/>
                  </w:tcMar>
                  <w:vAlign w:val="center"/>
                </w:tcPr>
                <w:p w14:paraId="4B0CF18B">
                  <w:pPr>
                    <w:pStyle w:val="61"/>
                    <w:keepNext w:val="0"/>
                    <w:keepLines w:val="0"/>
                    <w:suppressLineNumbers w:val="0"/>
                    <w:bidi w:val="0"/>
                    <w:spacing w:before="0" w:beforeAutospacing="0" w:after="0" w:afterAutospacing="0"/>
                    <w:ind w:left="0" w:right="0" w:firstLine="0" w:firstLineChars="0"/>
                    <w:rPr>
                      <w:rFonts w:hint="eastAsia" w:ascii="Times New Roman" w:hAnsi="Times New Roman" w:cs="Times New Roman"/>
                      <w:color w:val="auto"/>
                      <w:sz w:val="21"/>
                      <w:szCs w:val="21"/>
                      <w:highlight w:val="none"/>
                      <w:lang w:val="en-US" w:eastAsia="zh-CN"/>
                    </w:rPr>
                  </w:pPr>
                </w:p>
              </w:tc>
              <w:tc>
                <w:tcPr>
                  <w:tcW w:w="392" w:type="pct"/>
                  <w:vMerge w:val="continue"/>
                  <w:noWrap w:val="0"/>
                  <w:tcMar>
                    <w:left w:w="0" w:type="dxa"/>
                    <w:right w:w="0" w:type="dxa"/>
                  </w:tcMar>
                  <w:vAlign w:val="center"/>
                </w:tcPr>
                <w:p w14:paraId="08333ACD">
                  <w:pPr>
                    <w:pStyle w:val="61"/>
                    <w:keepNext w:val="0"/>
                    <w:keepLines w:val="0"/>
                    <w:suppressLineNumbers w:val="0"/>
                    <w:bidi w:val="0"/>
                    <w:spacing w:before="0" w:beforeAutospacing="0" w:after="0" w:afterAutospacing="0"/>
                    <w:ind w:left="0" w:right="0" w:firstLine="0" w:firstLineChars="0"/>
                    <w:rPr>
                      <w:rFonts w:hint="eastAsia" w:ascii="Times New Roman" w:hAnsi="Times New Roman" w:cs="Times New Roman"/>
                      <w:color w:val="auto"/>
                      <w:sz w:val="21"/>
                      <w:szCs w:val="21"/>
                      <w:highlight w:val="none"/>
                      <w:lang w:val="en-US" w:eastAsia="zh-CN"/>
                    </w:rPr>
                  </w:pPr>
                </w:p>
              </w:tc>
              <w:tc>
                <w:tcPr>
                  <w:tcW w:w="458" w:type="pct"/>
                  <w:noWrap w:val="0"/>
                  <w:tcMar>
                    <w:left w:w="0" w:type="dxa"/>
                    <w:right w:w="0" w:type="dxa"/>
                  </w:tcMar>
                  <w:vAlign w:val="center"/>
                </w:tcPr>
                <w:p w14:paraId="6E7709B4">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BOD</w:t>
                  </w:r>
                  <w:r>
                    <w:rPr>
                      <w:rFonts w:hint="eastAsia" w:ascii="Times New Roman" w:cs="Times New Roman"/>
                      <w:color w:val="auto"/>
                      <w:sz w:val="21"/>
                      <w:szCs w:val="21"/>
                      <w:highlight w:val="none"/>
                      <w:vertAlign w:val="subscript"/>
                      <w:lang w:val="en-US" w:eastAsia="zh-CN"/>
                    </w:rPr>
                    <w:t>5</w:t>
                  </w:r>
                </w:p>
              </w:tc>
              <w:tc>
                <w:tcPr>
                  <w:tcW w:w="474" w:type="pct"/>
                  <w:noWrap w:val="0"/>
                  <w:tcMar>
                    <w:left w:w="0" w:type="dxa"/>
                    <w:right w:w="0" w:type="dxa"/>
                  </w:tcMar>
                  <w:vAlign w:val="center"/>
                </w:tcPr>
                <w:p w14:paraId="1D6D72BE">
                  <w:pPr>
                    <w:pStyle w:val="61"/>
                    <w:keepNext w:val="0"/>
                    <w:keepLines w:val="0"/>
                    <w:suppressLineNumbers w:val="0"/>
                    <w:bidi w:val="0"/>
                    <w:spacing w:before="0" w:beforeAutospacing="0" w:after="0" w:afterAutospacing="0"/>
                    <w:ind w:left="0" w:right="0" w:firstLine="0" w:firstLineChars="0"/>
                    <w:rPr>
                      <w:rFonts w:hint="default" w:asci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0.141</w:t>
                  </w:r>
                </w:p>
              </w:tc>
              <w:tc>
                <w:tcPr>
                  <w:tcW w:w="483" w:type="pct"/>
                  <w:tcBorders>
                    <w:right w:val="single" w:color="auto" w:sz="4" w:space="0"/>
                  </w:tcBorders>
                  <w:noWrap w:val="0"/>
                  <w:tcMar>
                    <w:left w:w="0" w:type="dxa"/>
                    <w:right w:w="0" w:type="dxa"/>
                  </w:tcMar>
                  <w:vAlign w:val="center"/>
                </w:tcPr>
                <w:p w14:paraId="43336434">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180</w:t>
                  </w:r>
                </w:p>
              </w:tc>
              <w:tc>
                <w:tcPr>
                  <w:tcW w:w="417" w:type="pct"/>
                  <w:vMerge w:val="continue"/>
                  <w:noWrap w:val="0"/>
                  <w:tcMar>
                    <w:left w:w="0" w:type="dxa"/>
                    <w:right w:w="0" w:type="dxa"/>
                  </w:tcMar>
                  <w:vAlign w:val="center"/>
                </w:tcPr>
                <w:p w14:paraId="273E73F2">
                  <w:pPr>
                    <w:pStyle w:val="6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auto"/>
                      <w:sz w:val="21"/>
                      <w:szCs w:val="21"/>
                      <w:highlight w:val="none"/>
                      <w:lang w:val="en-US" w:eastAsia="zh-CN"/>
                    </w:rPr>
                  </w:pPr>
                </w:p>
              </w:tc>
              <w:tc>
                <w:tcPr>
                  <w:tcW w:w="409" w:type="pct"/>
                  <w:tcBorders>
                    <w:left w:val="single" w:color="auto" w:sz="4" w:space="0"/>
                  </w:tcBorders>
                  <w:noWrap w:val="0"/>
                  <w:tcMar>
                    <w:left w:w="0" w:type="dxa"/>
                    <w:right w:w="0" w:type="dxa"/>
                  </w:tcMar>
                  <w:vAlign w:val="center"/>
                </w:tcPr>
                <w:p w14:paraId="2BD9C1B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30%</w:t>
                  </w:r>
                </w:p>
              </w:tc>
              <w:tc>
                <w:tcPr>
                  <w:tcW w:w="466" w:type="pct"/>
                  <w:tcBorders>
                    <w:left w:val="single" w:color="auto" w:sz="4" w:space="0"/>
                  </w:tcBorders>
                  <w:shd w:val="clear" w:color="auto" w:fill="auto"/>
                  <w:noWrap w:val="0"/>
                  <w:tcMar>
                    <w:left w:w="0" w:type="dxa"/>
                    <w:right w:w="0" w:type="dxa"/>
                  </w:tcMar>
                  <w:vAlign w:val="center"/>
                </w:tcPr>
                <w:p w14:paraId="7BF251B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0.099</w:t>
                  </w:r>
                </w:p>
              </w:tc>
              <w:tc>
                <w:tcPr>
                  <w:tcW w:w="417" w:type="pct"/>
                  <w:noWrap w:val="0"/>
                  <w:tcMar>
                    <w:left w:w="0" w:type="dxa"/>
                    <w:right w:w="0" w:type="dxa"/>
                  </w:tcMar>
                  <w:vAlign w:val="center"/>
                </w:tcPr>
                <w:p w14:paraId="72C3D7BE">
                  <w:pPr>
                    <w:pStyle w:val="61"/>
                    <w:keepNext w:val="0"/>
                    <w:keepLines w:val="0"/>
                    <w:suppressLineNumbers w:val="0"/>
                    <w:bidi w:val="0"/>
                    <w:spacing w:before="0" w:beforeAutospacing="0" w:after="0" w:afterAutospacing="0"/>
                    <w:ind w:left="0" w:right="0" w:firstLine="0" w:firstLineChars="0"/>
                    <w:rPr>
                      <w:rFonts w:hint="default" w:asci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126</w:t>
                  </w:r>
                </w:p>
              </w:tc>
              <w:tc>
                <w:tcPr>
                  <w:tcW w:w="237" w:type="pct"/>
                  <w:vMerge w:val="continue"/>
                  <w:noWrap w:val="0"/>
                  <w:tcMar>
                    <w:left w:w="0" w:type="dxa"/>
                    <w:right w:w="0" w:type="dxa"/>
                  </w:tcMar>
                  <w:vAlign w:val="center"/>
                </w:tcPr>
                <w:p w14:paraId="173E35A6">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253" w:type="pct"/>
                  <w:vMerge w:val="continue"/>
                  <w:tcBorders>
                    <w:right w:val="single" w:color="auto" w:sz="4" w:space="0"/>
                  </w:tcBorders>
                  <w:noWrap w:val="0"/>
                  <w:tcMar>
                    <w:left w:w="0" w:type="dxa"/>
                    <w:right w:w="0" w:type="dxa"/>
                  </w:tcMar>
                  <w:vAlign w:val="center"/>
                </w:tcPr>
                <w:p w14:paraId="6A809217">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345" w:type="pct"/>
                  <w:vMerge w:val="continue"/>
                  <w:tcBorders>
                    <w:left w:val="single" w:color="auto" w:sz="4" w:space="0"/>
                  </w:tcBorders>
                  <w:noWrap w:val="0"/>
                  <w:tcMar>
                    <w:left w:w="0" w:type="dxa"/>
                    <w:right w:w="0" w:type="dxa"/>
                  </w:tcMar>
                  <w:vAlign w:val="center"/>
                </w:tcPr>
                <w:p w14:paraId="0BC5BB7D">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315" w:type="pct"/>
                  <w:vMerge w:val="continue"/>
                  <w:noWrap w:val="0"/>
                  <w:tcMar>
                    <w:left w:w="0" w:type="dxa"/>
                    <w:right w:w="0" w:type="dxa"/>
                  </w:tcMar>
                  <w:vAlign w:val="center"/>
                </w:tcPr>
                <w:p w14:paraId="02922D5E">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r>
            <w:tr w14:paraId="26A7B9E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54" w:hRule="atLeast"/>
                <w:jc w:val="center"/>
              </w:trPr>
              <w:tc>
                <w:tcPr>
                  <w:tcW w:w="327" w:type="pct"/>
                  <w:vMerge w:val="continue"/>
                  <w:noWrap w:val="0"/>
                  <w:tcMar>
                    <w:left w:w="0" w:type="dxa"/>
                    <w:right w:w="0" w:type="dxa"/>
                  </w:tcMar>
                  <w:vAlign w:val="center"/>
                </w:tcPr>
                <w:p w14:paraId="44BCD664">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392" w:type="pct"/>
                  <w:vMerge w:val="continue"/>
                  <w:noWrap w:val="0"/>
                  <w:tcMar>
                    <w:left w:w="0" w:type="dxa"/>
                    <w:right w:w="0" w:type="dxa"/>
                  </w:tcMar>
                  <w:vAlign w:val="center"/>
                </w:tcPr>
                <w:p w14:paraId="201EDFD6">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458" w:type="pct"/>
                  <w:tcBorders>
                    <w:bottom w:val="single" w:color="auto" w:sz="4" w:space="0"/>
                  </w:tcBorders>
                  <w:noWrap w:val="0"/>
                  <w:tcMar>
                    <w:left w:w="0" w:type="dxa"/>
                    <w:right w:w="0" w:type="dxa"/>
                  </w:tcMar>
                  <w:vAlign w:val="center"/>
                </w:tcPr>
                <w:p w14:paraId="53ED5F67">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SS</w:t>
                  </w:r>
                </w:p>
              </w:tc>
              <w:tc>
                <w:tcPr>
                  <w:tcW w:w="474" w:type="pct"/>
                  <w:noWrap w:val="0"/>
                  <w:tcMar>
                    <w:left w:w="0" w:type="dxa"/>
                    <w:right w:w="0" w:type="dxa"/>
                  </w:tcMar>
                  <w:vAlign w:val="center"/>
                </w:tcPr>
                <w:p w14:paraId="5E4F7F12">
                  <w:pPr>
                    <w:pStyle w:val="61"/>
                    <w:keepNext w:val="0"/>
                    <w:keepLines w:val="0"/>
                    <w:suppressLineNumbers w:val="0"/>
                    <w:bidi w:val="0"/>
                    <w:spacing w:before="0" w:beforeAutospacing="0" w:after="0" w:afterAutospacing="0"/>
                    <w:ind w:left="0" w:right="0" w:firstLine="0" w:firstLineChars="0"/>
                    <w:rPr>
                      <w:rFonts w:hint="default" w:asci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0.172</w:t>
                  </w:r>
                </w:p>
              </w:tc>
              <w:tc>
                <w:tcPr>
                  <w:tcW w:w="483" w:type="pct"/>
                  <w:tcBorders>
                    <w:bottom w:val="single" w:color="auto" w:sz="4" w:space="0"/>
                    <w:right w:val="single" w:color="auto" w:sz="4" w:space="0"/>
                  </w:tcBorders>
                  <w:noWrap w:val="0"/>
                  <w:tcMar>
                    <w:left w:w="0" w:type="dxa"/>
                    <w:right w:w="0" w:type="dxa"/>
                  </w:tcMar>
                  <w:vAlign w:val="center"/>
                </w:tcPr>
                <w:p w14:paraId="509CC62B">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220</w:t>
                  </w:r>
                </w:p>
              </w:tc>
              <w:tc>
                <w:tcPr>
                  <w:tcW w:w="417" w:type="pct"/>
                  <w:vMerge w:val="continue"/>
                  <w:noWrap w:val="0"/>
                  <w:tcMar>
                    <w:left w:w="0" w:type="dxa"/>
                    <w:right w:w="0" w:type="dxa"/>
                  </w:tcMar>
                  <w:vAlign w:val="center"/>
                </w:tcPr>
                <w:p w14:paraId="486EE862">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p>
              </w:tc>
              <w:tc>
                <w:tcPr>
                  <w:tcW w:w="409" w:type="pct"/>
                  <w:tcBorders>
                    <w:bottom w:val="single" w:color="auto" w:sz="4" w:space="0"/>
                  </w:tcBorders>
                  <w:noWrap w:val="0"/>
                  <w:tcMar>
                    <w:left w:w="0" w:type="dxa"/>
                    <w:right w:w="0" w:type="dxa"/>
                  </w:tcMar>
                  <w:vAlign w:val="center"/>
                </w:tcPr>
                <w:p w14:paraId="368113E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w:t>
                  </w:r>
                </w:p>
              </w:tc>
              <w:tc>
                <w:tcPr>
                  <w:tcW w:w="466" w:type="pct"/>
                  <w:tcBorders>
                    <w:bottom w:val="single" w:color="auto" w:sz="4" w:space="0"/>
                  </w:tcBorders>
                  <w:shd w:val="clear" w:color="auto" w:fill="auto"/>
                  <w:noWrap w:val="0"/>
                  <w:tcMar>
                    <w:left w:w="0" w:type="dxa"/>
                    <w:right w:w="0" w:type="dxa"/>
                  </w:tcMar>
                  <w:vAlign w:val="center"/>
                </w:tcPr>
                <w:p w14:paraId="2875AE3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0.086</w:t>
                  </w:r>
                </w:p>
              </w:tc>
              <w:tc>
                <w:tcPr>
                  <w:tcW w:w="417" w:type="pct"/>
                  <w:tcBorders>
                    <w:bottom w:val="single" w:color="auto" w:sz="4" w:space="0"/>
                  </w:tcBorders>
                  <w:noWrap w:val="0"/>
                  <w:tcMar>
                    <w:left w:w="0" w:type="dxa"/>
                    <w:right w:w="0" w:type="dxa"/>
                  </w:tcMar>
                  <w:vAlign w:val="center"/>
                </w:tcPr>
                <w:p w14:paraId="32375DBE">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110</w:t>
                  </w:r>
                </w:p>
              </w:tc>
              <w:tc>
                <w:tcPr>
                  <w:tcW w:w="237" w:type="pct"/>
                  <w:vMerge w:val="continue"/>
                  <w:noWrap w:val="0"/>
                  <w:tcMar>
                    <w:left w:w="0" w:type="dxa"/>
                    <w:right w:w="0" w:type="dxa"/>
                  </w:tcMar>
                  <w:vAlign w:val="center"/>
                </w:tcPr>
                <w:p w14:paraId="5FE17041">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253" w:type="pct"/>
                  <w:vMerge w:val="continue"/>
                  <w:tcBorders>
                    <w:right w:val="single" w:color="auto" w:sz="4" w:space="0"/>
                  </w:tcBorders>
                  <w:noWrap w:val="0"/>
                  <w:tcMar>
                    <w:left w:w="0" w:type="dxa"/>
                    <w:right w:w="0" w:type="dxa"/>
                  </w:tcMar>
                  <w:vAlign w:val="center"/>
                </w:tcPr>
                <w:p w14:paraId="28543208">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345" w:type="pct"/>
                  <w:vMerge w:val="continue"/>
                  <w:tcBorders>
                    <w:left w:val="single" w:color="auto" w:sz="4" w:space="0"/>
                  </w:tcBorders>
                  <w:noWrap w:val="0"/>
                  <w:tcMar>
                    <w:left w:w="0" w:type="dxa"/>
                    <w:right w:w="0" w:type="dxa"/>
                  </w:tcMar>
                  <w:vAlign w:val="center"/>
                </w:tcPr>
                <w:p w14:paraId="3C94EB0D">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315" w:type="pct"/>
                  <w:vMerge w:val="continue"/>
                  <w:noWrap w:val="0"/>
                  <w:tcMar>
                    <w:left w:w="0" w:type="dxa"/>
                    <w:right w:w="0" w:type="dxa"/>
                  </w:tcMar>
                  <w:vAlign w:val="center"/>
                </w:tcPr>
                <w:p w14:paraId="73EDEBBF">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r>
            <w:tr w14:paraId="3A432F8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54" w:hRule="atLeast"/>
                <w:jc w:val="center"/>
              </w:trPr>
              <w:tc>
                <w:tcPr>
                  <w:tcW w:w="327" w:type="pct"/>
                  <w:vMerge w:val="continue"/>
                  <w:noWrap w:val="0"/>
                  <w:tcMar>
                    <w:left w:w="0" w:type="dxa"/>
                    <w:right w:w="0" w:type="dxa"/>
                  </w:tcMar>
                  <w:vAlign w:val="center"/>
                </w:tcPr>
                <w:p w14:paraId="637987CA">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392" w:type="pct"/>
                  <w:vMerge w:val="continue"/>
                  <w:noWrap w:val="0"/>
                  <w:tcMar>
                    <w:left w:w="0" w:type="dxa"/>
                    <w:right w:w="0" w:type="dxa"/>
                  </w:tcMar>
                  <w:vAlign w:val="center"/>
                </w:tcPr>
                <w:p w14:paraId="41057FAF">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458" w:type="pct"/>
                  <w:tcBorders>
                    <w:bottom w:val="single" w:color="auto" w:sz="4" w:space="0"/>
                  </w:tcBorders>
                  <w:noWrap w:val="0"/>
                  <w:tcMar>
                    <w:left w:w="0" w:type="dxa"/>
                    <w:right w:w="0" w:type="dxa"/>
                  </w:tcMar>
                  <w:vAlign w:val="center"/>
                </w:tcPr>
                <w:p w14:paraId="42763D52">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氨氮</w:t>
                  </w:r>
                </w:p>
              </w:tc>
              <w:tc>
                <w:tcPr>
                  <w:tcW w:w="474" w:type="pct"/>
                  <w:noWrap w:val="0"/>
                  <w:tcMar>
                    <w:left w:w="0" w:type="dxa"/>
                    <w:right w:w="0" w:type="dxa"/>
                  </w:tcMar>
                  <w:vAlign w:val="center"/>
                </w:tcPr>
                <w:p w14:paraId="6C9AC102">
                  <w:pPr>
                    <w:pStyle w:val="61"/>
                    <w:keepNext w:val="0"/>
                    <w:keepLines w:val="0"/>
                    <w:suppressLineNumbers w:val="0"/>
                    <w:bidi w:val="0"/>
                    <w:spacing w:before="0" w:beforeAutospacing="0" w:after="0" w:afterAutospacing="0"/>
                    <w:ind w:left="0" w:right="0" w:firstLine="0" w:firstLineChars="0"/>
                    <w:rPr>
                      <w:rFonts w:hint="default" w:asci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0.017</w:t>
                  </w:r>
                </w:p>
              </w:tc>
              <w:tc>
                <w:tcPr>
                  <w:tcW w:w="483" w:type="pct"/>
                  <w:tcBorders>
                    <w:bottom w:val="single" w:color="auto" w:sz="4" w:space="0"/>
                    <w:right w:val="single" w:color="auto" w:sz="4" w:space="0"/>
                  </w:tcBorders>
                  <w:noWrap w:val="0"/>
                  <w:tcMar>
                    <w:left w:w="0" w:type="dxa"/>
                    <w:right w:w="0" w:type="dxa"/>
                  </w:tcMar>
                  <w:vAlign w:val="center"/>
                </w:tcPr>
                <w:p w14:paraId="11FEE77C">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22</w:t>
                  </w:r>
                </w:p>
              </w:tc>
              <w:tc>
                <w:tcPr>
                  <w:tcW w:w="417" w:type="pct"/>
                  <w:vMerge w:val="continue"/>
                  <w:noWrap w:val="0"/>
                  <w:tcMar>
                    <w:left w:w="0" w:type="dxa"/>
                    <w:right w:w="0" w:type="dxa"/>
                  </w:tcMar>
                  <w:vAlign w:val="center"/>
                </w:tcPr>
                <w:p w14:paraId="1CA95A46">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p>
              </w:tc>
              <w:tc>
                <w:tcPr>
                  <w:tcW w:w="409" w:type="pct"/>
                  <w:tcBorders>
                    <w:bottom w:val="single" w:color="auto" w:sz="4" w:space="0"/>
                  </w:tcBorders>
                  <w:noWrap w:val="0"/>
                  <w:tcMar>
                    <w:left w:w="0" w:type="dxa"/>
                    <w:right w:w="0" w:type="dxa"/>
                  </w:tcMar>
                  <w:vAlign w:val="center"/>
                </w:tcPr>
                <w:p w14:paraId="16D8F23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466" w:type="pct"/>
                  <w:tcBorders>
                    <w:bottom w:val="single" w:color="auto" w:sz="4" w:space="0"/>
                  </w:tcBorders>
                  <w:shd w:val="clear" w:color="auto" w:fill="auto"/>
                  <w:noWrap w:val="0"/>
                  <w:tcMar>
                    <w:left w:w="0" w:type="dxa"/>
                    <w:right w:w="0" w:type="dxa"/>
                  </w:tcMar>
                  <w:vAlign w:val="center"/>
                </w:tcPr>
                <w:p w14:paraId="6F3C4DE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0.015</w:t>
                  </w:r>
                </w:p>
              </w:tc>
              <w:tc>
                <w:tcPr>
                  <w:tcW w:w="417" w:type="pct"/>
                  <w:tcBorders>
                    <w:bottom w:val="single" w:color="auto" w:sz="4" w:space="0"/>
                  </w:tcBorders>
                  <w:noWrap w:val="0"/>
                  <w:tcMar>
                    <w:left w:w="0" w:type="dxa"/>
                    <w:right w:w="0" w:type="dxa"/>
                  </w:tcMar>
                  <w:vAlign w:val="center"/>
                </w:tcPr>
                <w:p w14:paraId="215EB31C">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19.8</w:t>
                  </w:r>
                </w:p>
              </w:tc>
              <w:tc>
                <w:tcPr>
                  <w:tcW w:w="237" w:type="pct"/>
                  <w:vMerge w:val="continue"/>
                  <w:noWrap w:val="0"/>
                  <w:tcMar>
                    <w:left w:w="0" w:type="dxa"/>
                    <w:right w:w="0" w:type="dxa"/>
                  </w:tcMar>
                  <w:vAlign w:val="center"/>
                </w:tcPr>
                <w:p w14:paraId="214E056B">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253" w:type="pct"/>
                  <w:vMerge w:val="continue"/>
                  <w:tcBorders>
                    <w:right w:val="single" w:color="auto" w:sz="4" w:space="0"/>
                  </w:tcBorders>
                  <w:noWrap w:val="0"/>
                  <w:tcMar>
                    <w:left w:w="0" w:type="dxa"/>
                    <w:right w:w="0" w:type="dxa"/>
                  </w:tcMar>
                  <w:vAlign w:val="center"/>
                </w:tcPr>
                <w:p w14:paraId="55231BF4">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345" w:type="pct"/>
                  <w:vMerge w:val="continue"/>
                  <w:tcBorders>
                    <w:left w:val="single" w:color="auto" w:sz="4" w:space="0"/>
                  </w:tcBorders>
                  <w:noWrap w:val="0"/>
                  <w:tcMar>
                    <w:left w:w="0" w:type="dxa"/>
                    <w:right w:w="0" w:type="dxa"/>
                  </w:tcMar>
                  <w:vAlign w:val="center"/>
                </w:tcPr>
                <w:p w14:paraId="54B9CF7E">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315" w:type="pct"/>
                  <w:vMerge w:val="continue"/>
                  <w:noWrap w:val="0"/>
                  <w:tcMar>
                    <w:left w:w="0" w:type="dxa"/>
                    <w:right w:w="0" w:type="dxa"/>
                  </w:tcMar>
                  <w:vAlign w:val="center"/>
                </w:tcPr>
                <w:p w14:paraId="1FF9AF5E">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r>
            <w:tr w14:paraId="7DE260D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27" w:type="pct"/>
                  <w:vMerge w:val="continue"/>
                  <w:noWrap w:val="0"/>
                  <w:tcMar>
                    <w:left w:w="0" w:type="dxa"/>
                    <w:right w:w="0" w:type="dxa"/>
                  </w:tcMar>
                  <w:vAlign w:val="center"/>
                </w:tcPr>
                <w:p w14:paraId="533103C9">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392" w:type="pct"/>
                  <w:vMerge w:val="continue"/>
                  <w:noWrap w:val="0"/>
                  <w:tcMar>
                    <w:left w:w="0" w:type="dxa"/>
                    <w:right w:w="0" w:type="dxa"/>
                  </w:tcMar>
                  <w:vAlign w:val="center"/>
                </w:tcPr>
                <w:p w14:paraId="7AC7815D">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458" w:type="pct"/>
                  <w:tcBorders>
                    <w:bottom w:val="single" w:color="auto" w:sz="4" w:space="0"/>
                  </w:tcBorders>
                  <w:noWrap w:val="0"/>
                  <w:tcMar>
                    <w:left w:w="0" w:type="dxa"/>
                    <w:right w:w="0" w:type="dxa"/>
                  </w:tcMar>
                  <w:vAlign w:val="center"/>
                </w:tcPr>
                <w:p w14:paraId="7F533929">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动植物油</w:t>
                  </w:r>
                </w:p>
              </w:tc>
              <w:tc>
                <w:tcPr>
                  <w:tcW w:w="474" w:type="pct"/>
                  <w:noWrap w:val="0"/>
                  <w:tcMar>
                    <w:left w:w="0" w:type="dxa"/>
                    <w:right w:w="0" w:type="dxa"/>
                  </w:tcMar>
                  <w:vAlign w:val="center"/>
                </w:tcPr>
                <w:p w14:paraId="535E24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0.078</w:t>
                  </w:r>
                </w:p>
              </w:tc>
              <w:tc>
                <w:tcPr>
                  <w:tcW w:w="483" w:type="pct"/>
                  <w:tcBorders>
                    <w:bottom w:val="single" w:color="auto" w:sz="4" w:space="0"/>
                    <w:right w:val="single" w:color="auto" w:sz="4" w:space="0"/>
                  </w:tcBorders>
                  <w:noWrap w:val="0"/>
                  <w:tcMar>
                    <w:left w:w="0" w:type="dxa"/>
                    <w:right w:w="0" w:type="dxa"/>
                  </w:tcMar>
                  <w:vAlign w:val="center"/>
                </w:tcPr>
                <w:p w14:paraId="63D18BCF">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100</w:t>
                  </w:r>
                </w:p>
              </w:tc>
              <w:tc>
                <w:tcPr>
                  <w:tcW w:w="417" w:type="pct"/>
                  <w:vMerge w:val="continue"/>
                  <w:noWrap w:val="0"/>
                  <w:tcMar>
                    <w:left w:w="0" w:type="dxa"/>
                    <w:right w:w="0" w:type="dxa"/>
                  </w:tcMar>
                  <w:vAlign w:val="center"/>
                </w:tcPr>
                <w:p w14:paraId="3ADC2FF1">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p>
              </w:tc>
              <w:tc>
                <w:tcPr>
                  <w:tcW w:w="409" w:type="pct"/>
                  <w:tcBorders>
                    <w:bottom w:val="single" w:color="auto" w:sz="4" w:space="0"/>
                  </w:tcBorders>
                  <w:shd w:val="clear" w:color="auto" w:fill="auto"/>
                  <w:noWrap w:val="0"/>
                  <w:tcMar>
                    <w:left w:w="0" w:type="dxa"/>
                    <w:right w:w="0" w:type="dxa"/>
                  </w:tcMar>
                  <w:vAlign w:val="center"/>
                </w:tcPr>
                <w:p w14:paraId="68288A96">
                  <w:pPr>
                    <w:pStyle w:val="61"/>
                    <w:keepNext w:val="0"/>
                    <w:keepLines w:val="0"/>
                    <w:suppressLineNumbers w:val="0"/>
                    <w:bidi w:val="0"/>
                    <w:spacing w:before="0" w:beforeAutospacing="0" w:after="0" w:afterAutospacing="0"/>
                    <w:ind w:left="0" w:right="0" w:firstLine="0" w:firstLineChars="0"/>
                    <w:rPr>
                      <w:rFonts w:hint="default" w:ascii="Times New Roman"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30%</w:t>
                  </w:r>
                </w:p>
              </w:tc>
              <w:tc>
                <w:tcPr>
                  <w:tcW w:w="466" w:type="pct"/>
                  <w:tcBorders>
                    <w:bottom w:val="single" w:color="auto" w:sz="4" w:space="0"/>
                  </w:tcBorders>
                  <w:shd w:val="clear" w:color="auto" w:fill="auto"/>
                  <w:noWrap w:val="0"/>
                  <w:tcMar>
                    <w:left w:w="0" w:type="dxa"/>
                    <w:right w:w="0" w:type="dxa"/>
                  </w:tcMar>
                  <w:vAlign w:val="center"/>
                </w:tcPr>
                <w:p w14:paraId="58449BAC">
                  <w:pPr>
                    <w:pStyle w:val="61"/>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0.055</w:t>
                  </w:r>
                </w:p>
              </w:tc>
              <w:tc>
                <w:tcPr>
                  <w:tcW w:w="417" w:type="pct"/>
                  <w:tcBorders>
                    <w:bottom w:val="single" w:color="auto" w:sz="4" w:space="0"/>
                  </w:tcBorders>
                  <w:shd w:val="clear" w:color="auto" w:fill="auto"/>
                  <w:noWrap w:val="0"/>
                  <w:tcMar>
                    <w:left w:w="0" w:type="dxa"/>
                    <w:right w:w="0" w:type="dxa"/>
                  </w:tcMar>
                  <w:vAlign w:val="center"/>
                </w:tcPr>
                <w:p w14:paraId="537D1F3B">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70</w:t>
                  </w:r>
                </w:p>
              </w:tc>
              <w:tc>
                <w:tcPr>
                  <w:tcW w:w="237" w:type="pct"/>
                  <w:vMerge w:val="continue"/>
                  <w:noWrap w:val="0"/>
                  <w:tcMar>
                    <w:left w:w="0" w:type="dxa"/>
                    <w:right w:w="0" w:type="dxa"/>
                  </w:tcMar>
                  <w:vAlign w:val="center"/>
                </w:tcPr>
                <w:p w14:paraId="70FA7AB5">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253" w:type="pct"/>
                  <w:vMerge w:val="continue"/>
                  <w:tcBorders>
                    <w:right w:val="single" w:color="auto" w:sz="4" w:space="0"/>
                  </w:tcBorders>
                  <w:noWrap w:val="0"/>
                  <w:tcMar>
                    <w:left w:w="0" w:type="dxa"/>
                    <w:right w:w="0" w:type="dxa"/>
                  </w:tcMar>
                  <w:vAlign w:val="center"/>
                </w:tcPr>
                <w:p w14:paraId="590FD415">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345" w:type="pct"/>
                  <w:vMerge w:val="continue"/>
                  <w:tcBorders>
                    <w:left w:val="single" w:color="auto" w:sz="4" w:space="0"/>
                  </w:tcBorders>
                  <w:noWrap w:val="0"/>
                  <w:tcMar>
                    <w:left w:w="0" w:type="dxa"/>
                    <w:right w:w="0" w:type="dxa"/>
                  </w:tcMar>
                  <w:vAlign w:val="center"/>
                </w:tcPr>
                <w:p w14:paraId="2AA1D83B">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315" w:type="pct"/>
                  <w:vMerge w:val="continue"/>
                  <w:noWrap w:val="0"/>
                  <w:tcMar>
                    <w:left w:w="0" w:type="dxa"/>
                    <w:right w:w="0" w:type="dxa"/>
                  </w:tcMar>
                  <w:vAlign w:val="center"/>
                </w:tcPr>
                <w:p w14:paraId="41B47E1C">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r>
            <w:tr w14:paraId="2C33B76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27" w:type="pct"/>
                  <w:vMerge w:val="continue"/>
                  <w:noWrap w:val="0"/>
                  <w:tcMar>
                    <w:left w:w="0" w:type="dxa"/>
                    <w:right w:w="0" w:type="dxa"/>
                  </w:tcMar>
                  <w:vAlign w:val="center"/>
                </w:tcPr>
                <w:p w14:paraId="7A2D9E8B">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392" w:type="pct"/>
                  <w:vMerge w:val="continue"/>
                  <w:noWrap w:val="0"/>
                  <w:tcMar>
                    <w:left w:w="0" w:type="dxa"/>
                    <w:right w:w="0" w:type="dxa"/>
                  </w:tcMar>
                  <w:vAlign w:val="center"/>
                </w:tcPr>
                <w:p w14:paraId="3BBA8B8B">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458" w:type="pct"/>
                  <w:tcBorders>
                    <w:bottom w:val="single" w:color="auto" w:sz="4" w:space="0"/>
                  </w:tcBorders>
                  <w:noWrap w:val="0"/>
                  <w:tcMar>
                    <w:left w:w="0" w:type="dxa"/>
                    <w:right w:w="0" w:type="dxa"/>
                  </w:tcMar>
                  <w:vAlign w:val="center"/>
                </w:tcPr>
                <w:p w14:paraId="44643D66">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石油类</w:t>
                  </w:r>
                </w:p>
              </w:tc>
              <w:tc>
                <w:tcPr>
                  <w:tcW w:w="474" w:type="pct"/>
                  <w:noWrap w:val="0"/>
                  <w:tcMar>
                    <w:left w:w="0" w:type="dxa"/>
                    <w:right w:w="0" w:type="dxa"/>
                  </w:tcMar>
                  <w:vAlign w:val="center"/>
                </w:tcPr>
                <w:p w14:paraId="46E951D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0.016</w:t>
                  </w:r>
                </w:p>
              </w:tc>
              <w:tc>
                <w:tcPr>
                  <w:tcW w:w="483" w:type="pct"/>
                  <w:tcBorders>
                    <w:bottom w:val="single" w:color="auto" w:sz="4" w:space="0"/>
                    <w:right w:val="single" w:color="auto" w:sz="4" w:space="0"/>
                  </w:tcBorders>
                  <w:noWrap w:val="0"/>
                  <w:tcMar>
                    <w:left w:w="0" w:type="dxa"/>
                    <w:right w:w="0" w:type="dxa"/>
                  </w:tcMar>
                  <w:vAlign w:val="center"/>
                </w:tcPr>
                <w:p w14:paraId="05A3DDC0">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20</w:t>
                  </w:r>
                </w:p>
              </w:tc>
              <w:tc>
                <w:tcPr>
                  <w:tcW w:w="417" w:type="pct"/>
                  <w:vMerge w:val="continue"/>
                  <w:noWrap w:val="0"/>
                  <w:tcMar>
                    <w:left w:w="0" w:type="dxa"/>
                    <w:right w:w="0" w:type="dxa"/>
                  </w:tcMar>
                  <w:vAlign w:val="center"/>
                </w:tcPr>
                <w:p w14:paraId="26E8D324">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p>
              </w:tc>
              <w:tc>
                <w:tcPr>
                  <w:tcW w:w="409" w:type="pct"/>
                  <w:tcBorders>
                    <w:bottom w:val="single" w:color="auto" w:sz="4" w:space="0"/>
                  </w:tcBorders>
                  <w:shd w:val="clear" w:color="auto" w:fill="auto"/>
                  <w:noWrap w:val="0"/>
                  <w:tcMar>
                    <w:left w:w="0" w:type="dxa"/>
                    <w:right w:w="0" w:type="dxa"/>
                  </w:tcMar>
                  <w:vAlign w:val="center"/>
                </w:tcPr>
                <w:p w14:paraId="2943A56B">
                  <w:pPr>
                    <w:pStyle w:val="61"/>
                    <w:keepNext w:val="0"/>
                    <w:keepLines w:val="0"/>
                    <w:suppressLineNumbers w:val="0"/>
                    <w:bidi w:val="0"/>
                    <w:spacing w:before="0" w:beforeAutospacing="0" w:after="0" w:afterAutospacing="0"/>
                    <w:ind w:left="0" w:right="0" w:firstLine="0" w:firstLineChars="0"/>
                    <w:rPr>
                      <w:rFonts w:hint="default" w:ascii="Times New Roman"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30%</w:t>
                  </w:r>
                </w:p>
              </w:tc>
              <w:tc>
                <w:tcPr>
                  <w:tcW w:w="466" w:type="pct"/>
                  <w:tcBorders>
                    <w:bottom w:val="single" w:color="auto" w:sz="4" w:space="0"/>
                  </w:tcBorders>
                  <w:shd w:val="clear" w:color="auto" w:fill="auto"/>
                  <w:noWrap w:val="0"/>
                  <w:tcMar>
                    <w:left w:w="0" w:type="dxa"/>
                    <w:right w:w="0" w:type="dxa"/>
                  </w:tcMar>
                  <w:vAlign w:val="center"/>
                </w:tcPr>
                <w:p w14:paraId="45894AC1">
                  <w:pPr>
                    <w:pStyle w:val="61"/>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0.011</w:t>
                  </w:r>
                </w:p>
              </w:tc>
              <w:tc>
                <w:tcPr>
                  <w:tcW w:w="417" w:type="pct"/>
                  <w:tcBorders>
                    <w:bottom w:val="single" w:color="auto" w:sz="4" w:space="0"/>
                  </w:tcBorders>
                  <w:shd w:val="clear" w:color="auto" w:fill="auto"/>
                  <w:noWrap w:val="0"/>
                  <w:tcMar>
                    <w:left w:w="0" w:type="dxa"/>
                    <w:right w:w="0" w:type="dxa"/>
                  </w:tcMar>
                  <w:vAlign w:val="center"/>
                </w:tcPr>
                <w:p w14:paraId="36B50530">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14</w:t>
                  </w:r>
                </w:p>
              </w:tc>
              <w:tc>
                <w:tcPr>
                  <w:tcW w:w="237" w:type="pct"/>
                  <w:vMerge w:val="continue"/>
                  <w:noWrap w:val="0"/>
                  <w:tcMar>
                    <w:left w:w="0" w:type="dxa"/>
                    <w:right w:w="0" w:type="dxa"/>
                  </w:tcMar>
                  <w:vAlign w:val="center"/>
                </w:tcPr>
                <w:p w14:paraId="2035B1FD">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253" w:type="pct"/>
                  <w:vMerge w:val="continue"/>
                  <w:tcBorders>
                    <w:right w:val="single" w:color="auto" w:sz="4" w:space="0"/>
                  </w:tcBorders>
                  <w:noWrap w:val="0"/>
                  <w:tcMar>
                    <w:left w:w="0" w:type="dxa"/>
                    <w:right w:w="0" w:type="dxa"/>
                  </w:tcMar>
                  <w:vAlign w:val="center"/>
                </w:tcPr>
                <w:p w14:paraId="2DAF8E3D">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345" w:type="pct"/>
                  <w:vMerge w:val="continue"/>
                  <w:tcBorders>
                    <w:left w:val="single" w:color="auto" w:sz="4" w:space="0"/>
                  </w:tcBorders>
                  <w:noWrap w:val="0"/>
                  <w:tcMar>
                    <w:left w:w="0" w:type="dxa"/>
                    <w:right w:w="0" w:type="dxa"/>
                  </w:tcMar>
                  <w:vAlign w:val="center"/>
                </w:tcPr>
                <w:p w14:paraId="280BA0BF">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315" w:type="pct"/>
                  <w:vMerge w:val="continue"/>
                  <w:noWrap w:val="0"/>
                  <w:tcMar>
                    <w:left w:w="0" w:type="dxa"/>
                    <w:right w:w="0" w:type="dxa"/>
                  </w:tcMar>
                  <w:vAlign w:val="center"/>
                </w:tcPr>
                <w:p w14:paraId="71638204">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r>
            <w:tr w14:paraId="3B386B0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27" w:type="pct"/>
                  <w:vMerge w:val="continue"/>
                  <w:noWrap w:val="0"/>
                  <w:tcMar>
                    <w:left w:w="0" w:type="dxa"/>
                    <w:right w:w="0" w:type="dxa"/>
                  </w:tcMar>
                  <w:vAlign w:val="center"/>
                </w:tcPr>
                <w:p w14:paraId="3E1A22A4">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392" w:type="pct"/>
                  <w:vMerge w:val="continue"/>
                  <w:noWrap w:val="0"/>
                  <w:tcMar>
                    <w:left w:w="0" w:type="dxa"/>
                    <w:right w:w="0" w:type="dxa"/>
                  </w:tcMar>
                  <w:vAlign w:val="center"/>
                </w:tcPr>
                <w:p w14:paraId="47B19690">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458" w:type="pct"/>
                  <w:tcBorders>
                    <w:bottom w:val="single" w:color="auto" w:sz="4" w:space="0"/>
                  </w:tcBorders>
                  <w:noWrap w:val="0"/>
                  <w:tcMar>
                    <w:left w:w="0" w:type="dxa"/>
                    <w:right w:w="0" w:type="dxa"/>
                  </w:tcMar>
                  <w:vAlign w:val="center"/>
                </w:tcPr>
                <w:p w14:paraId="3266BDFB">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阴离子表面活性剂</w:t>
                  </w:r>
                </w:p>
              </w:tc>
              <w:tc>
                <w:tcPr>
                  <w:tcW w:w="474" w:type="pct"/>
                  <w:noWrap w:val="0"/>
                  <w:tcMar>
                    <w:left w:w="0" w:type="dxa"/>
                    <w:right w:w="0" w:type="dxa"/>
                  </w:tcMar>
                  <w:vAlign w:val="center"/>
                </w:tcPr>
                <w:p w14:paraId="183BD2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0.016</w:t>
                  </w:r>
                </w:p>
              </w:tc>
              <w:tc>
                <w:tcPr>
                  <w:tcW w:w="483" w:type="pct"/>
                  <w:tcBorders>
                    <w:bottom w:val="single" w:color="auto" w:sz="4" w:space="0"/>
                    <w:right w:val="single" w:color="auto" w:sz="4" w:space="0"/>
                  </w:tcBorders>
                  <w:noWrap w:val="0"/>
                  <w:tcMar>
                    <w:left w:w="0" w:type="dxa"/>
                    <w:right w:w="0" w:type="dxa"/>
                  </w:tcMar>
                  <w:vAlign w:val="center"/>
                </w:tcPr>
                <w:p w14:paraId="69DA0B0E">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20</w:t>
                  </w:r>
                </w:p>
              </w:tc>
              <w:tc>
                <w:tcPr>
                  <w:tcW w:w="417" w:type="pct"/>
                  <w:vMerge w:val="continue"/>
                  <w:noWrap w:val="0"/>
                  <w:tcMar>
                    <w:left w:w="0" w:type="dxa"/>
                    <w:right w:w="0" w:type="dxa"/>
                  </w:tcMar>
                  <w:vAlign w:val="center"/>
                </w:tcPr>
                <w:p w14:paraId="66746A42">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p>
              </w:tc>
              <w:tc>
                <w:tcPr>
                  <w:tcW w:w="409" w:type="pct"/>
                  <w:tcBorders>
                    <w:bottom w:val="single" w:color="auto" w:sz="4" w:space="0"/>
                  </w:tcBorders>
                  <w:shd w:val="clear" w:color="auto" w:fill="auto"/>
                  <w:noWrap w:val="0"/>
                  <w:tcMar>
                    <w:left w:w="0" w:type="dxa"/>
                    <w:right w:w="0" w:type="dxa"/>
                  </w:tcMar>
                  <w:vAlign w:val="center"/>
                </w:tcPr>
                <w:p w14:paraId="13266337">
                  <w:pPr>
                    <w:pStyle w:val="61"/>
                    <w:keepNext w:val="0"/>
                    <w:keepLines w:val="0"/>
                    <w:suppressLineNumbers w:val="0"/>
                    <w:bidi w:val="0"/>
                    <w:spacing w:before="0" w:beforeAutospacing="0" w:after="0" w:afterAutospacing="0"/>
                    <w:ind w:left="0" w:right="0" w:firstLine="0" w:firstLineChars="0"/>
                    <w:rPr>
                      <w:rFonts w:hint="default" w:ascii="Times New Roman"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50%</w:t>
                  </w:r>
                </w:p>
              </w:tc>
              <w:tc>
                <w:tcPr>
                  <w:tcW w:w="466" w:type="pct"/>
                  <w:tcBorders>
                    <w:bottom w:val="single" w:color="auto" w:sz="4" w:space="0"/>
                  </w:tcBorders>
                  <w:shd w:val="clear" w:color="auto" w:fill="auto"/>
                  <w:noWrap w:val="0"/>
                  <w:tcMar>
                    <w:left w:w="0" w:type="dxa"/>
                    <w:right w:w="0" w:type="dxa"/>
                  </w:tcMar>
                  <w:vAlign w:val="center"/>
                </w:tcPr>
                <w:p w14:paraId="5ED04EC4">
                  <w:pPr>
                    <w:pStyle w:val="61"/>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0.011</w:t>
                  </w:r>
                </w:p>
              </w:tc>
              <w:tc>
                <w:tcPr>
                  <w:tcW w:w="417" w:type="pct"/>
                  <w:tcBorders>
                    <w:bottom w:val="single" w:color="auto" w:sz="4" w:space="0"/>
                  </w:tcBorders>
                  <w:shd w:val="clear" w:color="auto" w:fill="auto"/>
                  <w:noWrap w:val="0"/>
                  <w:tcMar>
                    <w:left w:w="0" w:type="dxa"/>
                    <w:right w:w="0" w:type="dxa"/>
                  </w:tcMar>
                  <w:vAlign w:val="center"/>
                </w:tcPr>
                <w:p w14:paraId="7E7B760E">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14</w:t>
                  </w:r>
                </w:p>
              </w:tc>
              <w:tc>
                <w:tcPr>
                  <w:tcW w:w="237" w:type="pct"/>
                  <w:vMerge w:val="continue"/>
                  <w:noWrap w:val="0"/>
                  <w:tcMar>
                    <w:left w:w="0" w:type="dxa"/>
                    <w:right w:w="0" w:type="dxa"/>
                  </w:tcMar>
                  <w:vAlign w:val="center"/>
                </w:tcPr>
                <w:p w14:paraId="0FCFCD09">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253" w:type="pct"/>
                  <w:vMerge w:val="continue"/>
                  <w:tcBorders>
                    <w:right w:val="single" w:color="auto" w:sz="4" w:space="0"/>
                  </w:tcBorders>
                  <w:noWrap w:val="0"/>
                  <w:tcMar>
                    <w:left w:w="0" w:type="dxa"/>
                    <w:right w:w="0" w:type="dxa"/>
                  </w:tcMar>
                  <w:vAlign w:val="center"/>
                </w:tcPr>
                <w:p w14:paraId="21B6B451">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345" w:type="pct"/>
                  <w:vMerge w:val="continue"/>
                  <w:tcBorders>
                    <w:left w:val="single" w:color="auto" w:sz="4" w:space="0"/>
                  </w:tcBorders>
                  <w:noWrap w:val="0"/>
                  <w:tcMar>
                    <w:left w:w="0" w:type="dxa"/>
                    <w:right w:w="0" w:type="dxa"/>
                  </w:tcMar>
                  <w:vAlign w:val="center"/>
                </w:tcPr>
                <w:p w14:paraId="0D5296CC">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315" w:type="pct"/>
                  <w:vMerge w:val="continue"/>
                  <w:noWrap w:val="0"/>
                  <w:tcMar>
                    <w:left w:w="0" w:type="dxa"/>
                    <w:right w:w="0" w:type="dxa"/>
                  </w:tcMar>
                  <w:vAlign w:val="center"/>
                </w:tcPr>
                <w:p w14:paraId="201B932E">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r>
            <w:tr w14:paraId="706D540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327" w:type="pct"/>
                  <w:vMerge w:val="continue"/>
                  <w:noWrap w:val="0"/>
                  <w:tcMar>
                    <w:left w:w="0" w:type="dxa"/>
                    <w:right w:w="0" w:type="dxa"/>
                  </w:tcMar>
                  <w:vAlign w:val="center"/>
                </w:tcPr>
                <w:p w14:paraId="4169AD74">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392" w:type="pct"/>
                  <w:vMerge w:val="continue"/>
                  <w:noWrap w:val="0"/>
                  <w:tcMar>
                    <w:left w:w="0" w:type="dxa"/>
                    <w:right w:w="0" w:type="dxa"/>
                  </w:tcMar>
                  <w:vAlign w:val="center"/>
                </w:tcPr>
                <w:p w14:paraId="77DE5210">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458" w:type="pct"/>
                  <w:tcBorders>
                    <w:bottom w:val="single" w:color="auto" w:sz="4" w:space="0"/>
                  </w:tcBorders>
                  <w:noWrap w:val="0"/>
                  <w:tcMar>
                    <w:left w:w="0" w:type="dxa"/>
                    <w:right w:w="0" w:type="dxa"/>
                  </w:tcMar>
                  <w:vAlign w:val="center"/>
                </w:tcPr>
                <w:p w14:paraId="3C204480">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pH</w:t>
                  </w:r>
                </w:p>
              </w:tc>
              <w:tc>
                <w:tcPr>
                  <w:tcW w:w="474" w:type="pct"/>
                  <w:noWrap w:val="0"/>
                  <w:tcMar>
                    <w:left w:w="0" w:type="dxa"/>
                    <w:right w:w="0" w:type="dxa"/>
                  </w:tcMar>
                  <w:vAlign w:val="center"/>
                </w:tcPr>
                <w:p w14:paraId="7693A32D">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483" w:type="pct"/>
                  <w:tcBorders>
                    <w:bottom w:val="single" w:color="auto" w:sz="4" w:space="0"/>
                    <w:right w:val="single" w:color="auto" w:sz="4" w:space="0"/>
                  </w:tcBorders>
                  <w:noWrap w:val="0"/>
                  <w:tcMar>
                    <w:left w:w="0" w:type="dxa"/>
                    <w:right w:w="0" w:type="dxa"/>
                  </w:tcMar>
                  <w:vAlign w:val="center"/>
                </w:tcPr>
                <w:p w14:paraId="39826171">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6-9（无量纲）</w:t>
                  </w:r>
                  <w:r>
                    <w:rPr>
                      <w:rFonts w:hint="default" w:ascii="Times New Roman" w:hAnsi="Times New Roman" w:eastAsia="宋体" w:cs="Times New Roman"/>
                      <w:color w:val="auto"/>
                      <w:sz w:val="21"/>
                      <w:szCs w:val="21"/>
                      <w:highlight w:val="none"/>
                      <w:lang w:val="en-US" w:eastAsia="zh-CN"/>
                    </w:rPr>
                    <w:t xml:space="preserve"> </w:t>
                  </w:r>
                </w:p>
              </w:tc>
              <w:tc>
                <w:tcPr>
                  <w:tcW w:w="417" w:type="pct"/>
                  <w:vMerge w:val="continue"/>
                  <w:noWrap w:val="0"/>
                  <w:tcMar>
                    <w:left w:w="0" w:type="dxa"/>
                    <w:right w:w="0" w:type="dxa"/>
                  </w:tcMar>
                  <w:vAlign w:val="center"/>
                </w:tcPr>
                <w:p w14:paraId="1DF271D2">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p>
              </w:tc>
              <w:tc>
                <w:tcPr>
                  <w:tcW w:w="409" w:type="pct"/>
                  <w:tcBorders>
                    <w:bottom w:val="single" w:color="auto" w:sz="4" w:space="0"/>
                  </w:tcBorders>
                  <w:shd w:val="clear" w:color="auto" w:fill="auto"/>
                  <w:noWrap w:val="0"/>
                  <w:tcMar>
                    <w:left w:w="0" w:type="dxa"/>
                    <w:right w:w="0" w:type="dxa"/>
                  </w:tcMar>
                  <w:vAlign w:val="center"/>
                </w:tcPr>
                <w:p w14:paraId="52BB5B06">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w:t>
                  </w:r>
                </w:p>
              </w:tc>
              <w:tc>
                <w:tcPr>
                  <w:tcW w:w="466" w:type="pct"/>
                  <w:tcBorders>
                    <w:bottom w:val="single" w:color="auto" w:sz="4" w:space="0"/>
                  </w:tcBorders>
                  <w:shd w:val="clear" w:color="auto" w:fill="auto"/>
                  <w:noWrap w:val="0"/>
                  <w:tcMar>
                    <w:left w:w="0" w:type="dxa"/>
                    <w:right w:w="0" w:type="dxa"/>
                  </w:tcMar>
                  <w:vAlign w:val="center"/>
                </w:tcPr>
                <w:p w14:paraId="576D33B1">
                  <w:pPr>
                    <w:pStyle w:val="61"/>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417" w:type="pct"/>
                  <w:tcBorders>
                    <w:bottom w:val="single" w:color="auto" w:sz="4" w:space="0"/>
                  </w:tcBorders>
                  <w:shd w:val="clear" w:color="auto" w:fill="auto"/>
                  <w:noWrap w:val="0"/>
                  <w:tcMar>
                    <w:left w:w="0" w:type="dxa"/>
                    <w:right w:w="0" w:type="dxa"/>
                  </w:tcMar>
                  <w:vAlign w:val="center"/>
                </w:tcPr>
                <w:p w14:paraId="030E31BE">
                  <w:pPr>
                    <w:pStyle w:val="6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6-9（无量纲）</w:t>
                  </w:r>
                  <w:r>
                    <w:rPr>
                      <w:rFonts w:hint="default" w:ascii="Times New Roman" w:hAnsi="Times New Roman" w:eastAsia="宋体" w:cs="Times New Roman"/>
                      <w:color w:val="auto"/>
                      <w:sz w:val="21"/>
                      <w:szCs w:val="21"/>
                      <w:highlight w:val="none"/>
                      <w:lang w:val="en-US" w:eastAsia="zh-CN"/>
                    </w:rPr>
                    <w:t xml:space="preserve"> </w:t>
                  </w:r>
                </w:p>
              </w:tc>
              <w:tc>
                <w:tcPr>
                  <w:tcW w:w="237" w:type="pct"/>
                  <w:vMerge w:val="continue"/>
                  <w:noWrap w:val="0"/>
                  <w:tcMar>
                    <w:left w:w="0" w:type="dxa"/>
                    <w:right w:w="0" w:type="dxa"/>
                  </w:tcMar>
                  <w:vAlign w:val="center"/>
                </w:tcPr>
                <w:p w14:paraId="7CF5DE74">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253" w:type="pct"/>
                  <w:vMerge w:val="continue"/>
                  <w:tcBorders>
                    <w:right w:val="single" w:color="auto" w:sz="4" w:space="0"/>
                  </w:tcBorders>
                  <w:noWrap w:val="0"/>
                  <w:tcMar>
                    <w:left w:w="0" w:type="dxa"/>
                    <w:right w:w="0" w:type="dxa"/>
                  </w:tcMar>
                  <w:vAlign w:val="center"/>
                </w:tcPr>
                <w:p w14:paraId="0420736E">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345" w:type="pct"/>
                  <w:vMerge w:val="continue"/>
                  <w:tcBorders>
                    <w:left w:val="single" w:color="auto" w:sz="4" w:space="0"/>
                  </w:tcBorders>
                  <w:noWrap w:val="0"/>
                  <w:tcMar>
                    <w:left w:w="0" w:type="dxa"/>
                    <w:right w:w="0" w:type="dxa"/>
                  </w:tcMar>
                  <w:vAlign w:val="center"/>
                </w:tcPr>
                <w:p w14:paraId="557B957A">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c>
                <w:tcPr>
                  <w:tcW w:w="315" w:type="pct"/>
                  <w:vMerge w:val="continue"/>
                  <w:noWrap w:val="0"/>
                  <w:tcMar>
                    <w:left w:w="0" w:type="dxa"/>
                    <w:right w:w="0" w:type="dxa"/>
                  </w:tcMar>
                  <w:vAlign w:val="center"/>
                </w:tcPr>
                <w:p w14:paraId="01A9D1DE">
                  <w:pPr>
                    <w:pStyle w:val="61"/>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sz w:val="21"/>
                      <w:szCs w:val="21"/>
                      <w:highlight w:val="none"/>
                      <w:lang w:val="en-US" w:eastAsia="zh-CN"/>
                    </w:rPr>
                  </w:pPr>
                </w:p>
              </w:tc>
            </w:tr>
          </w:tbl>
          <w:p w14:paraId="04FD3B01">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3</w:t>
            </w:r>
            <w:r>
              <w:rPr>
                <w:rFonts w:hint="default" w:ascii="Times New Roman" w:hAnsi="Times New Roman" w:eastAsia="宋体" w:cs="Times New Roman"/>
                <w:bCs/>
                <w:color w:val="auto"/>
                <w:sz w:val="24"/>
                <w:szCs w:val="24"/>
                <w:highlight w:val="none"/>
                <w:lang w:val="en-US" w:eastAsia="zh-CN"/>
              </w:rPr>
              <w:t>.2 排放口情况</w:t>
            </w:r>
          </w:p>
          <w:p w14:paraId="16C1857C">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w:t>
            </w:r>
            <w:r>
              <w:rPr>
                <w:rFonts w:hint="eastAsia" w:cs="Times New Roman"/>
                <w:b w:val="0"/>
                <w:color w:val="auto"/>
                <w:kern w:val="0"/>
                <w:sz w:val="24"/>
                <w:szCs w:val="24"/>
                <w:highlight w:val="none"/>
                <w:lang w:val="en-US" w:eastAsia="zh-CN" w:bidi="ar-SA"/>
              </w:rPr>
              <w:t>清洗废水经“破乳-絮凝-沉淀”处理，生活污水</w:t>
            </w:r>
            <w:r>
              <w:rPr>
                <w:rFonts w:hint="eastAsia" w:ascii="Times New Roman" w:hAnsi="Times New Roman" w:eastAsia="宋体" w:cs="Times New Roman"/>
                <w:b w:val="0"/>
                <w:color w:val="auto"/>
                <w:kern w:val="0"/>
                <w:sz w:val="24"/>
                <w:szCs w:val="24"/>
                <w:highlight w:val="none"/>
                <w:lang w:val="en-US" w:eastAsia="zh-CN" w:bidi="ar-SA"/>
              </w:rPr>
              <w:t>经化粪池处理后</w:t>
            </w:r>
            <w:r>
              <w:rPr>
                <w:rFonts w:hint="eastAsia" w:cs="Times New Roman"/>
                <w:b w:val="0"/>
                <w:color w:val="auto"/>
                <w:kern w:val="0"/>
                <w:sz w:val="24"/>
                <w:szCs w:val="24"/>
                <w:highlight w:val="none"/>
                <w:lang w:val="en-US" w:eastAsia="zh-CN" w:bidi="ar-SA"/>
              </w:rPr>
              <w:t>，均</w:t>
            </w:r>
            <w:r>
              <w:rPr>
                <w:rFonts w:hint="eastAsia" w:ascii="Times New Roman" w:hAnsi="Times New Roman" w:eastAsia="宋体" w:cs="Times New Roman"/>
                <w:b w:val="0"/>
                <w:color w:val="auto"/>
                <w:kern w:val="0"/>
                <w:sz w:val="24"/>
                <w:szCs w:val="24"/>
                <w:highlight w:val="none"/>
                <w:lang w:val="en-US" w:eastAsia="zh-CN" w:bidi="ar-SA"/>
              </w:rPr>
              <w:t>经市政管网排放至秦皇岛市第三污水处理厂进行处理</w:t>
            </w:r>
            <w:r>
              <w:rPr>
                <w:rFonts w:hint="default" w:ascii="Times New Roman" w:hAnsi="Times New Roman" w:eastAsia="宋体" w:cs="Times New Roman"/>
                <w:color w:val="auto"/>
                <w:sz w:val="24"/>
                <w:szCs w:val="24"/>
                <w:highlight w:val="none"/>
                <w:lang w:val="en-US" w:eastAsia="zh-CN"/>
              </w:rPr>
              <w:t>，为间接排放。排口在厂区内（编号DW001），排放规律为：间断排放，排放期间流量稳定。</w:t>
            </w:r>
            <w:r>
              <w:rPr>
                <w:rFonts w:hint="eastAsia" w:cs="Times New Roman"/>
                <w:color w:val="auto"/>
                <w:sz w:val="24"/>
                <w:szCs w:val="24"/>
                <w:highlight w:val="none"/>
                <w:lang w:val="en-US" w:eastAsia="zh-CN"/>
              </w:rPr>
              <w:t>排放口类型：一般排放口。</w:t>
            </w:r>
          </w:p>
          <w:p w14:paraId="2189442A">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3.3 依托污水处理站及</w:t>
            </w:r>
            <w:r>
              <w:rPr>
                <w:rFonts w:hint="default" w:ascii="Times New Roman" w:hAnsi="Times New Roman" w:eastAsia="宋体" w:cs="Times New Roman"/>
                <w:bCs/>
                <w:color w:val="auto"/>
                <w:sz w:val="24"/>
                <w:szCs w:val="24"/>
                <w:highlight w:val="none"/>
                <w:lang w:val="en-US" w:eastAsia="zh-CN"/>
              </w:rPr>
              <w:t>污水处理厂可行性分析</w:t>
            </w:r>
          </w:p>
          <w:p w14:paraId="6C9EC729">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本项目废水主要为</w:t>
            </w:r>
            <w:r>
              <w:rPr>
                <w:rFonts w:hint="eastAsia" w:cs="Times New Roman"/>
                <w:color w:val="auto"/>
                <w:sz w:val="24"/>
                <w:szCs w:val="24"/>
                <w:highlight w:val="none"/>
                <w:lang w:eastAsia="zh-CN"/>
              </w:rPr>
              <w:t>生产废水和</w:t>
            </w:r>
            <w:r>
              <w:rPr>
                <w:rFonts w:hint="default" w:ascii="Times New Roman" w:hAnsi="Times New Roman" w:cs="Times New Roman"/>
                <w:color w:val="auto"/>
                <w:sz w:val="24"/>
                <w:szCs w:val="24"/>
                <w:highlight w:val="none"/>
                <w:lang w:val="en-US" w:eastAsia="zh-CN"/>
              </w:rPr>
              <w:t>生活污水</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最终</w:t>
            </w:r>
            <w:r>
              <w:rPr>
                <w:rFonts w:hint="default" w:ascii="Times New Roman" w:hAnsi="Times New Roman" w:cs="Times New Roman"/>
                <w:color w:val="auto"/>
                <w:sz w:val="24"/>
                <w:szCs w:val="24"/>
                <w:highlight w:val="none"/>
              </w:rPr>
              <w:t>进入市政管网</w:t>
            </w:r>
            <w:r>
              <w:rPr>
                <w:rFonts w:hint="default" w:cs="Times New Roman"/>
                <w:color w:val="auto"/>
                <w:sz w:val="24"/>
                <w:szCs w:val="24"/>
                <w:highlight w:val="none"/>
                <w:lang w:val="en-US" w:eastAsia="zh-CN"/>
              </w:rPr>
              <w:t>最后入</w:t>
            </w:r>
            <w:r>
              <w:rPr>
                <w:rFonts w:hint="eastAsia" w:cs="Times New Roman"/>
                <w:color w:val="auto"/>
                <w:sz w:val="24"/>
                <w:szCs w:val="24"/>
                <w:highlight w:val="none"/>
                <w:lang w:val="en-US" w:eastAsia="zh-CN"/>
              </w:rPr>
              <w:t>秦皇岛市第三</w:t>
            </w:r>
            <w:r>
              <w:rPr>
                <w:rFonts w:hint="default" w:cs="Times New Roman"/>
                <w:color w:val="auto"/>
                <w:sz w:val="24"/>
                <w:szCs w:val="24"/>
                <w:highlight w:val="none"/>
                <w:lang w:val="en-US" w:eastAsia="zh-CN"/>
              </w:rPr>
              <w:t>污</w:t>
            </w:r>
            <w:r>
              <w:rPr>
                <w:rFonts w:hint="default" w:ascii="Times New Roman" w:hAnsi="Times New Roman" w:cs="Times New Roman"/>
                <w:color w:val="auto"/>
                <w:sz w:val="24"/>
                <w:szCs w:val="24"/>
                <w:highlight w:val="none"/>
              </w:rPr>
              <w:t>水处理厂。</w:t>
            </w:r>
          </w:p>
          <w:p w14:paraId="0FB178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秦皇岛市第三污水处理厂</w:t>
            </w:r>
            <w:r>
              <w:rPr>
                <w:rFonts w:hint="default" w:ascii="Times New Roman" w:hAnsi="Times New Roman" w:eastAsia="宋体" w:cs="Times New Roman"/>
                <w:color w:val="auto"/>
                <w:sz w:val="24"/>
                <w:szCs w:val="24"/>
                <w:highlight w:val="none"/>
              </w:rPr>
              <w:t>设计处理能力为</w:t>
            </w:r>
            <w:r>
              <w:rPr>
                <w:rFonts w:hint="default" w:ascii="Times New Roman" w:hAnsi="Times New Roman" w:eastAsia="宋体" w:cs="Times New Roman"/>
                <w:color w:val="auto"/>
                <w:sz w:val="24"/>
                <w:szCs w:val="24"/>
                <w:highlight w:val="none"/>
                <w:lang w:val="en-US" w:eastAsia="zh-CN"/>
              </w:rPr>
              <w:t>12</w:t>
            </w:r>
            <w:r>
              <w:rPr>
                <w:rFonts w:hint="default" w:ascii="Times New Roman" w:hAnsi="Times New Roman" w:eastAsia="宋体" w:cs="Times New Roman"/>
                <w:color w:val="auto"/>
                <w:sz w:val="24"/>
                <w:szCs w:val="24"/>
                <w:highlight w:val="none"/>
              </w:rPr>
              <w:t>万</w:t>
            </w:r>
            <w:r>
              <w:rPr>
                <w:rFonts w:hint="default" w:ascii="Times New Roman" w:hAnsi="Times New Roman" w:eastAsia="宋体" w:cs="Times New Roman"/>
                <w:color w:val="auto"/>
                <w:sz w:val="24"/>
                <w:szCs w:val="24"/>
                <w:highlight w:val="none"/>
                <w:lang w:eastAsia="zh-CN"/>
              </w:rPr>
              <w:t>m³</w:t>
            </w:r>
            <w:r>
              <w:rPr>
                <w:rFonts w:hint="default" w:ascii="Times New Roman" w:hAnsi="Times New Roman" w:eastAsia="宋体" w:cs="Times New Roman"/>
                <w:color w:val="auto"/>
                <w:sz w:val="24"/>
                <w:szCs w:val="24"/>
                <w:highlight w:val="none"/>
              </w:rPr>
              <w:t>/d，于2001年投产运行，主要接纳开发区及海港区西部的生产、生活污水。目前日处理污水量5万</w:t>
            </w:r>
            <w:r>
              <w:rPr>
                <w:rFonts w:hint="default" w:ascii="Times New Roman" w:hAnsi="Times New Roman" w:eastAsia="宋体" w:cs="Times New Roman"/>
                <w:color w:val="auto"/>
                <w:sz w:val="24"/>
                <w:szCs w:val="24"/>
                <w:highlight w:val="none"/>
                <w:lang w:eastAsia="zh-CN"/>
              </w:rPr>
              <w:t>m³</w:t>
            </w:r>
            <w:r>
              <w:rPr>
                <w:rFonts w:hint="default" w:ascii="Times New Roman" w:hAnsi="Times New Roman" w:eastAsia="宋体" w:cs="Times New Roman"/>
                <w:color w:val="auto"/>
                <w:sz w:val="24"/>
                <w:szCs w:val="24"/>
                <w:highlight w:val="none"/>
              </w:rPr>
              <w:t>～6.2万</w:t>
            </w:r>
            <w:r>
              <w:rPr>
                <w:rFonts w:hint="default" w:ascii="Times New Roman" w:hAnsi="Times New Roman" w:eastAsia="宋体" w:cs="Times New Roman"/>
                <w:color w:val="auto"/>
                <w:sz w:val="24"/>
                <w:szCs w:val="24"/>
                <w:highlight w:val="none"/>
                <w:lang w:eastAsia="zh-CN"/>
              </w:rPr>
              <w:t>m³</w:t>
            </w:r>
            <w:r>
              <w:rPr>
                <w:rFonts w:hint="default" w:ascii="Times New Roman" w:hAnsi="Times New Roman" w:eastAsia="宋体" w:cs="Times New Roman"/>
                <w:color w:val="auto"/>
                <w:sz w:val="24"/>
                <w:szCs w:val="24"/>
                <w:highlight w:val="none"/>
              </w:rPr>
              <w:t>左右。该污水处理厂选用活性污泥法处理工艺，进水水质要求满足《污水综合排放标准》(GB8978-1996)表 4 三级标准</w:t>
            </w:r>
            <w:r>
              <w:rPr>
                <w:rFonts w:hint="default" w:ascii="Times New Roman" w:hAnsi="Times New Roman" w:eastAsia="宋体" w:cs="Times New Roman"/>
                <w:color w:val="auto"/>
                <w:sz w:val="24"/>
                <w:szCs w:val="24"/>
                <w:highlight w:val="none"/>
                <w:lang w:eastAsia="zh-CN"/>
              </w:rPr>
              <w:t>，出水水质满足</w:t>
            </w:r>
            <w:r>
              <w:rPr>
                <w:rFonts w:hint="default" w:ascii="Times New Roman" w:hAnsi="Times New Roman" w:eastAsia="宋体" w:cs="Times New Roman"/>
                <w:color w:val="auto"/>
                <w:sz w:val="24"/>
                <w:szCs w:val="24"/>
                <w:highlight w:val="none"/>
              </w:rPr>
              <w:t>《城镇污水处理厂排放标准》（GB18918-2002） 中一级 A 标准</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目前园区已与秦皇岛市第三污水处理厂连接，依托处理可行</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依据</w:t>
            </w:r>
            <w:r>
              <w:rPr>
                <w:rFonts w:hint="eastAsia" w:ascii="Times New Roman" w:hAnsi="Times New Roman" w:eastAsia="宋体" w:cs="Times New Roman"/>
                <w:color w:val="auto"/>
                <w:sz w:val="24"/>
                <w:szCs w:val="24"/>
                <w:highlight w:val="none"/>
              </w:rPr>
              <w:t>《排污许可证申请与核发技术规范 汽车制造业》 (HJ 971-2018)</w:t>
            </w:r>
            <w:r>
              <w:rPr>
                <w:rFonts w:hint="eastAsia" w:cs="Times New Roman"/>
                <w:color w:val="auto"/>
                <w:sz w:val="24"/>
                <w:szCs w:val="24"/>
                <w:highlight w:val="none"/>
                <w:lang w:val="en-US" w:eastAsia="zh-CN"/>
              </w:rPr>
              <w:t>和《排污单位自行监测技术指南 总则》（HJ 819-2017）</w:t>
            </w:r>
            <w:r>
              <w:rPr>
                <w:rFonts w:hint="eastAsia" w:ascii="Times New Roman" w:hAnsi="Times New Roman" w:eastAsia="宋体" w:cs="Times New Roman"/>
                <w:color w:val="auto"/>
                <w:sz w:val="24"/>
                <w:szCs w:val="24"/>
                <w:highlight w:val="none"/>
                <w:lang w:val="en-US" w:eastAsia="zh-CN"/>
              </w:rPr>
              <w:t>标准，废水监测要求见表4-9。</w:t>
            </w:r>
          </w:p>
          <w:p w14:paraId="4BAAA94C">
            <w:pPr>
              <w:keepNext w:val="0"/>
              <w:keepLines w:val="0"/>
              <w:pageBreakBefore w:val="0"/>
              <w:widowControl w:val="0"/>
              <w:suppressLineNumbers w:val="0"/>
              <w:kinsoku/>
              <w:wordWrap/>
              <w:overflowPunct/>
              <w:topLinePunct w:val="0"/>
              <w:autoSpaceDE/>
              <w:autoSpaceDN/>
              <w:bidi w:val="0"/>
              <w:adjustRightInd w:val="0"/>
              <w:snapToGrid w:val="0"/>
              <w:spacing w:before="60" w:beforeAutospacing="0" w:after="0" w:afterAutospacing="0" w:line="240" w:lineRule="auto"/>
              <w:ind w:left="0" w:leftChars="0" w:right="113" w:firstLine="0" w:firstLineChars="0"/>
              <w:jc w:val="center"/>
              <w:textAlignment w:val="auto"/>
              <w:rPr>
                <w:rFonts w:hint="default" w:ascii="Times New Roman" w:hAnsi="Times New Roman" w:cs="Times New Roman" w:eastAsiaTheme="minorEastAsia"/>
                <w:b/>
                <w:bCs/>
                <w:color w:val="auto"/>
                <w:spacing w:val="6"/>
                <w:kern w:val="0"/>
                <w:sz w:val="24"/>
                <w:szCs w:val="24"/>
                <w:highlight w:val="none"/>
                <w:lang w:val="en-US" w:eastAsia="zh-CN" w:bidi="ar-SA"/>
              </w:rPr>
            </w:pPr>
            <w:r>
              <w:rPr>
                <w:rFonts w:hint="default" w:ascii="Times New Roman" w:hAnsi="Times New Roman" w:cs="Times New Roman" w:eastAsiaTheme="minorEastAsia"/>
                <w:b/>
                <w:bCs/>
                <w:color w:val="auto"/>
                <w:spacing w:val="6"/>
                <w:kern w:val="0"/>
                <w:sz w:val="24"/>
                <w:szCs w:val="24"/>
                <w:highlight w:val="none"/>
                <w:lang w:val="en-US" w:eastAsia="zh-CN" w:bidi="ar-SA"/>
              </w:rPr>
              <w:t>表</w:t>
            </w:r>
            <w:r>
              <w:rPr>
                <w:rFonts w:hint="eastAsia" w:ascii="Times New Roman" w:hAnsi="Times New Roman" w:cs="Times New Roman" w:eastAsiaTheme="minorEastAsia"/>
                <w:b/>
                <w:bCs/>
                <w:color w:val="auto"/>
                <w:spacing w:val="6"/>
                <w:kern w:val="0"/>
                <w:sz w:val="24"/>
                <w:szCs w:val="24"/>
                <w:highlight w:val="none"/>
                <w:lang w:val="en-US" w:eastAsia="zh-CN" w:bidi="ar-SA"/>
              </w:rPr>
              <w:t>4-</w:t>
            </w:r>
            <w:r>
              <w:rPr>
                <w:rFonts w:hint="eastAsia" w:cs="Times New Roman" w:eastAsiaTheme="minorEastAsia"/>
                <w:b/>
                <w:bCs/>
                <w:color w:val="auto"/>
                <w:spacing w:val="6"/>
                <w:kern w:val="0"/>
                <w:sz w:val="24"/>
                <w:szCs w:val="24"/>
                <w:highlight w:val="none"/>
                <w:lang w:val="en-US" w:eastAsia="zh-CN" w:bidi="ar-SA"/>
              </w:rPr>
              <w:t>9</w:t>
            </w:r>
            <w:r>
              <w:rPr>
                <w:rFonts w:hint="default" w:ascii="Times New Roman" w:hAnsi="Times New Roman" w:cs="Times New Roman" w:eastAsiaTheme="minorEastAsia"/>
                <w:b/>
                <w:bCs/>
                <w:color w:val="auto"/>
                <w:spacing w:val="6"/>
                <w:kern w:val="0"/>
                <w:sz w:val="24"/>
                <w:szCs w:val="24"/>
                <w:highlight w:val="none"/>
                <w:lang w:val="en-US" w:eastAsia="zh-CN" w:bidi="ar-SA"/>
              </w:rPr>
              <w:t xml:space="preserve">  监测要求一览表</w:t>
            </w:r>
          </w:p>
          <w:tbl>
            <w:tblPr>
              <w:tblStyle w:val="3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0"/>
              <w:gridCol w:w="1292"/>
              <w:gridCol w:w="2044"/>
              <w:gridCol w:w="2301"/>
              <w:gridCol w:w="1705"/>
            </w:tblGrid>
            <w:tr w14:paraId="085B7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980" w:type="dxa"/>
                  <w:noWrap w:val="0"/>
                  <w:vAlign w:val="center"/>
                </w:tcPr>
                <w:p w14:paraId="22C50B15">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监测项目</w:t>
                  </w:r>
                </w:p>
              </w:tc>
              <w:tc>
                <w:tcPr>
                  <w:tcW w:w="1292" w:type="dxa"/>
                  <w:noWrap w:val="0"/>
                  <w:vAlign w:val="center"/>
                </w:tcPr>
                <w:p w14:paraId="7C380207">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监测点位</w:t>
                  </w:r>
                </w:p>
              </w:tc>
              <w:tc>
                <w:tcPr>
                  <w:tcW w:w="2044" w:type="dxa"/>
                  <w:noWrap w:val="0"/>
                  <w:vAlign w:val="center"/>
                </w:tcPr>
                <w:p w14:paraId="11D9D7C8">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地理坐标</w:t>
                  </w:r>
                </w:p>
              </w:tc>
              <w:tc>
                <w:tcPr>
                  <w:tcW w:w="2301" w:type="dxa"/>
                  <w:noWrap w:val="0"/>
                  <w:vAlign w:val="center"/>
                </w:tcPr>
                <w:p w14:paraId="064D4B16">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监测因子</w:t>
                  </w:r>
                </w:p>
              </w:tc>
              <w:tc>
                <w:tcPr>
                  <w:tcW w:w="1705" w:type="dxa"/>
                  <w:noWrap w:val="0"/>
                  <w:vAlign w:val="center"/>
                </w:tcPr>
                <w:p w14:paraId="0678E079">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监测频次</w:t>
                  </w:r>
                </w:p>
              </w:tc>
            </w:tr>
            <w:tr w14:paraId="31E67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980" w:type="dxa"/>
                  <w:vMerge w:val="restart"/>
                  <w:noWrap w:val="0"/>
                  <w:vAlign w:val="center"/>
                </w:tcPr>
                <w:p w14:paraId="3D2219A4">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废水</w:t>
                  </w:r>
                </w:p>
              </w:tc>
              <w:tc>
                <w:tcPr>
                  <w:tcW w:w="1292" w:type="dxa"/>
                  <w:vMerge w:val="restart"/>
                  <w:noWrap w:val="0"/>
                  <w:vAlign w:val="center"/>
                </w:tcPr>
                <w:p w14:paraId="16C5375D">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DW001 废水总排口</w:t>
                  </w:r>
                </w:p>
              </w:tc>
              <w:tc>
                <w:tcPr>
                  <w:tcW w:w="2044" w:type="dxa"/>
                  <w:vMerge w:val="restart"/>
                  <w:noWrap w:val="0"/>
                  <w:vAlign w:val="center"/>
                </w:tcPr>
                <w:p w14:paraId="278CA648">
                  <w:pPr>
                    <w:pStyle w:val="6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北纬39°92' 72.17"；东经119°41' 18.29"</w:t>
                  </w:r>
                </w:p>
              </w:tc>
              <w:tc>
                <w:tcPr>
                  <w:tcW w:w="2301" w:type="dxa"/>
                  <w:noWrap w:val="0"/>
                  <w:vAlign w:val="center"/>
                </w:tcPr>
                <w:p w14:paraId="1A42D547">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pH、CODcr、氨氮</w:t>
                  </w:r>
                </w:p>
              </w:tc>
              <w:tc>
                <w:tcPr>
                  <w:tcW w:w="1705" w:type="dxa"/>
                  <w:noWrap w:val="0"/>
                  <w:vAlign w:val="center"/>
                </w:tcPr>
                <w:p w14:paraId="239C6FDB">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1次/季度</w:t>
                  </w:r>
                </w:p>
              </w:tc>
            </w:tr>
            <w:tr w14:paraId="25293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980" w:type="dxa"/>
                  <w:vMerge w:val="continue"/>
                  <w:noWrap w:val="0"/>
                  <w:vAlign w:val="center"/>
                </w:tcPr>
                <w:p w14:paraId="2E0B1445">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p>
              </w:tc>
              <w:tc>
                <w:tcPr>
                  <w:tcW w:w="1292" w:type="dxa"/>
                  <w:vMerge w:val="continue"/>
                  <w:noWrap w:val="0"/>
                  <w:vAlign w:val="center"/>
                </w:tcPr>
                <w:p w14:paraId="7D4916B5">
                  <w:pPr>
                    <w:pStyle w:val="61"/>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auto"/>
                      <w:sz w:val="21"/>
                      <w:szCs w:val="21"/>
                      <w:highlight w:val="none"/>
                      <w:lang w:val="en-US" w:eastAsia="zh-CN"/>
                    </w:rPr>
                  </w:pPr>
                </w:p>
              </w:tc>
              <w:tc>
                <w:tcPr>
                  <w:tcW w:w="2044" w:type="dxa"/>
                  <w:vMerge w:val="continue"/>
                  <w:noWrap w:val="0"/>
                  <w:vAlign w:val="center"/>
                </w:tcPr>
                <w:p w14:paraId="46231739">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p>
              </w:tc>
              <w:tc>
                <w:tcPr>
                  <w:tcW w:w="2301" w:type="dxa"/>
                  <w:noWrap w:val="0"/>
                  <w:vAlign w:val="center"/>
                </w:tcPr>
                <w:p w14:paraId="12B6774E">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悬浮物</w:t>
                  </w:r>
                  <w:r>
                    <w:rPr>
                      <w:rFonts w:hint="eastAsia" w:ascii="Times New Roman" w:hAnsi="Times New Roman" w:eastAsia="宋体" w:cs="Times New Roman"/>
                      <w:color w:val="auto"/>
                      <w:sz w:val="21"/>
                      <w:szCs w:val="21"/>
                      <w:highlight w:val="none"/>
                      <w:lang w:val="en-US" w:eastAsia="zh-CN"/>
                    </w:rPr>
                    <w:t>、石油类、</w:t>
                  </w:r>
                  <w:r>
                    <w:rPr>
                      <w:rFonts w:hint="eastAsia" w:ascii="Times New Roman" w:cs="Times New Roman"/>
                      <w:color w:val="auto"/>
                      <w:sz w:val="21"/>
                      <w:szCs w:val="21"/>
                      <w:highlight w:val="none"/>
                      <w:lang w:val="en-US" w:eastAsia="zh-CN"/>
                    </w:rPr>
                    <w:t>动植物油、阴离子表面活性剂、</w:t>
                  </w:r>
                  <w:r>
                    <w:rPr>
                      <w:rFonts w:hint="eastAsia" w:ascii="Times New Roman" w:hAnsi="Times New Roman" w:eastAsia="宋体" w:cs="Times New Roman"/>
                      <w:color w:val="auto"/>
                      <w:sz w:val="21"/>
                      <w:szCs w:val="21"/>
                      <w:highlight w:val="none"/>
                      <w:lang w:val="en-US" w:eastAsia="zh-CN"/>
                    </w:rPr>
                    <w:t>BOD</w:t>
                  </w:r>
                  <w:r>
                    <w:rPr>
                      <w:rFonts w:hint="eastAsia" w:ascii="Times New Roman" w:hAnsi="Times New Roman" w:eastAsia="宋体" w:cs="Times New Roman"/>
                      <w:color w:val="auto"/>
                      <w:sz w:val="21"/>
                      <w:szCs w:val="21"/>
                      <w:highlight w:val="none"/>
                      <w:vertAlign w:val="subscript"/>
                      <w:lang w:val="en-US" w:eastAsia="zh-CN"/>
                    </w:rPr>
                    <w:t>5</w:t>
                  </w:r>
                  <w:r>
                    <w:rPr>
                      <w:rFonts w:hint="eastAsia" w:ascii="Times New Roman" w:hAnsi="Times New Roman" w:eastAsia="宋体" w:cs="Times New Roman"/>
                      <w:color w:val="auto"/>
                      <w:sz w:val="21"/>
                      <w:szCs w:val="21"/>
                      <w:highlight w:val="none"/>
                      <w:vertAlign w:val="baseline"/>
                      <w:lang w:val="en-US" w:eastAsia="zh-CN"/>
                    </w:rPr>
                    <w:t>、磷酸盐</w:t>
                  </w:r>
                </w:p>
              </w:tc>
              <w:tc>
                <w:tcPr>
                  <w:tcW w:w="1705" w:type="dxa"/>
                  <w:noWrap w:val="0"/>
                  <w:vAlign w:val="center"/>
                </w:tcPr>
                <w:p w14:paraId="263CD5EA">
                  <w:pPr>
                    <w:pStyle w:val="61"/>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1次/半年</w:t>
                  </w:r>
                </w:p>
              </w:tc>
            </w:tr>
          </w:tbl>
          <w:p w14:paraId="5E65ABBB">
            <w:pPr>
              <w:pStyle w:val="6"/>
              <w:keepNext w:val="0"/>
              <w:keepLines w:val="0"/>
              <w:suppressLineNumbers w:val="0"/>
              <w:spacing w:before="0" w:beforeAutospacing="0" w:after="0" w:afterAutospacing="0"/>
              <w:ind w:left="0" w:right="0"/>
              <w:rPr>
                <w:rFonts w:hint="default"/>
                <w:color w:val="auto"/>
                <w:sz w:val="28"/>
                <w:szCs w:val="28"/>
                <w:highlight w:val="none"/>
              </w:rPr>
            </w:pPr>
            <w:r>
              <w:rPr>
                <w:rFonts w:hint="eastAsia"/>
                <w:color w:val="auto"/>
                <w:sz w:val="28"/>
                <w:szCs w:val="28"/>
                <w:highlight w:val="none"/>
                <w:lang w:val="en-US" w:eastAsia="zh-CN"/>
              </w:rPr>
              <w:t xml:space="preserve">4 </w:t>
            </w:r>
            <w:r>
              <w:rPr>
                <w:color w:val="auto"/>
                <w:sz w:val="28"/>
                <w:szCs w:val="28"/>
                <w:highlight w:val="none"/>
              </w:rPr>
              <w:t>固废环境影响分析</w:t>
            </w:r>
          </w:p>
          <w:p w14:paraId="7986B785">
            <w:pPr>
              <w:pStyle w:val="7"/>
              <w:suppressLineNumbers w:val="0"/>
              <w:spacing w:before="0" w:beforeAutospacing="0" w:after="0" w:afterAutospacing="0"/>
              <w:ind w:left="0" w:right="0"/>
              <w:rPr>
                <w:rFonts w:hint="default" w:ascii="Times New Roman" w:hAnsi="Times New Roman"/>
                <w:color w:val="auto"/>
                <w:highlight w:val="none"/>
              </w:rPr>
            </w:pPr>
            <w:r>
              <w:rPr>
                <w:rFonts w:hint="default" w:ascii="Times New Roman" w:hAnsi="Times New Roman"/>
                <w:color w:val="auto"/>
                <w:highlight w:val="none"/>
              </w:rPr>
              <w:t>4.1 生活垃圾</w:t>
            </w:r>
          </w:p>
          <w:p w14:paraId="403B5597">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本项目员工生活垃圾按照0.5kg/人.d计算，本项目共</w:t>
            </w:r>
            <w:r>
              <w:rPr>
                <w:rFonts w:hint="eastAsia"/>
                <w:color w:val="auto"/>
                <w:sz w:val="24"/>
                <w:highlight w:val="none"/>
                <w:lang w:val="en-US" w:eastAsia="zh-CN"/>
              </w:rPr>
              <w:t>94</w:t>
            </w:r>
            <w:r>
              <w:rPr>
                <w:rFonts w:hint="default"/>
                <w:color w:val="auto"/>
                <w:sz w:val="24"/>
                <w:highlight w:val="none"/>
              </w:rPr>
              <w:t>人，年工作</w:t>
            </w:r>
            <w:r>
              <w:rPr>
                <w:rFonts w:hint="eastAsia"/>
                <w:color w:val="auto"/>
                <w:sz w:val="24"/>
                <w:highlight w:val="none"/>
                <w:lang w:val="en-US" w:eastAsia="zh-CN"/>
              </w:rPr>
              <w:t>300</w:t>
            </w:r>
            <w:r>
              <w:rPr>
                <w:rFonts w:hint="default"/>
                <w:color w:val="auto"/>
                <w:sz w:val="24"/>
                <w:highlight w:val="none"/>
              </w:rPr>
              <w:t>天，则共产生生活垃圾</w:t>
            </w:r>
            <w:r>
              <w:rPr>
                <w:rFonts w:hint="eastAsia"/>
                <w:color w:val="auto"/>
                <w:sz w:val="24"/>
                <w:highlight w:val="none"/>
                <w:lang w:val="en-US" w:eastAsia="zh-CN"/>
              </w:rPr>
              <w:t>14.1</w:t>
            </w:r>
            <w:r>
              <w:rPr>
                <w:rFonts w:hint="default"/>
                <w:color w:val="auto"/>
                <w:sz w:val="24"/>
                <w:highlight w:val="none"/>
              </w:rPr>
              <w:t>t/a，生活垃圾由环卫部门定期清运。</w:t>
            </w:r>
          </w:p>
          <w:p w14:paraId="3F4F4777">
            <w:pPr>
              <w:pStyle w:val="7"/>
              <w:suppressLineNumbers w:val="0"/>
              <w:spacing w:before="0" w:beforeAutospacing="0" w:after="0" w:afterAutospacing="0"/>
              <w:ind w:left="0" w:right="0"/>
              <w:rPr>
                <w:rFonts w:hint="default" w:ascii="Times New Roman" w:hAnsi="Times New Roman"/>
                <w:color w:val="auto"/>
                <w:highlight w:val="none"/>
              </w:rPr>
            </w:pPr>
            <w:r>
              <w:rPr>
                <w:rFonts w:hint="eastAsia" w:ascii="Times New Roman" w:hAnsi="Times New Roman"/>
                <w:color w:val="auto"/>
                <w:highlight w:val="none"/>
              </w:rPr>
              <w:t>4.2一般工业固体废物</w:t>
            </w:r>
          </w:p>
          <w:p w14:paraId="5F757041">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eastAsia"/>
                <w:color w:val="auto"/>
                <w:sz w:val="24"/>
                <w:highlight w:val="none"/>
              </w:rPr>
              <w:t>本项目生产过程中</w:t>
            </w:r>
            <w:r>
              <w:rPr>
                <w:rFonts w:hint="eastAsia"/>
                <w:color w:val="auto"/>
                <w:sz w:val="24"/>
                <w:highlight w:val="none"/>
                <w:lang w:eastAsia="zh-CN"/>
              </w:rPr>
              <w:t>产生的固废主要为废砂布、废麻轮、废布轮、废研磨片、</w:t>
            </w:r>
            <w:r>
              <w:rPr>
                <w:rFonts w:hint="eastAsia"/>
                <w:color w:val="auto"/>
                <w:sz w:val="24"/>
                <w:highlight w:val="none"/>
                <w:lang w:val="en-US" w:eastAsia="zh-CN"/>
              </w:rPr>
              <w:t>废包装物、废滤布、沉泥</w:t>
            </w:r>
            <w:r>
              <w:rPr>
                <w:rFonts w:hint="eastAsia"/>
                <w:color w:val="auto"/>
                <w:sz w:val="24"/>
                <w:highlight w:val="none"/>
              </w:rPr>
              <w:t>。</w:t>
            </w:r>
          </w:p>
          <w:p w14:paraId="37604727">
            <w:pPr>
              <w:pStyle w:val="47"/>
              <w:keepNext w:val="0"/>
              <w:keepLines w:val="0"/>
              <w:suppressLineNumbers w:val="0"/>
              <w:spacing w:before="0" w:beforeAutospacing="0" w:after="0" w:afterAutospacing="0"/>
              <w:ind w:left="0" w:right="0" w:firstLine="0" w:firstLineChars="0"/>
              <w:jc w:val="center"/>
              <w:rPr>
                <w:rFonts w:hint="default" w:eastAsia="宋体"/>
                <w:b/>
                <w:bCs w:val="0"/>
                <w:color w:val="auto"/>
                <w:sz w:val="24"/>
                <w:highlight w:val="none"/>
              </w:rPr>
            </w:pPr>
            <w:r>
              <w:rPr>
                <w:rFonts w:hint="default" w:eastAsia="宋体"/>
                <w:b/>
                <w:bCs w:val="0"/>
                <w:color w:val="auto"/>
                <w:sz w:val="24"/>
                <w:highlight w:val="none"/>
              </w:rPr>
              <w:t>表4-</w:t>
            </w:r>
            <w:r>
              <w:rPr>
                <w:rFonts w:hint="eastAsia" w:eastAsia="宋体"/>
                <w:b/>
                <w:bCs w:val="0"/>
                <w:color w:val="auto"/>
                <w:sz w:val="24"/>
                <w:highlight w:val="none"/>
              </w:rPr>
              <w:t>1</w:t>
            </w:r>
            <w:r>
              <w:rPr>
                <w:rFonts w:hint="eastAsia" w:eastAsia="宋体"/>
                <w:b/>
                <w:bCs w:val="0"/>
                <w:color w:val="auto"/>
                <w:sz w:val="24"/>
                <w:highlight w:val="none"/>
                <w:lang w:val="en-US" w:eastAsia="zh-CN"/>
              </w:rPr>
              <w:t>0</w:t>
            </w:r>
            <w:r>
              <w:rPr>
                <w:rFonts w:hint="default" w:eastAsia="宋体"/>
                <w:b/>
                <w:bCs w:val="0"/>
                <w:color w:val="auto"/>
                <w:sz w:val="24"/>
                <w:highlight w:val="none"/>
              </w:rPr>
              <w:t xml:space="preserve">   </w:t>
            </w:r>
            <w:r>
              <w:rPr>
                <w:rFonts w:hint="eastAsia" w:eastAsia="宋体"/>
                <w:b/>
                <w:bCs w:val="0"/>
                <w:color w:val="auto"/>
                <w:sz w:val="24"/>
                <w:highlight w:val="none"/>
                <w:lang w:val="en-US" w:eastAsia="zh-CN"/>
              </w:rPr>
              <w:t>一般</w:t>
            </w:r>
            <w:r>
              <w:rPr>
                <w:rFonts w:hint="default" w:eastAsia="宋体"/>
                <w:b/>
                <w:bCs w:val="0"/>
                <w:color w:val="auto"/>
                <w:sz w:val="24"/>
                <w:highlight w:val="none"/>
              </w:rPr>
              <w:t>固体废物产生情况汇总表</w:t>
            </w:r>
          </w:p>
          <w:tbl>
            <w:tblPr>
              <w:tblStyle w:val="3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57"/>
              <w:gridCol w:w="894"/>
              <w:gridCol w:w="659"/>
              <w:gridCol w:w="1387"/>
              <w:gridCol w:w="906"/>
              <w:gridCol w:w="1020"/>
              <w:gridCol w:w="685"/>
              <w:gridCol w:w="726"/>
              <w:gridCol w:w="739"/>
              <w:gridCol w:w="740"/>
            </w:tblGrid>
            <w:tr w14:paraId="0DDA50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7" w:hRule="atLeast"/>
                <w:jc w:val="center"/>
              </w:trPr>
              <w:tc>
                <w:tcPr>
                  <w:tcW w:w="557" w:type="dxa"/>
                  <w:vAlign w:val="center"/>
                </w:tcPr>
                <w:p w14:paraId="03967F5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序号</w:t>
                  </w:r>
                </w:p>
              </w:tc>
              <w:tc>
                <w:tcPr>
                  <w:tcW w:w="894" w:type="dxa"/>
                  <w:vAlign w:val="center"/>
                </w:tcPr>
                <w:p w14:paraId="3F9FA36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废物名称</w:t>
                  </w:r>
                </w:p>
              </w:tc>
              <w:tc>
                <w:tcPr>
                  <w:tcW w:w="659" w:type="dxa"/>
                  <w:vAlign w:val="center"/>
                </w:tcPr>
                <w:p w14:paraId="6A4C000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废物类别</w:t>
                  </w:r>
                </w:p>
              </w:tc>
              <w:tc>
                <w:tcPr>
                  <w:tcW w:w="1387" w:type="dxa"/>
                  <w:vAlign w:val="center"/>
                </w:tcPr>
                <w:p w14:paraId="00AAF2EE">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废物代码</w:t>
                  </w:r>
                </w:p>
              </w:tc>
              <w:tc>
                <w:tcPr>
                  <w:tcW w:w="906" w:type="dxa"/>
                  <w:vAlign w:val="center"/>
                </w:tcPr>
                <w:p w14:paraId="39363FC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产生量（t/a）</w:t>
                  </w:r>
                </w:p>
              </w:tc>
              <w:tc>
                <w:tcPr>
                  <w:tcW w:w="1020" w:type="dxa"/>
                  <w:vAlign w:val="center"/>
                </w:tcPr>
                <w:p w14:paraId="713941F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产生工序及装置</w:t>
                  </w:r>
                </w:p>
              </w:tc>
              <w:tc>
                <w:tcPr>
                  <w:tcW w:w="685" w:type="dxa"/>
                  <w:vAlign w:val="center"/>
                </w:tcPr>
                <w:p w14:paraId="3CA42DB2">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形态</w:t>
                  </w:r>
                </w:p>
              </w:tc>
              <w:tc>
                <w:tcPr>
                  <w:tcW w:w="726" w:type="dxa"/>
                  <w:vAlign w:val="center"/>
                </w:tcPr>
                <w:p w14:paraId="0179C97A">
                  <w:pPr>
                    <w:pStyle w:val="61"/>
                    <w:keepNext w:val="0"/>
                    <w:keepLines w:val="0"/>
                    <w:suppressLineNumbers w:val="0"/>
                    <w:spacing w:before="0" w:beforeLines="0" w:beforeAutospacing="0" w:after="0" w:afterLines="0" w:afterAutospacing="0" w:line="240" w:lineRule="auto"/>
                    <w:ind w:left="0" w:right="0" w:firstLine="0" w:firstLineChars="0"/>
                    <w:jc w:val="center"/>
                    <w:rPr>
                      <w:rFonts w:hint="eastAsia" w:ascii="Times New Roman" w:eastAsia="宋体"/>
                      <w:color w:val="auto"/>
                      <w:sz w:val="21"/>
                      <w:szCs w:val="21"/>
                      <w:highlight w:val="none"/>
                      <w:lang w:eastAsia="zh-CN"/>
                    </w:rPr>
                  </w:pPr>
                  <w:r>
                    <w:rPr>
                      <w:rFonts w:hint="eastAsia" w:ascii="Times New Roman"/>
                      <w:color w:val="auto"/>
                      <w:sz w:val="21"/>
                      <w:szCs w:val="21"/>
                      <w:highlight w:val="none"/>
                      <w:lang w:eastAsia="zh-CN"/>
                    </w:rPr>
                    <w:t>暂存措施</w:t>
                  </w:r>
                </w:p>
              </w:tc>
              <w:tc>
                <w:tcPr>
                  <w:tcW w:w="739" w:type="dxa"/>
                  <w:vAlign w:val="center"/>
                </w:tcPr>
                <w:p w14:paraId="38330F8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产废周期</w:t>
                  </w:r>
                </w:p>
              </w:tc>
              <w:tc>
                <w:tcPr>
                  <w:tcW w:w="740" w:type="dxa"/>
                  <w:vAlign w:val="center"/>
                </w:tcPr>
                <w:p w14:paraId="19E8AA4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污染防治措施</w:t>
                  </w:r>
                </w:p>
              </w:tc>
            </w:tr>
            <w:tr w14:paraId="30990D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7" w:type="dxa"/>
                  <w:vAlign w:val="center"/>
                </w:tcPr>
                <w:p w14:paraId="0B6123B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rPr>
                    <w:t>1</w:t>
                  </w:r>
                </w:p>
              </w:tc>
              <w:tc>
                <w:tcPr>
                  <w:tcW w:w="894" w:type="dxa"/>
                  <w:vAlign w:val="center"/>
                </w:tcPr>
                <w:p w14:paraId="28A50E36">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eastAsia="zh-CN"/>
                    </w:rPr>
                  </w:pPr>
                  <w:r>
                    <w:rPr>
                      <w:rFonts w:hint="eastAsia" w:ascii="Times New Roman"/>
                      <w:color w:val="auto"/>
                      <w:sz w:val="21"/>
                      <w:szCs w:val="21"/>
                      <w:highlight w:val="none"/>
                      <w:lang w:eastAsia="zh-CN"/>
                    </w:rPr>
                    <w:t>废砂布</w:t>
                  </w:r>
                </w:p>
              </w:tc>
              <w:tc>
                <w:tcPr>
                  <w:tcW w:w="659" w:type="dxa"/>
                  <w:vMerge w:val="restart"/>
                  <w:vAlign w:val="center"/>
                </w:tcPr>
                <w:p w14:paraId="5F1EED7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一般工业固体废物</w:t>
                  </w:r>
                </w:p>
              </w:tc>
              <w:tc>
                <w:tcPr>
                  <w:tcW w:w="1387" w:type="dxa"/>
                  <w:vAlign w:val="center"/>
                </w:tcPr>
                <w:p w14:paraId="4088720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default" w:ascii="Times New Roman"/>
                      <w:color w:val="auto"/>
                      <w:sz w:val="21"/>
                      <w:szCs w:val="21"/>
                      <w:highlight w:val="none"/>
                    </w:rPr>
                    <w:t>SW</w:t>
                  </w:r>
                  <w:r>
                    <w:rPr>
                      <w:rFonts w:hint="eastAsia" w:ascii="Times New Roman"/>
                      <w:color w:val="auto"/>
                      <w:sz w:val="21"/>
                      <w:szCs w:val="21"/>
                      <w:highlight w:val="none"/>
                      <w:lang w:val="en-US" w:eastAsia="zh-CN"/>
                    </w:rPr>
                    <w:t>59</w:t>
                  </w:r>
                </w:p>
                <w:p w14:paraId="4D8C40A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default" w:ascii="Times New Roman"/>
                      <w:color w:val="auto"/>
                      <w:sz w:val="21"/>
                      <w:szCs w:val="21"/>
                      <w:highlight w:val="none"/>
                    </w:rPr>
                    <w:t>900-0</w:t>
                  </w:r>
                  <w:r>
                    <w:rPr>
                      <w:rFonts w:hint="eastAsia" w:ascii="Times New Roman"/>
                      <w:color w:val="auto"/>
                      <w:sz w:val="21"/>
                      <w:szCs w:val="21"/>
                      <w:highlight w:val="none"/>
                      <w:lang w:val="en-US" w:eastAsia="zh-CN"/>
                    </w:rPr>
                    <w:t>99</w:t>
                  </w:r>
                  <w:r>
                    <w:rPr>
                      <w:rFonts w:hint="default" w:ascii="Times New Roman"/>
                      <w:color w:val="auto"/>
                      <w:sz w:val="21"/>
                      <w:szCs w:val="21"/>
                      <w:highlight w:val="none"/>
                    </w:rPr>
                    <w:t>-</w:t>
                  </w:r>
                  <w:r>
                    <w:rPr>
                      <w:rFonts w:hint="eastAsia" w:ascii="Times New Roman"/>
                      <w:color w:val="auto"/>
                      <w:sz w:val="21"/>
                      <w:szCs w:val="21"/>
                      <w:highlight w:val="none"/>
                      <w:lang w:val="en-US" w:eastAsia="zh-CN"/>
                    </w:rPr>
                    <w:t>S59</w:t>
                  </w:r>
                </w:p>
              </w:tc>
              <w:tc>
                <w:tcPr>
                  <w:tcW w:w="906" w:type="dxa"/>
                  <w:vAlign w:val="center"/>
                </w:tcPr>
                <w:p w14:paraId="189A1287">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0.005</w:t>
                  </w:r>
                </w:p>
              </w:tc>
              <w:tc>
                <w:tcPr>
                  <w:tcW w:w="1020" w:type="dxa"/>
                  <w:vAlign w:val="center"/>
                </w:tcPr>
                <w:p w14:paraId="69C58B2C">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eastAsia="zh-CN"/>
                    </w:rPr>
                  </w:pPr>
                  <w:r>
                    <w:rPr>
                      <w:rFonts w:hint="eastAsia" w:ascii="Times New Roman"/>
                      <w:color w:val="auto"/>
                      <w:sz w:val="21"/>
                      <w:szCs w:val="21"/>
                      <w:highlight w:val="none"/>
                      <w:lang w:eastAsia="zh-CN"/>
                    </w:rPr>
                    <w:t>打磨</w:t>
                  </w:r>
                </w:p>
              </w:tc>
              <w:tc>
                <w:tcPr>
                  <w:tcW w:w="685" w:type="dxa"/>
                  <w:vAlign w:val="center"/>
                </w:tcPr>
                <w:p w14:paraId="5A7917C9">
                  <w:pPr>
                    <w:pStyle w:val="61"/>
                    <w:keepNext w:val="0"/>
                    <w:keepLines w:val="0"/>
                    <w:suppressLineNumbers w:val="0"/>
                    <w:spacing w:before="0" w:beforeLines="0" w:beforeAutospacing="0" w:after="0" w:afterLines="0" w:afterAutospacing="0" w:line="240" w:lineRule="auto"/>
                    <w:ind w:left="0" w:right="0" w:firstLine="0" w:firstLineChars="0"/>
                    <w:jc w:val="center"/>
                    <w:rPr>
                      <w:rFonts w:hint="default" w:ascii="Times New Roman"/>
                      <w:color w:val="auto"/>
                      <w:sz w:val="21"/>
                      <w:szCs w:val="21"/>
                      <w:highlight w:val="none"/>
                    </w:rPr>
                  </w:pPr>
                  <w:r>
                    <w:rPr>
                      <w:rFonts w:hint="default" w:ascii="Times New Roman"/>
                      <w:color w:val="auto"/>
                      <w:sz w:val="21"/>
                      <w:szCs w:val="21"/>
                      <w:highlight w:val="none"/>
                    </w:rPr>
                    <w:t>固态</w:t>
                  </w:r>
                </w:p>
              </w:tc>
              <w:tc>
                <w:tcPr>
                  <w:tcW w:w="726" w:type="dxa"/>
                  <w:vMerge w:val="restart"/>
                  <w:vAlign w:val="center"/>
                </w:tcPr>
                <w:p w14:paraId="708242E8">
                  <w:pPr>
                    <w:keepNext w:val="0"/>
                    <w:keepLines w:val="0"/>
                    <w:suppressLineNumbers w:val="0"/>
                    <w:spacing w:before="0" w:beforeLines="0" w:beforeAutospacing="0" w:after="0" w:afterLines="0" w:afterAutospacing="0" w:line="240" w:lineRule="auto"/>
                    <w:ind w:left="0" w:right="0" w:firstLine="0" w:firstLineChars="0"/>
                    <w:jc w:val="center"/>
                    <w:rPr>
                      <w:rFonts w:hint="default" w:ascii="Times New Roman"/>
                      <w:color w:val="auto"/>
                      <w:sz w:val="21"/>
                      <w:szCs w:val="21"/>
                      <w:highlight w:val="none"/>
                    </w:rPr>
                  </w:pPr>
                  <w:r>
                    <w:rPr>
                      <w:rFonts w:hint="default" w:ascii="Times New Roman"/>
                      <w:color w:val="auto"/>
                      <w:sz w:val="21"/>
                      <w:szCs w:val="21"/>
                      <w:highlight w:val="none"/>
                    </w:rPr>
                    <w:t>一般固废暂存区</w:t>
                  </w:r>
                </w:p>
              </w:tc>
              <w:tc>
                <w:tcPr>
                  <w:tcW w:w="739" w:type="dxa"/>
                  <w:vAlign w:val="center"/>
                </w:tcPr>
                <w:p w14:paraId="2B9AB13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1次/d</w:t>
                  </w:r>
                </w:p>
              </w:tc>
              <w:tc>
                <w:tcPr>
                  <w:tcW w:w="740" w:type="dxa"/>
                  <w:vMerge w:val="restart"/>
                  <w:vAlign w:val="center"/>
                </w:tcPr>
                <w:p w14:paraId="688E27C8">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eastAsia="zh-CN"/>
                    </w:rPr>
                  </w:pPr>
                  <w:r>
                    <w:rPr>
                      <w:rFonts w:hint="default" w:ascii="Times New Roman"/>
                      <w:color w:val="auto"/>
                      <w:sz w:val="21"/>
                      <w:szCs w:val="21"/>
                      <w:highlight w:val="none"/>
                    </w:rPr>
                    <w:t>统一收集后</w:t>
                  </w:r>
                  <w:r>
                    <w:rPr>
                      <w:rFonts w:hint="eastAsia" w:ascii="Times New Roman"/>
                      <w:color w:val="auto"/>
                      <w:sz w:val="21"/>
                      <w:szCs w:val="21"/>
                      <w:highlight w:val="none"/>
                      <w:lang w:eastAsia="zh-CN"/>
                    </w:rPr>
                    <w:t>由环卫部门定期清运</w:t>
                  </w:r>
                </w:p>
              </w:tc>
            </w:tr>
            <w:tr w14:paraId="3E18B4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7" w:type="dxa"/>
                  <w:vAlign w:val="center"/>
                </w:tcPr>
                <w:p w14:paraId="7AA60742">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rPr>
                    <w:t>2</w:t>
                  </w:r>
                </w:p>
              </w:tc>
              <w:tc>
                <w:tcPr>
                  <w:tcW w:w="894" w:type="dxa"/>
                  <w:vAlign w:val="center"/>
                </w:tcPr>
                <w:p w14:paraId="4E71734D">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eastAsia="zh-CN"/>
                    </w:rPr>
                  </w:pPr>
                  <w:r>
                    <w:rPr>
                      <w:rFonts w:hint="eastAsia" w:ascii="Times New Roman"/>
                      <w:color w:val="auto"/>
                      <w:sz w:val="21"/>
                      <w:szCs w:val="21"/>
                      <w:highlight w:val="none"/>
                      <w:lang w:eastAsia="zh-CN"/>
                    </w:rPr>
                    <w:t>废麻轮</w:t>
                  </w:r>
                </w:p>
              </w:tc>
              <w:tc>
                <w:tcPr>
                  <w:tcW w:w="659" w:type="dxa"/>
                  <w:vMerge w:val="continue"/>
                  <w:vAlign w:val="center"/>
                </w:tcPr>
                <w:p w14:paraId="7161226B">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1387" w:type="dxa"/>
                  <w:shd w:val="clear" w:color="auto" w:fill="auto"/>
                  <w:vAlign w:val="center"/>
                </w:tcPr>
                <w:p w14:paraId="7806A19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default" w:ascii="Times New Roman"/>
                      <w:color w:val="auto"/>
                      <w:sz w:val="21"/>
                      <w:szCs w:val="21"/>
                      <w:highlight w:val="none"/>
                    </w:rPr>
                    <w:t>SW</w:t>
                  </w:r>
                  <w:r>
                    <w:rPr>
                      <w:rFonts w:hint="eastAsia" w:ascii="Times New Roman"/>
                      <w:color w:val="auto"/>
                      <w:sz w:val="21"/>
                      <w:szCs w:val="21"/>
                      <w:highlight w:val="none"/>
                      <w:lang w:val="en-US" w:eastAsia="zh-CN"/>
                    </w:rPr>
                    <w:t>59</w:t>
                  </w:r>
                </w:p>
                <w:p w14:paraId="5C685C06">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900-0</w:t>
                  </w:r>
                  <w:r>
                    <w:rPr>
                      <w:rFonts w:hint="eastAsia" w:ascii="Times New Roman"/>
                      <w:color w:val="auto"/>
                      <w:sz w:val="21"/>
                      <w:szCs w:val="21"/>
                      <w:highlight w:val="none"/>
                      <w:lang w:val="en-US" w:eastAsia="zh-CN"/>
                    </w:rPr>
                    <w:t>99</w:t>
                  </w:r>
                  <w:r>
                    <w:rPr>
                      <w:rFonts w:hint="default" w:ascii="Times New Roman"/>
                      <w:color w:val="auto"/>
                      <w:sz w:val="21"/>
                      <w:szCs w:val="21"/>
                      <w:highlight w:val="none"/>
                    </w:rPr>
                    <w:t>-</w:t>
                  </w:r>
                  <w:r>
                    <w:rPr>
                      <w:rFonts w:hint="eastAsia" w:ascii="Times New Roman"/>
                      <w:color w:val="auto"/>
                      <w:sz w:val="21"/>
                      <w:szCs w:val="21"/>
                      <w:highlight w:val="none"/>
                      <w:lang w:val="en-US" w:eastAsia="zh-CN"/>
                    </w:rPr>
                    <w:t>S59</w:t>
                  </w:r>
                </w:p>
              </w:tc>
              <w:tc>
                <w:tcPr>
                  <w:tcW w:w="906" w:type="dxa"/>
                  <w:shd w:val="clear" w:color="auto" w:fill="auto"/>
                  <w:vAlign w:val="center"/>
                </w:tcPr>
                <w:p w14:paraId="0E983AB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0.035</w:t>
                  </w:r>
                </w:p>
              </w:tc>
              <w:tc>
                <w:tcPr>
                  <w:tcW w:w="1020" w:type="dxa"/>
                  <w:shd w:val="clear" w:color="auto" w:fill="auto"/>
                  <w:vAlign w:val="center"/>
                </w:tcPr>
                <w:p w14:paraId="01108CF8">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lang w:eastAsia="zh-CN"/>
                    </w:rPr>
                    <w:t>打磨</w:t>
                  </w:r>
                </w:p>
              </w:tc>
              <w:tc>
                <w:tcPr>
                  <w:tcW w:w="685" w:type="dxa"/>
                  <w:shd w:val="clear" w:color="auto" w:fill="auto"/>
                  <w:vAlign w:val="center"/>
                </w:tcPr>
                <w:p w14:paraId="72FCB273">
                  <w:pPr>
                    <w:pStyle w:val="61"/>
                    <w:keepNext w:val="0"/>
                    <w:keepLines w:val="0"/>
                    <w:suppressLineNumbers w:val="0"/>
                    <w:spacing w:before="0" w:beforeLines="0" w:beforeAutospacing="0" w:after="0" w:afterLines="0" w:afterAutospacing="0" w:line="240" w:lineRule="auto"/>
                    <w:ind w:left="0" w:right="0" w:firstLine="0" w:firstLineChars="0"/>
                    <w:jc w:val="center"/>
                    <w:rPr>
                      <w:rFonts w:hint="default" w:ascii="Times New Roman"/>
                      <w:color w:val="auto"/>
                      <w:sz w:val="21"/>
                      <w:szCs w:val="21"/>
                      <w:highlight w:val="none"/>
                    </w:rPr>
                  </w:pPr>
                  <w:r>
                    <w:rPr>
                      <w:rFonts w:hint="default" w:ascii="Times New Roman"/>
                      <w:color w:val="auto"/>
                      <w:sz w:val="21"/>
                      <w:szCs w:val="21"/>
                      <w:highlight w:val="none"/>
                    </w:rPr>
                    <w:t>固态</w:t>
                  </w:r>
                </w:p>
              </w:tc>
              <w:tc>
                <w:tcPr>
                  <w:tcW w:w="726" w:type="dxa"/>
                  <w:vMerge w:val="continue"/>
                  <w:shd w:val="clear" w:color="auto" w:fill="auto"/>
                  <w:vAlign w:val="center"/>
                </w:tcPr>
                <w:p w14:paraId="6356D3F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739" w:type="dxa"/>
                  <w:shd w:val="clear" w:color="auto" w:fill="auto"/>
                  <w:vAlign w:val="center"/>
                </w:tcPr>
                <w:p w14:paraId="19D8B42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1次/d</w:t>
                  </w:r>
                </w:p>
              </w:tc>
              <w:tc>
                <w:tcPr>
                  <w:tcW w:w="740" w:type="dxa"/>
                  <w:vMerge w:val="continue"/>
                  <w:shd w:val="clear" w:color="auto" w:fill="auto"/>
                  <w:vAlign w:val="center"/>
                </w:tcPr>
                <w:p w14:paraId="2983BDE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r w14:paraId="4429E7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7" w:type="dxa"/>
                  <w:vAlign w:val="center"/>
                </w:tcPr>
                <w:p w14:paraId="74F54F8C">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3</w:t>
                  </w:r>
                </w:p>
              </w:tc>
              <w:tc>
                <w:tcPr>
                  <w:tcW w:w="894" w:type="dxa"/>
                  <w:vAlign w:val="center"/>
                </w:tcPr>
                <w:p w14:paraId="01F9935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废布轮</w:t>
                  </w:r>
                </w:p>
              </w:tc>
              <w:tc>
                <w:tcPr>
                  <w:tcW w:w="659" w:type="dxa"/>
                  <w:vMerge w:val="continue"/>
                  <w:vAlign w:val="center"/>
                </w:tcPr>
                <w:p w14:paraId="5E953BC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1387" w:type="dxa"/>
                  <w:shd w:val="clear" w:color="auto" w:fill="auto"/>
                  <w:vAlign w:val="center"/>
                </w:tcPr>
                <w:p w14:paraId="72D5CF7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default" w:ascii="Times New Roman"/>
                      <w:color w:val="auto"/>
                      <w:sz w:val="21"/>
                      <w:szCs w:val="21"/>
                      <w:highlight w:val="none"/>
                    </w:rPr>
                    <w:t>SW</w:t>
                  </w:r>
                  <w:r>
                    <w:rPr>
                      <w:rFonts w:hint="eastAsia" w:ascii="Times New Roman"/>
                      <w:color w:val="auto"/>
                      <w:sz w:val="21"/>
                      <w:szCs w:val="21"/>
                      <w:highlight w:val="none"/>
                      <w:lang w:val="en-US" w:eastAsia="zh-CN"/>
                    </w:rPr>
                    <w:t>59</w:t>
                  </w:r>
                </w:p>
                <w:p w14:paraId="526AD7B0">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900-0</w:t>
                  </w:r>
                  <w:r>
                    <w:rPr>
                      <w:rFonts w:hint="eastAsia" w:ascii="Times New Roman"/>
                      <w:color w:val="auto"/>
                      <w:sz w:val="21"/>
                      <w:szCs w:val="21"/>
                      <w:highlight w:val="none"/>
                      <w:lang w:val="en-US" w:eastAsia="zh-CN"/>
                    </w:rPr>
                    <w:t>99</w:t>
                  </w:r>
                  <w:r>
                    <w:rPr>
                      <w:rFonts w:hint="default" w:ascii="Times New Roman"/>
                      <w:color w:val="auto"/>
                      <w:sz w:val="21"/>
                      <w:szCs w:val="21"/>
                      <w:highlight w:val="none"/>
                    </w:rPr>
                    <w:t>-</w:t>
                  </w:r>
                  <w:r>
                    <w:rPr>
                      <w:rFonts w:hint="eastAsia" w:ascii="Times New Roman"/>
                      <w:color w:val="auto"/>
                      <w:sz w:val="21"/>
                      <w:szCs w:val="21"/>
                      <w:highlight w:val="none"/>
                      <w:lang w:val="en-US" w:eastAsia="zh-CN"/>
                    </w:rPr>
                    <w:t>S59</w:t>
                  </w:r>
                </w:p>
              </w:tc>
              <w:tc>
                <w:tcPr>
                  <w:tcW w:w="906" w:type="dxa"/>
                  <w:shd w:val="clear" w:color="auto" w:fill="auto"/>
                  <w:vAlign w:val="center"/>
                </w:tcPr>
                <w:p w14:paraId="6A5B344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0.026</w:t>
                  </w:r>
                </w:p>
              </w:tc>
              <w:tc>
                <w:tcPr>
                  <w:tcW w:w="1020" w:type="dxa"/>
                  <w:shd w:val="clear" w:color="auto" w:fill="auto"/>
                  <w:vAlign w:val="center"/>
                </w:tcPr>
                <w:p w14:paraId="47F29BBB">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eastAsia="zh-CN"/>
                    </w:rPr>
                    <w:t>打磨</w:t>
                  </w:r>
                </w:p>
              </w:tc>
              <w:tc>
                <w:tcPr>
                  <w:tcW w:w="685" w:type="dxa"/>
                  <w:shd w:val="clear" w:color="auto" w:fill="auto"/>
                  <w:vAlign w:val="center"/>
                </w:tcPr>
                <w:p w14:paraId="414D3764">
                  <w:pPr>
                    <w:keepNext w:val="0"/>
                    <w:keepLines w:val="0"/>
                    <w:suppressLineNumbers w:val="0"/>
                    <w:spacing w:before="0" w:beforeLines="0" w:beforeAutospacing="0" w:after="0" w:afterLines="0" w:afterAutospacing="0" w:line="240" w:lineRule="auto"/>
                    <w:ind w:left="0" w:right="0" w:firstLine="0" w:firstLineChars="0"/>
                    <w:jc w:val="center"/>
                    <w:rPr>
                      <w:rFonts w:hint="default" w:ascii="Times New Roman"/>
                      <w:color w:val="auto"/>
                      <w:sz w:val="21"/>
                      <w:szCs w:val="21"/>
                      <w:highlight w:val="none"/>
                    </w:rPr>
                  </w:pPr>
                  <w:r>
                    <w:rPr>
                      <w:rFonts w:hint="default" w:ascii="Times New Roman"/>
                      <w:color w:val="auto"/>
                      <w:sz w:val="21"/>
                      <w:szCs w:val="21"/>
                      <w:highlight w:val="none"/>
                    </w:rPr>
                    <w:t>固态</w:t>
                  </w:r>
                </w:p>
              </w:tc>
              <w:tc>
                <w:tcPr>
                  <w:tcW w:w="726" w:type="dxa"/>
                  <w:vMerge w:val="continue"/>
                  <w:shd w:val="clear" w:color="auto" w:fill="auto"/>
                  <w:vAlign w:val="center"/>
                </w:tcPr>
                <w:p w14:paraId="4A52C4BB">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val="en-US" w:eastAsia="zh-CN"/>
                    </w:rPr>
                  </w:pPr>
                </w:p>
              </w:tc>
              <w:tc>
                <w:tcPr>
                  <w:tcW w:w="739" w:type="dxa"/>
                  <w:shd w:val="clear" w:color="auto" w:fill="auto"/>
                  <w:vAlign w:val="center"/>
                </w:tcPr>
                <w:p w14:paraId="42D9BF0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1次/d</w:t>
                  </w:r>
                </w:p>
              </w:tc>
              <w:tc>
                <w:tcPr>
                  <w:tcW w:w="740" w:type="dxa"/>
                  <w:vMerge w:val="continue"/>
                  <w:shd w:val="clear" w:color="auto" w:fill="auto"/>
                  <w:vAlign w:val="center"/>
                </w:tcPr>
                <w:p w14:paraId="39B3DCC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r w14:paraId="584EBA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7" w:type="dxa"/>
                  <w:vAlign w:val="center"/>
                </w:tcPr>
                <w:p w14:paraId="69A43EF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4</w:t>
                  </w:r>
                </w:p>
              </w:tc>
              <w:tc>
                <w:tcPr>
                  <w:tcW w:w="894" w:type="dxa"/>
                  <w:vAlign w:val="center"/>
                </w:tcPr>
                <w:p w14:paraId="61CAD4B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废研磨片</w:t>
                  </w:r>
                </w:p>
              </w:tc>
              <w:tc>
                <w:tcPr>
                  <w:tcW w:w="659" w:type="dxa"/>
                  <w:vMerge w:val="continue"/>
                  <w:vAlign w:val="center"/>
                </w:tcPr>
                <w:p w14:paraId="25B75A9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1387" w:type="dxa"/>
                  <w:shd w:val="clear" w:color="auto" w:fill="auto"/>
                  <w:vAlign w:val="center"/>
                </w:tcPr>
                <w:p w14:paraId="107FD0FB">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default" w:ascii="Times New Roman"/>
                      <w:color w:val="auto"/>
                      <w:sz w:val="21"/>
                      <w:szCs w:val="21"/>
                      <w:highlight w:val="none"/>
                    </w:rPr>
                    <w:t>SW</w:t>
                  </w:r>
                  <w:r>
                    <w:rPr>
                      <w:rFonts w:hint="eastAsia" w:ascii="Times New Roman"/>
                      <w:color w:val="auto"/>
                      <w:sz w:val="21"/>
                      <w:szCs w:val="21"/>
                      <w:highlight w:val="none"/>
                      <w:lang w:val="en-US" w:eastAsia="zh-CN"/>
                    </w:rPr>
                    <w:t>59</w:t>
                  </w:r>
                </w:p>
                <w:p w14:paraId="6441A132">
                  <w:pPr>
                    <w:pStyle w:val="61"/>
                    <w:keepNext w:val="0"/>
                    <w:keepLines w:val="0"/>
                    <w:suppressLineNumbers w:val="0"/>
                    <w:spacing w:before="0" w:beforeLines="0" w:beforeAutospacing="0" w:after="0" w:afterLines="0" w:afterAutospacing="0" w:line="240" w:lineRule="auto"/>
                    <w:ind w:left="0" w:right="0" w:firstLine="0" w:firstLineChars="0"/>
                    <w:jc w:val="center"/>
                    <w:rPr>
                      <w:rFonts w:hint="default" w:ascii="Times New Roman"/>
                      <w:color w:val="auto"/>
                      <w:sz w:val="21"/>
                      <w:szCs w:val="21"/>
                      <w:highlight w:val="none"/>
                    </w:rPr>
                  </w:pPr>
                  <w:r>
                    <w:rPr>
                      <w:rFonts w:hint="default" w:ascii="Times New Roman"/>
                      <w:color w:val="auto"/>
                      <w:sz w:val="21"/>
                      <w:szCs w:val="21"/>
                      <w:highlight w:val="none"/>
                    </w:rPr>
                    <w:t>900-0</w:t>
                  </w:r>
                  <w:r>
                    <w:rPr>
                      <w:rFonts w:hint="eastAsia" w:ascii="Times New Roman"/>
                      <w:color w:val="auto"/>
                      <w:sz w:val="21"/>
                      <w:szCs w:val="21"/>
                      <w:highlight w:val="none"/>
                      <w:lang w:val="en-US" w:eastAsia="zh-CN"/>
                    </w:rPr>
                    <w:t>99</w:t>
                  </w:r>
                  <w:r>
                    <w:rPr>
                      <w:rFonts w:hint="default" w:ascii="Times New Roman"/>
                      <w:color w:val="auto"/>
                      <w:sz w:val="21"/>
                      <w:szCs w:val="21"/>
                      <w:highlight w:val="none"/>
                    </w:rPr>
                    <w:t>-</w:t>
                  </w:r>
                  <w:r>
                    <w:rPr>
                      <w:rFonts w:hint="eastAsia" w:ascii="Times New Roman"/>
                      <w:color w:val="auto"/>
                      <w:sz w:val="21"/>
                      <w:szCs w:val="21"/>
                      <w:highlight w:val="none"/>
                      <w:lang w:val="en-US" w:eastAsia="zh-CN"/>
                    </w:rPr>
                    <w:t>S59</w:t>
                  </w:r>
                </w:p>
              </w:tc>
              <w:tc>
                <w:tcPr>
                  <w:tcW w:w="906" w:type="dxa"/>
                  <w:shd w:val="clear" w:color="auto" w:fill="auto"/>
                  <w:vAlign w:val="center"/>
                </w:tcPr>
                <w:p w14:paraId="20B7386B">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0.003</w:t>
                  </w:r>
                </w:p>
              </w:tc>
              <w:tc>
                <w:tcPr>
                  <w:tcW w:w="1020" w:type="dxa"/>
                  <w:shd w:val="clear" w:color="auto" w:fill="auto"/>
                  <w:vAlign w:val="center"/>
                </w:tcPr>
                <w:p w14:paraId="745755A4">
                  <w:pPr>
                    <w:keepNext w:val="0"/>
                    <w:keepLines w:val="0"/>
                    <w:suppressLineNumbers w:val="0"/>
                    <w:spacing w:before="0" w:beforeLines="0" w:beforeAutospacing="0" w:after="0" w:afterLines="0" w:afterAutospacing="0" w:line="240" w:lineRule="auto"/>
                    <w:ind w:left="0" w:right="0" w:firstLine="0" w:firstLineChars="0"/>
                    <w:jc w:val="center"/>
                    <w:rPr>
                      <w:rFonts w:hint="default" w:ascii="Times New Roman"/>
                      <w:color w:val="auto"/>
                      <w:sz w:val="21"/>
                      <w:szCs w:val="21"/>
                      <w:highlight w:val="none"/>
                    </w:rPr>
                  </w:pPr>
                  <w:r>
                    <w:rPr>
                      <w:rFonts w:hint="eastAsia" w:ascii="Times New Roman"/>
                      <w:color w:val="auto"/>
                      <w:sz w:val="21"/>
                      <w:szCs w:val="21"/>
                      <w:highlight w:val="none"/>
                      <w:lang w:eastAsia="zh-CN"/>
                    </w:rPr>
                    <w:t>打磨</w:t>
                  </w:r>
                </w:p>
              </w:tc>
              <w:tc>
                <w:tcPr>
                  <w:tcW w:w="685" w:type="dxa"/>
                  <w:shd w:val="clear" w:color="auto" w:fill="auto"/>
                  <w:vAlign w:val="center"/>
                </w:tcPr>
                <w:p w14:paraId="29C86304">
                  <w:pPr>
                    <w:keepNext w:val="0"/>
                    <w:keepLines w:val="0"/>
                    <w:suppressLineNumbers w:val="0"/>
                    <w:spacing w:before="0" w:beforeLines="0" w:beforeAutospacing="0" w:after="0" w:afterLines="0" w:afterAutospacing="0" w:line="240" w:lineRule="auto"/>
                    <w:ind w:left="0" w:right="0" w:firstLine="0" w:firstLineChars="0"/>
                    <w:jc w:val="center"/>
                    <w:rPr>
                      <w:rFonts w:hint="default" w:ascii="Times New Roman"/>
                      <w:color w:val="auto"/>
                      <w:sz w:val="21"/>
                      <w:szCs w:val="21"/>
                      <w:highlight w:val="none"/>
                    </w:rPr>
                  </w:pPr>
                  <w:r>
                    <w:rPr>
                      <w:rFonts w:hint="default" w:ascii="Times New Roman"/>
                      <w:color w:val="auto"/>
                      <w:sz w:val="21"/>
                      <w:szCs w:val="21"/>
                      <w:highlight w:val="none"/>
                    </w:rPr>
                    <w:t>固态</w:t>
                  </w:r>
                </w:p>
              </w:tc>
              <w:tc>
                <w:tcPr>
                  <w:tcW w:w="726" w:type="dxa"/>
                  <w:vMerge w:val="continue"/>
                  <w:shd w:val="clear" w:color="auto" w:fill="auto"/>
                  <w:vAlign w:val="center"/>
                </w:tcPr>
                <w:p w14:paraId="1BEDA1D7">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val="en-US" w:eastAsia="zh-CN"/>
                    </w:rPr>
                  </w:pPr>
                </w:p>
              </w:tc>
              <w:tc>
                <w:tcPr>
                  <w:tcW w:w="739" w:type="dxa"/>
                  <w:shd w:val="clear" w:color="auto" w:fill="auto"/>
                  <w:vAlign w:val="center"/>
                </w:tcPr>
                <w:p w14:paraId="1163D668">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1次/d</w:t>
                  </w:r>
                </w:p>
              </w:tc>
              <w:tc>
                <w:tcPr>
                  <w:tcW w:w="740" w:type="dxa"/>
                  <w:vMerge w:val="continue"/>
                  <w:shd w:val="clear" w:color="auto" w:fill="auto"/>
                  <w:vAlign w:val="center"/>
                </w:tcPr>
                <w:p w14:paraId="6EE9807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r w14:paraId="71C823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7" w:type="dxa"/>
                  <w:vAlign w:val="center"/>
                </w:tcPr>
                <w:p w14:paraId="5FCDE80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5</w:t>
                  </w:r>
                </w:p>
              </w:tc>
              <w:tc>
                <w:tcPr>
                  <w:tcW w:w="894" w:type="dxa"/>
                  <w:vAlign w:val="center"/>
                </w:tcPr>
                <w:p w14:paraId="5C57D76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废包装物</w:t>
                  </w:r>
                </w:p>
              </w:tc>
              <w:tc>
                <w:tcPr>
                  <w:tcW w:w="659" w:type="dxa"/>
                  <w:vMerge w:val="continue"/>
                  <w:vAlign w:val="center"/>
                </w:tcPr>
                <w:p w14:paraId="5723F358">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1387" w:type="dxa"/>
                  <w:shd w:val="clear" w:color="auto" w:fill="auto"/>
                  <w:vAlign w:val="center"/>
                </w:tcPr>
                <w:p w14:paraId="560F0343">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SW17</w:t>
                  </w:r>
                </w:p>
                <w:p w14:paraId="55A0226A">
                  <w:pPr>
                    <w:keepNext w:val="0"/>
                    <w:keepLines w:val="0"/>
                    <w:suppressLineNumbers w:val="0"/>
                    <w:spacing w:before="0" w:beforeLines="0" w:beforeAutospacing="0" w:after="0" w:afterLines="0" w:afterAutospacing="0" w:line="240" w:lineRule="auto"/>
                    <w:ind w:left="0" w:right="0" w:firstLine="0" w:firstLineChars="0"/>
                    <w:jc w:val="center"/>
                    <w:rPr>
                      <w:rFonts w:hint="default" w:ascii="Times New Roman"/>
                      <w:color w:val="auto"/>
                      <w:sz w:val="21"/>
                      <w:szCs w:val="21"/>
                      <w:highlight w:val="none"/>
                    </w:rPr>
                  </w:pPr>
                  <w:r>
                    <w:rPr>
                      <w:rFonts w:hint="default" w:ascii="Times New Roman"/>
                      <w:color w:val="auto"/>
                      <w:sz w:val="21"/>
                      <w:szCs w:val="21"/>
                      <w:highlight w:val="none"/>
                    </w:rPr>
                    <w:t>900-0</w:t>
                  </w:r>
                  <w:r>
                    <w:rPr>
                      <w:rFonts w:hint="eastAsia" w:ascii="Times New Roman"/>
                      <w:color w:val="auto"/>
                      <w:sz w:val="21"/>
                      <w:szCs w:val="21"/>
                      <w:highlight w:val="none"/>
                      <w:lang w:val="en-US" w:eastAsia="zh-CN"/>
                    </w:rPr>
                    <w:t>99</w:t>
                  </w:r>
                  <w:r>
                    <w:rPr>
                      <w:rFonts w:hint="default" w:ascii="Times New Roman"/>
                      <w:color w:val="auto"/>
                      <w:sz w:val="21"/>
                      <w:szCs w:val="21"/>
                      <w:highlight w:val="none"/>
                    </w:rPr>
                    <w:t>-</w:t>
                  </w:r>
                  <w:r>
                    <w:rPr>
                      <w:rFonts w:hint="eastAsia" w:ascii="Times New Roman"/>
                      <w:color w:val="auto"/>
                      <w:sz w:val="21"/>
                      <w:szCs w:val="21"/>
                      <w:highlight w:val="none"/>
                      <w:lang w:val="en-US" w:eastAsia="zh-CN"/>
                    </w:rPr>
                    <w:t>S</w:t>
                  </w:r>
                  <w:r>
                    <w:rPr>
                      <w:rFonts w:hint="default" w:ascii="Times New Roman"/>
                      <w:color w:val="auto"/>
                      <w:sz w:val="21"/>
                      <w:szCs w:val="21"/>
                      <w:highlight w:val="none"/>
                    </w:rPr>
                    <w:t>17</w:t>
                  </w:r>
                </w:p>
              </w:tc>
              <w:tc>
                <w:tcPr>
                  <w:tcW w:w="906" w:type="dxa"/>
                  <w:shd w:val="clear" w:color="auto" w:fill="auto"/>
                  <w:vAlign w:val="center"/>
                </w:tcPr>
                <w:p w14:paraId="3C68A4B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0.05t</w:t>
                  </w:r>
                </w:p>
              </w:tc>
              <w:tc>
                <w:tcPr>
                  <w:tcW w:w="1020" w:type="dxa"/>
                  <w:shd w:val="clear" w:color="auto" w:fill="auto"/>
                  <w:vAlign w:val="center"/>
                </w:tcPr>
                <w:p w14:paraId="41B224B2">
                  <w:pPr>
                    <w:keepNext w:val="0"/>
                    <w:keepLines w:val="0"/>
                    <w:suppressLineNumbers w:val="0"/>
                    <w:spacing w:before="0" w:beforeLines="0" w:beforeAutospacing="0" w:after="0" w:afterLines="0" w:afterAutospacing="0" w:line="240" w:lineRule="auto"/>
                    <w:ind w:left="0" w:right="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原辅材料包装</w:t>
                  </w:r>
                </w:p>
              </w:tc>
              <w:tc>
                <w:tcPr>
                  <w:tcW w:w="685" w:type="dxa"/>
                  <w:shd w:val="clear" w:color="auto" w:fill="auto"/>
                  <w:vAlign w:val="center"/>
                </w:tcPr>
                <w:p w14:paraId="4B393DE6">
                  <w:pPr>
                    <w:keepNext w:val="0"/>
                    <w:keepLines w:val="0"/>
                    <w:suppressLineNumbers w:val="0"/>
                    <w:spacing w:before="0" w:beforeLines="0" w:beforeAutospacing="0" w:after="0" w:afterLines="0" w:afterAutospacing="0" w:line="240" w:lineRule="auto"/>
                    <w:ind w:left="0" w:right="0" w:firstLine="0" w:firstLineChars="0"/>
                    <w:jc w:val="center"/>
                    <w:rPr>
                      <w:rFonts w:hint="default" w:ascii="Times New Roman"/>
                      <w:color w:val="auto"/>
                      <w:sz w:val="21"/>
                      <w:szCs w:val="21"/>
                      <w:highlight w:val="none"/>
                    </w:rPr>
                  </w:pPr>
                  <w:r>
                    <w:rPr>
                      <w:rFonts w:hint="default" w:ascii="Times New Roman"/>
                      <w:color w:val="auto"/>
                      <w:sz w:val="21"/>
                      <w:szCs w:val="21"/>
                      <w:highlight w:val="none"/>
                    </w:rPr>
                    <w:t>固态</w:t>
                  </w:r>
                </w:p>
              </w:tc>
              <w:tc>
                <w:tcPr>
                  <w:tcW w:w="726" w:type="dxa"/>
                  <w:vMerge w:val="continue"/>
                  <w:shd w:val="clear" w:color="auto" w:fill="auto"/>
                  <w:vAlign w:val="center"/>
                </w:tcPr>
                <w:p w14:paraId="53F9C7A4">
                  <w:pPr>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rPr>
                  </w:pPr>
                </w:p>
              </w:tc>
              <w:tc>
                <w:tcPr>
                  <w:tcW w:w="739" w:type="dxa"/>
                  <w:shd w:val="clear" w:color="auto" w:fill="auto"/>
                  <w:vAlign w:val="center"/>
                </w:tcPr>
                <w:p w14:paraId="2DD5D11C">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val="en-US" w:eastAsia="zh-CN"/>
                    </w:rPr>
                  </w:pPr>
                  <w:r>
                    <w:rPr>
                      <w:rFonts w:hint="default" w:ascii="Times New Roman"/>
                      <w:color w:val="auto"/>
                      <w:sz w:val="21"/>
                      <w:szCs w:val="21"/>
                      <w:highlight w:val="none"/>
                    </w:rPr>
                    <w:t>1次/</w:t>
                  </w:r>
                  <w:r>
                    <w:rPr>
                      <w:rFonts w:hint="eastAsia" w:ascii="Times New Roman"/>
                      <w:color w:val="auto"/>
                      <w:sz w:val="21"/>
                      <w:szCs w:val="21"/>
                      <w:highlight w:val="none"/>
                      <w:lang w:val="en-US" w:eastAsia="zh-CN"/>
                    </w:rPr>
                    <w:t>周</w:t>
                  </w:r>
                </w:p>
              </w:tc>
              <w:tc>
                <w:tcPr>
                  <w:tcW w:w="740" w:type="dxa"/>
                  <w:vMerge w:val="continue"/>
                  <w:shd w:val="clear" w:color="auto" w:fill="auto"/>
                  <w:vAlign w:val="center"/>
                </w:tcPr>
                <w:p w14:paraId="3C95BAF4">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lang w:eastAsia="zh-CN"/>
                    </w:rPr>
                  </w:pPr>
                </w:p>
              </w:tc>
            </w:tr>
            <w:tr w14:paraId="5ED072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7" w:type="dxa"/>
                  <w:vAlign w:val="center"/>
                </w:tcPr>
                <w:p w14:paraId="5C7880C2">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6</w:t>
                  </w:r>
                </w:p>
              </w:tc>
              <w:tc>
                <w:tcPr>
                  <w:tcW w:w="894" w:type="dxa"/>
                  <w:vAlign w:val="center"/>
                </w:tcPr>
                <w:p w14:paraId="0D602060">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废滤布</w:t>
                  </w:r>
                </w:p>
              </w:tc>
              <w:tc>
                <w:tcPr>
                  <w:tcW w:w="659" w:type="dxa"/>
                  <w:vMerge w:val="continue"/>
                  <w:vAlign w:val="center"/>
                </w:tcPr>
                <w:p w14:paraId="5193560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1387" w:type="dxa"/>
                  <w:shd w:val="clear" w:color="auto" w:fill="auto"/>
                  <w:vAlign w:val="center"/>
                </w:tcPr>
                <w:p w14:paraId="375EB666">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auto"/>
                      <w:sz w:val="21"/>
                      <w:szCs w:val="21"/>
                      <w:highlight w:val="none"/>
                      <w:lang w:val="en-US" w:eastAsia="zh-CN"/>
                    </w:rPr>
                  </w:pPr>
                  <w:r>
                    <w:rPr>
                      <w:rFonts w:hint="default" w:ascii="Times New Roman"/>
                      <w:color w:val="auto"/>
                      <w:sz w:val="21"/>
                      <w:szCs w:val="21"/>
                      <w:highlight w:val="none"/>
                    </w:rPr>
                    <w:t>SW</w:t>
                  </w:r>
                  <w:r>
                    <w:rPr>
                      <w:rFonts w:hint="eastAsia" w:ascii="Times New Roman"/>
                      <w:color w:val="auto"/>
                      <w:sz w:val="21"/>
                      <w:szCs w:val="21"/>
                      <w:highlight w:val="none"/>
                      <w:lang w:val="en-US" w:eastAsia="zh-CN"/>
                    </w:rPr>
                    <w:t>59</w:t>
                  </w:r>
                </w:p>
                <w:p w14:paraId="73D5B51C">
                  <w:pPr>
                    <w:keepNext w:val="0"/>
                    <w:keepLines w:val="0"/>
                    <w:suppressLineNumbers w:val="0"/>
                    <w:spacing w:before="0" w:beforeLines="0" w:beforeAutospacing="0" w:after="0" w:afterLines="0" w:afterAutospacing="0" w:line="240" w:lineRule="auto"/>
                    <w:ind w:left="0" w:right="0" w:firstLine="0" w:firstLineChars="0"/>
                    <w:jc w:val="center"/>
                    <w:rPr>
                      <w:rFonts w:hint="default" w:ascii="Times New Roman" w:eastAsia="宋体"/>
                      <w:color w:val="auto"/>
                      <w:sz w:val="21"/>
                      <w:szCs w:val="21"/>
                      <w:highlight w:val="none"/>
                      <w:lang w:val="en-US" w:eastAsia="zh-CN"/>
                    </w:rPr>
                  </w:pPr>
                  <w:r>
                    <w:rPr>
                      <w:rFonts w:hint="eastAsia"/>
                      <w:color w:val="auto"/>
                      <w:sz w:val="21"/>
                      <w:szCs w:val="21"/>
                      <w:highlight w:val="none"/>
                      <w:lang w:val="en-US" w:eastAsia="zh-CN"/>
                    </w:rPr>
                    <w:t>900-099-S59</w:t>
                  </w:r>
                </w:p>
              </w:tc>
              <w:tc>
                <w:tcPr>
                  <w:tcW w:w="906" w:type="dxa"/>
                  <w:shd w:val="clear" w:color="auto" w:fill="auto"/>
                  <w:vAlign w:val="center"/>
                </w:tcPr>
                <w:p w14:paraId="359F023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1.5t</w:t>
                  </w:r>
                </w:p>
              </w:tc>
              <w:tc>
                <w:tcPr>
                  <w:tcW w:w="1020" w:type="dxa"/>
                  <w:shd w:val="clear" w:color="auto" w:fill="auto"/>
                  <w:vAlign w:val="center"/>
                </w:tcPr>
                <w:p w14:paraId="059F6D67">
                  <w:pPr>
                    <w:keepNext w:val="0"/>
                    <w:keepLines w:val="0"/>
                    <w:suppressLineNumbers w:val="0"/>
                    <w:spacing w:before="0" w:beforeLines="0" w:beforeAutospacing="0" w:after="0" w:afterLines="0" w:afterAutospacing="0" w:line="240" w:lineRule="auto"/>
                    <w:ind w:left="0" w:right="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压滤机</w:t>
                  </w:r>
                </w:p>
              </w:tc>
              <w:tc>
                <w:tcPr>
                  <w:tcW w:w="685" w:type="dxa"/>
                  <w:shd w:val="clear" w:color="auto" w:fill="auto"/>
                  <w:vAlign w:val="center"/>
                </w:tcPr>
                <w:p w14:paraId="7572A3F1">
                  <w:pPr>
                    <w:keepNext w:val="0"/>
                    <w:keepLines w:val="0"/>
                    <w:suppressLineNumbers w:val="0"/>
                    <w:spacing w:before="0" w:beforeLines="0" w:beforeAutospacing="0" w:after="0" w:afterLines="0" w:afterAutospacing="0" w:line="240" w:lineRule="auto"/>
                    <w:ind w:left="0" w:right="0" w:firstLine="0" w:firstLineChars="0"/>
                    <w:jc w:val="center"/>
                    <w:rPr>
                      <w:rFonts w:hint="default" w:ascii="Times New Roman"/>
                      <w:color w:val="auto"/>
                      <w:sz w:val="21"/>
                      <w:szCs w:val="21"/>
                      <w:highlight w:val="none"/>
                    </w:rPr>
                  </w:pPr>
                  <w:r>
                    <w:rPr>
                      <w:rFonts w:hint="default" w:ascii="Times New Roman"/>
                      <w:color w:val="auto"/>
                      <w:sz w:val="21"/>
                      <w:szCs w:val="21"/>
                      <w:highlight w:val="none"/>
                    </w:rPr>
                    <w:t>固态</w:t>
                  </w:r>
                </w:p>
              </w:tc>
              <w:tc>
                <w:tcPr>
                  <w:tcW w:w="726" w:type="dxa"/>
                  <w:vMerge w:val="continue"/>
                  <w:shd w:val="clear" w:color="auto" w:fill="auto"/>
                  <w:vAlign w:val="center"/>
                </w:tcPr>
                <w:p w14:paraId="20C01A50">
                  <w:pPr>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rPr>
                  </w:pPr>
                </w:p>
              </w:tc>
              <w:tc>
                <w:tcPr>
                  <w:tcW w:w="739" w:type="dxa"/>
                  <w:shd w:val="clear" w:color="auto" w:fill="auto"/>
                  <w:vAlign w:val="center"/>
                </w:tcPr>
                <w:p w14:paraId="0BB3BD09">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val="en-US" w:eastAsia="zh-CN"/>
                    </w:rPr>
                  </w:pPr>
                  <w:r>
                    <w:rPr>
                      <w:rFonts w:hint="default" w:ascii="Times New Roman"/>
                      <w:color w:val="auto"/>
                      <w:sz w:val="21"/>
                      <w:szCs w:val="21"/>
                      <w:highlight w:val="none"/>
                    </w:rPr>
                    <w:t>1次/</w:t>
                  </w:r>
                  <w:r>
                    <w:rPr>
                      <w:rFonts w:hint="eastAsia" w:ascii="Times New Roman"/>
                      <w:color w:val="auto"/>
                      <w:sz w:val="21"/>
                      <w:szCs w:val="21"/>
                      <w:highlight w:val="none"/>
                      <w:lang w:val="en-US" w:eastAsia="zh-CN"/>
                    </w:rPr>
                    <w:t>a</w:t>
                  </w:r>
                </w:p>
              </w:tc>
              <w:tc>
                <w:tcPr>
                  <w:tcW w:w="740" w:type="dxa"/>
                  <w:vMerge w:val="continue"/>
                  <w:shd w:val="clear" w:color="auto" w:fill="auto"/>
                  <w:vAlign w:val="center"/>
                </w:tcPr>
                <w:p w14:paraId="1BF95537">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lang w:eastAsia="zh-CN"/>
                    </w:rPr>
                  </w:pPr>
                </w:p>
              </w:tc>
            </w:tr>
            <w:tr w14:paraId="590CC2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7" w:type="dxa"/>
                  <w:vAlign w:val="center"/>
                </w:tcPr>
                <w:p w14:paraId="5B6870B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7</w:t>
                  </w:r>
                </w:p>
              </w:tc>
              <w:tc>
                <w:tcPr>
                  <w:tcW w:w="894" w:type="dxa"/>
                  <w:vAlign w:val="center"/>
                </w:tcPr>
                <w:p w14:paraId="317711A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除尘灰</w:t>
                  </w:r>
                </w:p>
              </w:tc>
              <w:tc>
                <w:tcPr>
                  <w:tcW w:w="659" w:type="dxa"/>
                  <w:vMerge w:val="continue"/>
                  <w:vAlign w:val="center"/>
                </w:tcPr>
                <w:p w14:paraId="2BFB6C3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1387" w:type="dxa"/>
                  <w:shd w:val="clear" w:color="auto" w:fill="auto"/>
                  <w:vAlign w:val="center"/>
                </w:tcPr>
                <w:p w14:paraId="762D2F7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SW17</w:t>
                  </w:r>
                </w:p>
                <w:p w14:paraId="6B5BF328">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900-</w:t>
                  </w:r>
                  <w:r>
                    <w:rPr>
                      <w:rFonts w:hint="eastAsia" w:ascii="Times New Roman" w:hAnsi="Times New Roman" w:cs="Times New Roman"/>
                      <w:color w:val="auto"/>
                      <w:sz w:val="21"/>
                      <w:szCs w:val="21"/>
                      <w:highlight w:val="none"/>
                    </w:rPr>
                    <w:t>001-17</w:t>
                  </w:r>
                </w:p>
              </w:tc>
              <w:tc>
                <w:tcPr>
                  <w:tcW w:w="906" w:type="dxa"/>
                  <w:shd w:val="clear" w:color="auto" w:fill="auto"/>
                  <w:vAlign w:val="center"/>
                </w:tcPr>
                <w:p w14:paraId="3CF4D45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10.925</w:t>
                  </w:r>
                </w:p>
              </w:tc>
              <w:tc>
                <w:tcPr>
                  <w:tcW w:w="1020" w:type="dxa"/>
                  <w:shd w:val="clear" w:color="auto" w:fill="auto"/>
                  <w:vAlign w:val="center"/>
                </w:tcPr>
                <w:p w14:paraId="1E8619CB">
                  <w:pPr>
                    <w:keepNext w:val="0"/>
                    <w:keepLines w:val="0"/>
                    <w:suppressLineNumbers w:val="0"/>
                    <w:spacing w:before="0" w:beforeLines="0" w:beforeAutospacing="0" w:after="0" w:afterLines="0" w:afterAutospacing="0" w:line="240" w:lineRule="auto"/>
                    <w:ind w:left="0" w:right="0" w:firstLine="0"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打磨、抛光</w:t>
                  </w:r>
                </w:p>
              </w:tc>
              <w:tc>
                <w:tcPr>
                  <w:tcW w:w="685" w:type="dxa"/>
                  <w:shd w:val="clear" w:color="auto" w:fill="auto"/>
                  <w:vAlign w:val="center"/>
                </w:tcPr>
                <w:p w14:paraId="3012DE12">
                  <w:pPr>
                    <w:keepNext w:val="0"/>
                    <w:keepLines w:val="0"/>
                    <w:suppressLineNumbers w:val="0"/>
                    <w:spacing w:before="0" w:beforeLines="0" w:beforeAutospacing="0" w:after="0" w:afterLines="0" w:afterAutospacing="0" w:line="240" w:lineRule="auto"/>
                    <w:ind w:left="0" w:right="0" w:firstLine="0" w:firstLineChars="0"/>
                    <w:jc w:val="center"/>
                    <w:rPr>
                      <w:rFonts w:hint="eastAsia"/>
                      <w:color w:val="auto"/>
                      <w:sz w:val="21"/>
                      <w:szCs w:val="21"/>
                      <w:highlight w:val="none"/>
                      <w:lang w:val="en-US" w:eastAsia="zh-CN"/>
                    </w:rPr>
                  </w:pPr>
                  <w:r>
                    <w:rPr>
                      <w:rFonts w:hint="default" w:ascii="Times New Roman"/>
                      <w:color w:val="auto"/>
                      <w:sz w:val="21"/>
                      <w:szCs w:val="21"/>
                      <w:highlight w:val="none"/>
                    </w:rPr>
                    <w:t>固态</w:t>
                  </w:r>
                </w:p>
              </w:tc>
              <w:tc>
                <w:tcPr>
                  <w:tcW w:w="726" w:type="dxa"/>
                  <w:vMerge w:val="continue"/>
                  <w:shd w:val="clear" w:color="auto" w:fill="auto"/>
                  <w:vAlign w:val="center"/>
                </w:tcPr>
                <w:p w14:paraId="1E1AA590">
                  <w:pPr>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rPr>
                  </w:pPr>
                </w:p>
              </w:tc>
              <w:tc>
                <w:tcPr>
                  <w:tcW w:w="739" w:type="dxa"/>
                  <w:shd w:val="clear" w:color="auto" w:fill="auto"/>
                  <w:vAlign w:val="center"/>
                </w:tcPr>
                <w:p w14:paraId="5C1C6B1B">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1次/</w:t>
                  </w:r>
                  <w:r>
                    <w:rPr>
                      <w:rFonts w:hint="eastAsia" w:ascii="Times New Roman"/>
                      <w:color w:val="auto"/>
                      <w:sz w:val="21"/>
                      <w:szCs w:val="21"/>
                      <w:highlight w:val="none"/>
                      <w:lang w:val="en-US" w:eastAsia="zh-CN"/>
                    </w:rPr>
                    <w:t>月</w:t>
                  </w:r>
                </w:p>
              </w:tc>
              <w:tc>
                <w:tcPr>
                  <w:tcW w:w="740" w:type="dxa"/>
                  <w:vMerge w:val="restart"/>
                  <w:shd w:val="clear" w:color="auto" w:fill="auto"/>
                  <w:vAlign w:val="center"/>
                </w:tcPr>
                <w:p w14:paraId="0478322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统一收集后外售</w:t>
                  </w:r>
                </w:p>
              </w:tc>
            </w:tr>
            <w:tr w14:paraId="6A2FD5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7" w:type="dxa"/>
                  <w:vAlign w:val="center"/>
                </w:tcPr>
                <w:p w14:paraId="552C2B6A">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8</w:t>
                  </w:r>
                </w:p>
              </w:tc>
              <w:tc>
                <w:tcPr>
                  <w:tcW w:w="894" w:type="dxa"/>
                  <w:vAlign w:val="center"/>
                </w:tcPr>
                <w:p w14:paraId="446E6BF2">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沉泥</w:t>
                  </w:r>
                </w:p>
              </w:tc>
              <w:tc>
                <w:tcPr>
                  <w:tcW w:w="659" w:type="dxa"/>
                  <w:vMerge w:val="continue"/>
                  <w:vAlign w:val="center"/>
                </w:tcPr>
                <w:p w14:paraId="302F001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1387" w:type="dxa"/>
                  <w:shd w:val="clear" w:color="auto" w:fill="auto"/>
                  <w:vAlign w:val="center"/>
                </w:tcPr>
                <w:p w14:paraId="5B69048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SW07</w:t>
                  </w:r>
                </w:p>
                <w:p w14:paraId="2BA11440">
                  <w:pPr>
                    <w:keepNext w:val="0"/>
                    <w:keepLines w:val="0"/>
                    <w:suppressLineNumbers w:val="0"/>
                    <w:spacing w:before="0" w:beforeLines="0" w:beforeAutospacing="0" w:after="0" w:afterLines="0" w:afterAutospacing="0" w:line="240" w:lineRule="auto"/>
                    <w:ind w:left="0" w:right="0" w:firstLine="0" w:firstLineChars="0"/>
                    <w:jc w:val="center"/>
                    <w:rPr>
                      <w:rFonts w:hint="default" w:ascii="Times New Roman" w:eastAsia="宋体"/>
                      <w:color w:val="auto"/>
                      <w:sz w:val="21"/>
                      <w:szCs w:val="21"/>
                      <w:highlight w:val="none"/>
                      <w:lang w:val="en-US" w:eastAsia="zh-CN"/>
                    </w:rPr>
                  </w:pPr>
                  <w:r>
                    <w:rPr>
                      <w:rFonts w:hint="eastAsia"/>
                      <w:color w:val="auto"/>
                      <w:sz w:val="21"/>
                      <w:szCs w:val="21"/>
                      <w:highlight w:val="none"/>
                      <w:lang w:val="en-US" w:eastAsia="zh-CN"/>
                    </w:rPr>
                    <w:t>900-099-S07</w:t>
                  </w:r>
                </w:p>
              </w:tc>
              <w:tc>
                <w:tcPr>
                  <w:tcW w:w="906" w:type="dxa"/>
                  <w:shd w:val="clear" w:color="auto" w:fill="auto"/>
                  <w:vAlign w:val="center"/>
                </w:tcPr>
                <w:p w14:paraId="0CA29B47">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14.50</w:t>
                  </w:r>
                </w:p>
              </w:tc>
              <w:tc>
                <w:tcPr>
                  <w:tcW w:w="1020" w:type="dxa"/>
                  <w:shd w:val="clear" w:color="auto" w:fill="auto"/>
                  <w:vAlign w:val="center"/>
                </w:tcPr>
                <w:p w14:paraId="7E8AFA2B">
                  <w:pPr>
                    <w:keepNext w:val="0"/>
                    <w:keepLines w:val="0"/>
                    <w:suppressLineNumbers w:val="0"/>
                    <w:spacing w:before="0" w:beforeLines="0" w:beforeAutospacing="0" w:after="0" w:afterLines="0" w:afterAutospacing="0" w:line="240" w:lineRule="auto"/>
                    <w:ind w:left="0" w:right="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打磨、抛光、沉淀池</w:t>
                  </w:r>
                </w:p>
              </w:tc>
              <w:tc>
                <w:tcPr>
                  <w:tcW w:w="685" w:type="dxa"/>
                  <w:shd w:val="clear" w:color="auto" w:fill="auto"/>
                  <w:vAlign w:val="center"/>
                </w:tcPr>
                <w:p w14:paraId="354A1C36">
                  <w:pPr>
                    <w:keepNext w:val="0"/>
                    <w:keepLines w:val="0"/>
                    <w:suppressLineNumbers w:val="0"/>
                    <w:spacing w:before="0" w:beforeLines="0" w:beforeAutospacing="0" w:after="0" w:afterLines="0" w:afterAutospacing="0" w:line="240" w:lineRule="auto"/>
                    <w:ind w:left="0" w:right="0" w:firstLine="0" w:firstLineChars="0"/>
                    <w:jc w:val="center"/>
                    <w:rPr>
                      <w:rFonts w:hint="eastAsia" w:ascii="Times New Roman" w:eastAsia="宋体"/>
                      <w:color w:val="auto"/>
                      <w:sz w:val="21"/>
                      <w:szCs w:val="21"/>
                      <w:highlight w:val="none"/>
                      <w:lang w:val="en-US" w:eastAsia="zh-CN"/>
                    </w:rPr>
                  </w:pPr>
                  <w:r>
                    <w:rPr>
                      <w:rFonts w:hint="eastAsia"/>
                      <w:color w:val="auto"/>
                      <w:sz w:val="21"/>
                      <w:szCs w:val="21"/>
                      <w:highlight w:val="none"/>
                      <w:lang w:val="en-US" w:eastAsia="zh-CN"/>
                    </w:rPr>
                    <w:t>半固态</w:t>
                  </w:r>
                </w:p>
              </w:tc>
              <w:tc>
                <w:tcPr>
                  <w:tcW w:w="726" w:type="dxa"/>
                  <w:vMerge w:val="continue"/>
                  <w:shd w:val="clear" w:color="auto" w:fill="auto"/>
                  <w:vAlign w:val="center"/>
                </w:tcPr>
                <w:p w14:paraId="3854EF6F">
                  <w:pPr>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rPr>
                  </w:pPr>
                </w:p>
              </w:tc>
              <w:tc>
                <w:tcPr>
                  <w:tcW w:w="739" w:type="dxa"/>
                  <w:shd w:val="clear" w:color="auto" w:fill="auto"/>
                  <w:vAlign w:val="center"/>
                </w:tcPr>
                <w:p w14:paraId="2EF80476">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val="en-US" w:eastAsia="zh-CN"/>
                    </w:rPr>
                  </w:pPr>
                  <w:r>
                    <w:rPr>
                      <w:rFonts w:hint="default" w:ascii="Times New Roman"/>
                      <w:color w:val="auto"/>
                      <w:sz w:val="21"/>
                      <w:szCs w:val="21"/>
                      <w:highlight w:val="none"/>
                    </w:rPr>
                    <w:t>1次/</w:t>
                  </w:r>
                  <w:r>
                    <w:rPr>
                      <w:rFonts w:hint="eastAsia" w:ascii="Times New Roman"/>
                      <w:color w:val="auto"/>
                      <w:sz w:val="21"/>
                      <w:szCs w:val="21"/>
                      <w:highlight w:val="none"/>
                      <w:lang w:val="en-US" w:eastAsia="zh-CN"/>
                    </w:rPr>
                    <w:t>a</w:t>
                  </w:r>
                </w:p>
              </w:tc>
              <w:tc>
                <w:tcPr>
                  <w:tcW w:w="740" w:type="dxa"/>
                  <w:vMerge w:val="continue"/>
                  <w:shd w:val="clear" w:color="auto" w:fill="auto"/>
                  <w:vAlign w:val="center"/>
                </w:tcPr>
                <w:p w14:paraId="3CE8676A">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p>
              </w:tc>
            </w:tr>
          </w:tbl>
          <w:p w14:paraId="54D0DF06">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一般工业固体废物贮存（处置）场图形符号的设置按《环境保护图形标志  固体废物贮存（处置）场》（GB15562.2-1995）执行，且一般工业固废堆存时，进行半封闭式围挡，在固废进出库时做好台账。</w:t>
            </w:r>
          </w:p>
          <w:p w14:paraId="6C08CB2F">
            <w:pPr>
              <w:pStyle w:val="16"/>
              <w:keepNext w:val="0"/>
              <w:keepLines w:val="0"/>
              <w:suppressLineNumbers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管理台账要求：</w:t>
            </w:r>
          </w:p>
          <w:p w14:paraId="2867BA65">
            <w:pPr>
              <w:pStyle w:val="16"/>
              <w:keepNext w:val="0"/>
              <w:keepLines w:val="0"/>
              <w:suppressLineNumbers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根据《一般工业固体废物管理台账制定指南（试行）》（2021-12-30），本项目一般固体废物管理台账要求如下：</w:t>
            </w:r>
          </w:p>
          <w:p w14:paraId="2E6672F5">
            <w:pPr>
              <w:pStyle w:val="16"/>
              <w:keepNext w:val="0"/>
              <w:keepLines w:val="0"/>
              <w:suppressLineNumbers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（1）一般工业固体废物管理台账实施分级管理；</w:t>
            </w:r>
          </w:p>
          <w:p w14:paraId="2B54F8AC">
            <w:pPr>
              <w:pStyle w:val="16"/>
              <w:keepNext w:val="0"/>
              <w:keepLines w:val="0"/>
              <w:suppressLineNumbers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（2）鼓励产废单位采用国家建立的一般工业固体废物管理电子台账，简化数据填写、台账管理等工作。地方和企业自行开发的电子台账要实现与国家系统对接。建立电子台账的产废单位，可不再记录纸质台账；</w:t>
            </w:r>
          </w:p>
          <w:p w14:paraId="75D4A5E3">
            <w:pPr>
              <w:pStyle w:val="16"/>
              <w:keepNext w:val="0"/>
              <w:keepLines w:val="0"/>
              <w:suppressLineNumbers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（3）台账记录表各表单的负责人对记录信息的真实性、完整性和规范性负责；</w:t>
            </w:r>
          </w:p>
          <w:p w14:paraId="79ECF9A3">
            <w:pPr>
              <w:pStyle w:val="16"/>
              <w:keepNext w:val="0"/>
              <w:keepLines w:val="0"/>
              <w:suppressLineNumbers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（4）产废单位填写台账记录表时，应当根据自身固体废物产生情况并根据固体废物种类确定固体废物的具体名称；</w:t>
            </w:r>
          </w:p>
          <w:p w14:paraId="1331CBF1">
            <w:pPr>
              <w:pStyle w:val="16"/>
              <w:keepNext w:val="0"/>
              <w:keepLines w:val="0"/>
              <w:suppressLineNumbers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（5）产废单位应当设立专人负责台账的管理与归档，一般工业固体废物管理台账保存期限不少于5年台账记录表各表单的负责人对记录信息的真实性、完整性和规范性负责；</w:t>
            </w:r>
          </w:p>
          <w:p w14:paraId="78699B6A">
            <w:pPr>
              <w:pStyle w:val="16"/>
              <w:keepNext w:val="0"/>
              <w:keepLines w:val="0"/>
              <w:suppressLineNumbers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（6）鼓励有条件的产废单位在固体废物产生场所、贮存场所及磅秤位置等关键点位设置视频监控，提高台账记录信息的准确性。</w:t>
            </w:r>
          </w:p>
          <w:p w14:paraId="067C1A90">
            <w:pPr>
              <w:pStyle w:val="7"/>
              <w:suppressLineNumbers w:val="0"/>
              <w:spacing w:before="0" w:beforeAutospacing="0" w:after="0" w:afterAutospacing="0"/>
              <w:ind w:left="0" w:right="0"/>
              <w:rPr>
                <w:rFonts w:hint="default" w:ascii="Times New Roman" w:hAnsi="Times New Roman"/>
                <w:color w:val="auto"/>
                <w:highlight w:val="none"/>
              </w:rPr>
            </w:pPr>
            <w:r>
              <w:rPr>
                <w:rFonts w:hint="default" w:ascii="Times New Roman" w:hAnsi="Times New Roman"/>
                <w:color w:val="auto"/>
                <w:highlight w:val="none"/>
              </w:rPr>
              <w:t>4.3、危险废物</w:t>
            </w:r>
          </w:p>
          <w:p w14:paraId="6213ACE6">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eastAsia"/>
                <w:color w:val="auto"/>
                <w:sz w:val="24"/>
                <w:highlight w:val="none"/>
              </w:rPr>
              <w:t>本项目</w:t>
            </w:r>
            <w:r>
              <w:rPr>
                <w:rFonts w:hint="eastAsia"/>
                <w:color w:val="auto"/>
                <w:sz w:val="24"/>
                <w:highlight w:val="none"/>
                <w:lang w:eastAsia="zh-CN"/>
              </w:rPr>
              <w:t>危险废物</w:t>
            </w:r>
            <w:r>
              <w:rPr>
                <w:rFonts w:hint="eastAsia"/>
                <w:color w:val="auto"/>
                <w:sz w:val="24"/>
                <w:highlight w:val="none"/>
                <w:lang w:val="en-US" w:eastAsia="zh-CN"/>
              </w:rPr>
              <w:t>主要为废润滑油、废润滑油桶、废铅酸电池</w:t>
            </w:r>
            <w:r>
              <w:rPr>
                <w:rFonts w:hint="eastAsia"/>
                <w:color w:val="auto"/>
                <w:sz w:val="24"/>
                <w:highlight w:val="none"/>
                <w:lang w:eastAsia="zh-CN"/>
              </w:rPr>
              <w:t>。</w:t>
            </w:r>
            <w:r>
              <w:rPr>
                <w:rFonts w:hint="eastAsia"/>
                <w:color w:val="auto"/>
                <w:sz w:val="24"/>
                <w:highlight w:val="none"/>
              </w:rPr>
              <w:t>危险废物收集后暂存在危险废物暂存间内定期交由有资质单位进行处置。</w:t>
            </w:r>
          </w:p>
          <w:p w14:paraId="27DCE24D">
            <w:pPr>
              <w:pStyle w:val="47"/>
              <w:keepNext w:val="0"/>
              <w:keepLines w:val="0"/>
              <w:suppressLineNumbers w:val="0"/>
              <w:spacing w:before="0" w:beforeAutospacing="0" w:after="0" w:afterAutospacing="0"/>
              <w:ind w:left="0" w:right="0" w:firstLine="0" w:firstLineChars="0"/>
              <w:jc w:val="center"/>
              <w:rPr>
                <w:rFonts w:hint="default" w:eastAsia="宋体"/>
                <w:b/>
                <w:bCs w:val="0"/>
                <w:color w:val="auto"/>
                <w:sz w:val="24"/>
                <w:highlight w:val="none"/>
              </w:rPr>
            </w:pPr>
            <w:r>
              <w:rPr>
                <w:rFonts w:hint="default" w:eastAsia="宋体"/>
                <w:b/>
                <w:bCs w:val="0"/>
                <w:color w:val="auto"/>
                <w:sz w:val="24"/>
                <w:highlight w:val="none"/>
              </w:rPr>
              <w:t>表4-</w:t>
            </w:r>
            <w:r>
              <w:rPr>
                <w:rFonts w:hint="eastAsia" w:eastAsia="宋体"/>
                <w:b/>
                <w:bCs w:val="0"/>
                <w:color w:val="auto"/>
                <w:sz w:val="24"/>
                <w:highlight w:val="none"/>
                <w:lang w:val="en-US" w:eastAsia="zh-CN"/>
              </w:rPr>
              <w:t>11</w:t>
            </w:r>
            <w:r>
              <w:rPr>
                <w:rFonts w:hint="default" w:eastAsia="宋体"/>
                <w:b/>
                <w:bCs w:val="0"/>
                <w:color w:val="auto"/>
                <w:sz w:val="24"/>
                <w:highlight w:val="none"/>
              </w:rPr>
              <w:t xml:space="preserve"> 工程分析中危险废物汇总表</w:t>
            </w:r>
          </w:p>
          <w:tbl>
            <w:tblPr>
              <w:tblStyle w:val="3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43"/>
              <w:gridCol w:w="642"/>
              <w:gridCol w:w="776"/>
              <w:gridCol w:w="1241"/>
              <w:gridCol w:w="777"/>
              <w:gridCol w:w="743"/>
              <w:gridCol w:w="500"/>
              <w:gridCol w:w="563"/>
              <w:gridCol w:w="612"/>
              <w:gridCol w:w="600"/>
              <w:gridCol w:w="563"/>
              <w:gridCol w:w="853"/>
            </w:tblGrid>
            <w:tr w14:paraId="120EE8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443" w:type="dxa"/>
                  <w:vAlign w:val="center"/>
                </w:tcPr>
                <w:p w14:paraId="5FE26948">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序号</w:t>
                  </w:r>
                </w:p>
              </w:tc>
              <w:tc>
                <w:tcPr>
                  <w:tcW w:w="642" w:type="dxa"/>
                  <w:vAlign w:val="center"/>
                </w:tcPr>
                <w:p w14:paraId="0BEDC9A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危险废物名称</w:t>
                  </w:r>
                </w:p>
              </w:tc>
              <w:tc>
                <w:tcPr>
                  <w:tcW w:w="776" w:type="dxa"/>
                  <w:vAlign w:val="center"/>
                </w:tcPr>
                <w:p w14:paraId="3C5E8F2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危险废物类别</w:t>
                  </w:r>
                </w:p>
              </w:tc>
              <w:tc>
                <w:tcPr>
                  <w:tcW w:w="1241" w:type="dxa"/>
                  <w:vAlign w:val="center"/>
                </w:tcPr>
                <w:p w14:paraId="12A6591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危险废物代码</w:t>
                  </w:r>
                </w:p>
              </w:tc>
              <w:tc>
                <w:tcPr>
                  <w:tcW w:w="777" w:type="dxa"/>
                  <w:vAlign w:val="center"/>
                </w:tcPr>
                <w:p w14:paraId="12B5326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产生量（吨/年）</w:t>
                  </w:r>
                </w:p>
              </w:tc>
              <w:tc>
                <w:tcPr>
                  <w:tcW w:w="743" w:type="dxa"/>
                  <w:vAlign w:val="center"/>
                </w:tcPr>
                <w:p w14:paraId="4C5B923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产生工序及装置</w:t>
                  </w:r>
                </w:p>
              </w:tc>
              <w:tc>
                <w:tcPr>
                  <w:tcW w:w="500" w:type="dxa"/>
                  <w:vAlign w:val="center"/>
                </w:tcPr>
                <w:p w14:paraId="7004A73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形态</w:t>
                  </w:r>
                </w:p>
              </w:tc>
              <w:tc>
                <w:tcPr>
                  <w:tcW w:w="563" w:type="dxa"/>
                  <w:vAlign w:val="center"/>
                </w:tcPr>
                <w:p w14:paraId="7D909A8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主要成分</w:t>
                  </w:r>
                </w:p>
              </w:tc>
              <w:tc>
                <w:tcPr>
                  <w:tcW w:w="612" w:type="dxa"/>
                  <w:vAlign w:val="center"/>
                </w:tcPr>
                <w:p w14:paraId="2F856FC8">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有害成分</w:t>
                  </w:r>
                </w:p>
              </w:tc>
              <w:tc>
                <w:tcPr>
                  <w:tcW w:w="600" w:type="dxa"/>
                  <w:vAlign w:val="center"/>
                </w:tcPr>
                <w:p w14:paraId="2D1E28CB">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产废周期</w:t>
                  </w:r>
                </w:p>
              </w:tc>
              <w:tc>
                <w:tcPr>
                  <w:tcW w:w="563" w:type="dxa"/>
                  <w:vAlign w:val="center"/>
                </w:tcPr>
                <w:p w14:paraId="790FC51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危险</w:t>
                  </w:r>
                </w:p>
                <w:p w14:paraId="6D09F3C7">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特性</w:t>
                  </w:r>
                </w:p>
              </w:tc>
              <w:tc>
                <w:tcPr>
                  <w:tcW w:w="853" w:type="dxa"/>
                  <w:vAlign w:val="center"/>
                </w:tcPr>
                <w:p w14:paraId="31D9F81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污染防治措施</w:t>
                  </w:r>
                </w:p>
              </w:tc>
            </w:tr>
            <w:tr w14:paraId="319986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443" w:type="dxa"/>
                  <w:shd w:val="clear" w:color="auto" w:fill="auto"/>
                  <w:vAlign w:val="center"/>
                </w:tcPr>
                <w:p w14:paraId="60FCB939">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1</w:t>
                  </w:r>
                </w:p>
              </w:tc>
              <w:tc>
                <w:tcPr>
                  <w:tcW w:w="642" w:type="dxa"/>
                  <w:shd w:val="clear" w:color="auto" w:fill="auto"/>
                  <w:vAlign w:val="center"/>
                </w:tcPr>
                <w:p w14:paraId="5A5AA289">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废润滑油</w:t>
                  </w:r>
                </w:p>
              </w:tc>
              <w:tc>
                <w:tcPr>
                  <w:tcW w:w="776" w:type="dxa"/>
                  <w:shd w:val="clear" w:color="auto" w:fill="auto"/>
                  <w:vAlign w:val="center"/>
                </w:tcPr>
                <w:p w14:paraId="621A5203">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HW08</w:t>
                  </w:r>
                </w:p>
              </w:tc>
              <w:tc>
                <w:tcPr>
                  <w:tcW w:w="1241" w:type="dxa"/>
                  <w:shd w:val="clear" w:color="auto" w:fill="auto"/>
                  <w:vAlign w:val="center"/>
                </w:tcPr>
                <w:p w14:paraId="26C91AA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900-214-08</w:t>
                  </w:r>
                </w:p>
              </w:tc>
              <w:tc>
                <w:tcPr>
                  <w:tcW w:w="777" w:type="dxa"/>
                  <w:shd w:val="clear" w:color="auto" w:fill="auto"/>
                  <w:vAlign w:val="center"/>
                </w:tcPr>
                <w:p w14:paraId="0C1133AC">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0.03</w:t>
                  </w:r>
                </w:p>
              </w:tc>
              <w:tc>
                <w:tcPr>
                  <w:tcW w:w="743" w:type="dxa"/>
                  <w:shd w:val="clear" w:color="auto" w:fill="auto"/>
                  <w:vAlign w:val="center"/>
                </w:tcPr>
                <w:p w14:paraId="0AF7F247">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设备</w:t>
                  </w:r>
                  <w:r>
                    <w:rPr>
                      <w:rFonts w:hint="eastAsia" w:ascii="Times New Roman"/>
                      <w:color w:val="auto"/>
                      <w:sz w:val="21"/>
                      <w:szCs w:val="21"/>
                      <w:highlight w:val="none"/>
                      <w:lang w:val="en-US" w:eastAsia="zh-CN"/>
                    </w:rPr>
                    <w:t>维护</w:t>
                  </w:r>
                </w:p>
              </w:tc>
              <w:tc>
                <w:tcPr>
                  <w:tcW w:w="500" w:type="dxa"/>
                  <w:shd w:val="clear" w:color="auto" w:fill="auto"/>
                  <w:vAlign w:val="center"/>
                </w:tcPr>
                <w:p w14:paraId="65164863">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液态</w:t>
                  </w:r>
                </w:p>
              </w:tc>
              <w:tc>
                <w:tcPr>
                  <w:tcW w:w="563" w:type="dxa"/>
                  <w:shd w:val="clear" w:color="auto" w:fill="auto"/>
                  <w:vAlign w:val="center"/>
                </w:tcPr>
                <w:p w14:paraId="22E3D974">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矿物油</w:t>
                  </w:r>
                </w:p>
              </w:tc>
              <w:tc>
                <w:tcPr>
                  <w:tcW w:w="612" w:type="dxa"/>
                  <w:shd w:val="clear" w:color="auto" w:fill="auto"/>
                  <w:vAlign w:val="center"/>
                </w:tcPr>
                <w:p w14:paraId="1A1A08AA">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矿物油</w:t>
                  </w:r>
                </w:p>
              </w:tc>
              <w:tc>
                <w:tcPr>
                  <w:tcW w:w="600" w:type="dxa"/>
                  <w:shd w:val="clear" w:color="auto" w:fill="auto"/>
                  <w:vAlign w:val="center"/>
                </w:tcPr>
                <w:p w14:paraId="73CB2D35">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rPr>
                    <w:t>1次/</w:t>
                  </w:r>
                  <w:r>
                    <w:rPr>
                      <w:rFonts w:hint="eastAsia" w:ascii="Times New Roman" w:hAnsi="Times New Roman" w:eastAsia="宋体" w:cs="Times New Roman"/>
                      <w:color w:val="auto"/>
                      <w:sz w:val="21"/>
                      <w:szCs w:val="21"/>
                      <w:highlight w:val="none"/>
                      <w:lang w:val="en-US" w:eastAsia="zh-CN"/>
                    </w:rPr>
                    <w:t>a</w:t>
                  </w:r>
                </w:p>
              </w:tc>
              <w:tc>
                <w:tcPr>
                  <w:tcW w:w="563" w:type="dxa"/>
                  <w:shd w:val="clear" w:color="auto" w:fill="auto"/>
                  <w:vAlign w:val="center"/>
                </w:tcPr>
                <w:p w14:paraId="54924715">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T</w:t>
                  </w:r>
                  <w:r>
                    <w:rPr>
                      <w:rFonts w:hint="eastAsia" w:ascii="Times New Roman"/>
                      <w:color w:val="auto"/>
                      <w:sz w:val="21"/>
                      <w:szCs w:val="21"/>
                      <w:highlight w:val="none"/>
                      <w:lang w:eastAsia="zh-CN"/>
                    </w:rPr>
                    <w:t>，</w:t>
                  </w:r>
                  <w:r>
                    <w:rPr>
                      <w:rFonts w:hint="eastAsia" w:ascii="Times New Roman"/>
                      <w:color w:val="auto"/>
                      <w:sz w:val="21"/>
                      <w:szCs w:val="21"/>
                      <w:highlight w:val="none"/>
                      <w:lang w:val="en-US" w:eastAsia="zh-CN"/>
                    </w:rPr>
                    <w:t>I</w:t>
                  </w:r>
                </w:p>
              </w:tc>
              <w:tc>
                <w:tcPr>
                  <w:tcW w:w="853" w:type="dxa"/>
                  <w:vMerge w:val="restart"/>
                  <w:vAlign w:val="center"/>
                </w:tcPr>
                <w:p w14:paraId="0ABDE226">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贮存于新建的</w:t>
                  </w:r>
                  <w:r>
                    <w:rPr>
                      <w:rFonts w:hint="eastAsia" w:ascii="Times New Roman"/>
                      <w:color w:val="auto"/>
                      <w:sz w:val="21"/>
                      <w:szCs w:val="21"/>
                      <w:highlight w:val="none"/>
                      <w:lang w:val="en-US" w:eastAsia="zh-CN"/>
                    </w:rPr>
                    <w:t>3</w:t>
                  </w:r>
                  <w:r>
                    <w:rPr>
                      <w:rFonts w:hint="default" w:ascii="Times New Roman"/>
                      <w:color w:val="auto"/>
                      <w:sz w:val="21"/>
                      <w:szCs w:val="21"/>
                      <w:highlight w:val="none"/>
                    </w:rPr>
                    <w:t>m</w:t>
                  </w:r>
                  <w:r>
                    <w:rPr>
                      <w:rFonts w:hint="default" w:ascii="Times New Roman"/>
                      <w:color w:val="auto"/>
                      <w:sz w:val="21"/>
                      <w:szCs w:val="21"/>
                      <w:highlight w:val="none"/>
                      <w:vertAlign w:val="superscript"/>
                    </w:rPr>
                    <w:t>2</w:t>
                  </w:r>
                  <w:r>
                    <w:rPr>
                      <w:rFonts w:hint="default" w:ascii="Times New Roman"/>
                      <w:color w:val="auto"/>
                      <w:sz w:val="21"/>
                      <w:szCs w:val="21"/>
                      <w:highlight w:val="none"/>
                    </w:rPr>
                    <w:t>的危废间内，由有资质单位运输并处置</w:t>
                  </w:r>
                </w:p>
              </w:tc>
            </w:tr>
            <w:tr w14:paraId="1CA767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443" w:type="dxa"/>
                  <w:shd w:val="clear" w:color="auto" w:fill="auto"/>
                  <w:vAlign w:val="center"/>
                </w:tcPr>
                <w:p w14:paraId="29D743C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2</w:t>
                  </w:r>
                </w:p>
              </w:tc>
              <w:tc>
                <w:tcPr>
                  <w:tcW w:w="642" w:type="dxa"/>
                  <w:shd w:val="clear" w:color="auto" w:fill="auto"/>
                  <w:vAlign w:val="center"/>
                </w:tcPr>
                <w:p w14:paraId="415DEF73">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废润滑油桶</w:t>
                  </w:r>
                </w:p>
              </w:tc>
              <w:tc>
                <w:tcPr>
                  <w:tcW w:w="776" w:type="dxa"/>
                  <w:shd w:val="clear" w:color="auto" w:fill="auto"/>
                  <w:vAlign w:val="center"/>
                </w:tcPr>
                <w:p w14:paraId="1718FE46">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rPr>
                  </w:pPr>
                  <w:r>
                    <w:rPr>
                      <w:rFonts w:hint="default" w:ascii="Times New Roman"/>
                      <w:color w:val="auto"/>
                      <w:sz w:val="21"/>
                      <w:szCs w:val="21"/>
                      <w:highlight w:val="none"/>
                    </w:rPr>
                    <w:t>HW08</w:t>
                  </w:r>
                </w:p>
              </w:tc>
              <w:tc>
                <w:tcPr>
                  <w:tcW w:w="1241" w:type="dxa"/>
                  <w:shd w:val="clear" w:color="auto" w:fill="auto"/>
                  <w:vAlign w:val="center"/>
                </w:tcPr>
                <w:p w14:paraId="79006598">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900-249-08</w:t>
                  </w:r>
                </w:p>
              </w:tc>
              <w:tc>
                <w:tcPr>
                  <w:tcW w:w="777" w:type="dxa"/>
                  <w:shd w:val="clear" w:color="auto" w:fill="auto"/>
                  <w:vAlign w:val="center"/>
                </w:tcPr>
                <w:p w14:paraId="59E92BF7">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0.01</w:t>
                  </w:r>
                </w:p>
              </w:tc>
              <w:tc>
                <w:tcPr>
                  <w:tcW w:w="743" w:type="dxa"/>
                  <w:shd w:val="clear" w:color="auto" w:fill="auto"/>
                  <w:vAlign w:val="center"/>
                </w:tcPr>
                <w:p w14:paraId="0B297217">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rPr>
                  </w:pPr>
                  <w:r>
                    <w:rPr>
                      <w:rFonts w:hint="default" w:ascii="Times New Roman"/>
                      <w:color w:val="auto"/>
                      <w:sz w:val="21"/>
                      <w:szCs w:val="21"/>
                      <w:highlight w:val="none"/>
                    </w:rPr>
                    <w:t>设备</w:t>
                  </w:r>
                  <w:r>
                    <w:rPr>
                      <w:rFonts w:hint="eastAsia" w:ascii="Times New Roman"/>
                      <w:color w:val="auto"/>
                      <w:sz w:val="21"/>
                      <w:szCs w:val="21"/>
                      <w:highlight w:val="none"/>
                      <w:lang w:val="en-US" w:eastAsia="zh-CN"/>
                    </w:rPr>
                    <w:t>维护</w:t>
                  </w:r>
                </w:p>
              </w:tc>
              <w:tc>
                <w:tcPr>
                  <w:tcW w:w="500" w:type="dxa"/>
                  <w:shd w:val="clear" w:color="auto" w:fill="auto"/>
                  <w:vAlign w:val="center"/>
                </w:tcPr>
                <w:p w14:paraId="4F9D830F">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rPr>
                  </w:pPr>
                  <w:r>
                    <w:rPr>
                      <w:rFonts w:hint="eastAsia" w:ascii="Times New Roman" w:hAnsi="Times New Roman" w:eastAsia="宋体" w:cs="Times New Roman"/>
                      <w:color w:val="auto"/>
                      <w:sz w:val="21"/>
                      <w:szCs w:val="21"/>
                      <w:highlight w:val="none"/>
                    </w:rPr>
                    <w:t>固态</w:t>
                  </w:r>
                </w:p>
              </w:tc>
              <w:tc>
                <w:tcPr>
                  <w:tcW w:w="563" w:type="dxa"/>
                  <w:shd w:val="clear" w:color="auto" w:fill="auto"/>
                  <w:vAlign w:val="center"/>
                </w:tcPr>
                <w:p w14:paraId="142CF75F">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矿物油</w:t>
                  </w:r>
                </w:p>
              </w:tc>
              <w:tc>
                <w:tcPr>
                  <w:tcW w:w="612" w:type="dxa"/>
                  <w:shd w:val="clear" w:color="auto" w:fill="auto"/>
                  <w:vAlign w:val="center"/>
                </w:tcPr>
                <w:p w14:paraId="44CFFCFB">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矿物油</w:t>
                  </w:r>
                </w:p>
              </w:tc>
              <w:tc>
                <w:tcPr>
                  <w:tcW w:w="600" w:type="dxa"/>
                  <w:shd w:val="clear" w:color="auto" w:fill="auto"/>
                  <w:vAlign w:val="center"/>
                </w:tcPr>
                <w:p w14:paraId="57896D9E">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rPr>
                  </w:pPr>
                  <w:r>
                    <w:rPr>
                      <w:rFonts w:hint="eastAsia" w:ascii="Times New Roman" w:hAnsi="Times New Roman" w:eastAsia="宋体" w:cs="Times New Roman"/>
                      <w:color w:val="auto"/>
                      <w:sz w:val="21"/>
                      <w:szCs w:val="21"/>
                      <w:highlight w:val="none"/>
                    </w:rPr>
                    <w:t>1次/</w:t>
                  </w:r>
                  <w:r>
                    <w:rPr>
                      <w:rFonts w:hint="eastAsia" w:ascii="Times New Roman" w:hAnsi="Times New Roman" w:eastAsia="宋体" w:cs="Times New Roman"/>
                      <w:color w:val="auto"/>
                      <w:sz w:val="21"/>
                      <w:szCs w:val="21"/>
                      <w:highlight w:val="none"/>
                      <w:lang w:val="en-US" w:eastAsia="zh-CN"/>
                    </w:rPr>
                    <w:t>a</w:t>
                  </w:r>
                </w:p>
              </w:tc>
              <w:tc>
                <w:tcPr>
                  <w:tcW w:w="563" w:type="dxa"/>
                  <w:shd w:val="clear" w:color="auto" w:fill="auto"/>
                  <w:vAlign w:val="center"/>
                </w:tcPr>
                <w:p w14:paraId="68AF8361">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rPr>
                  </w:pPr>
                  <w:r>
                    <w:rPr>
                      <w:rFonts w:hint="default" w:ascii="Times New Roman"/>
                      <w:color w:val="auto"/>
                      <w:sz w:val="21"/>
                      <w:szCs w:val="21"/>
                      <w:highlight w:val="none"/>
                    </w:rPr>
                    <w:t>T</w:t>
                  </w:r>
                  <w:r>
                    <w:rPr>
                      <w:rFonts w:hint="eastAsia" w:ascii="Times New Roman"/>
                      <w:color w:val="auto"/>
                      <w:sz w:val="21"/>
                      <w:szCs w:val="21"/>
                      <w:highlight w:val="none"/>
                      <w:lang w:eastAsia="zh-CN"/>
                    </w:rPr>
                    <w:t>，</w:t>
                  </w:r>
                  <w:r>
                    <w:rPr>
                      <w:rFonts w:hint="eastAsia" w:ascii="Times New Roman"/>
                      <w:color w:val="auto"/>
                      <w:sz w:val="21"/>
                      <w:szCs w:val="21"/>
                      <w:highlight w:val="none"/>
                      <w:lang w:val="en-US" w:eastAsia="zh-CN"/>
                    </w:rPr>
                    <w:t>I</w:t>
                  </w:r>
                </w:p>
              </w:tc>
              <w:tc>
                <w:tcPr>
                  <w:tcW w:w="853" w:type="dxa"/>
                  <w:vMerge w:val="continue"/>
                  <w:vAlign w:val="center"/>
                </w:tcPr>
                <w:p w14:paraId="4EB710E6">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r w14:paraId="3F3D56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443" w:type="dxa"/>
                  <w:shd w:val="clear" w:color="auto" w:fill="auto"/>
                  <w:vAlign w:val="center"/>
                </w:tcPr>
                <w:p w14:paraId="5055FC3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3</w:t>
                  </w:r>
                </w:p>
              </w:tc>
              <w:tc>
                <w:tcPr>
                  <w:tcW w:w="642" w:type="dxa"/>
                  <w:shd w:val="clear" w:color="auto" w:fill="auto"/>
                  <w:vAlign w:val="center"/>
                </w:tcPr>
                <w:p w14:paraId="114E6D28">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废机油</w:t>
                  </w:r>
                </w:p>
              </w:tc>
              <w:tc>
                <w:tcPr>
                  <w:tcW w:w="776" w:type="dxa"/>
                  <w:shd w:val="clear" w:color="auto" w:fill="auto"/>
                  <w:vAlign w:val="center"/>
                </w:tcPr>
                <w:p w14:paraId="147F4607">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sz w:val="21"/>
                      <w:szCs w:val="21"/>
                      <w:highlight w:val="none"/>
                      <w:lang w:val="en-US" w:eastAsia="zh-CN"/>
                    </w:rPr>
                  </w:pPr>
                  <w:r>
                    <w:rPr>
                      <w:rFonts w:hint="default" w:ascii="Times New Roman"/>
                      <w:color w:val="auto"/>
                      <w:sz w:val="21"/>
                      <w:szCs w:val="21"/>
                      <w:highlight w:val="none"/>
                    </w:rPr>
                    <w:t>HW08</w:t>
                  </w:r>
                </w:p>
              </w:tc>
              <w:tc>
                <w:tcPr>
                  <w:tcW w:w="1241" w:type="dxa"/>
                  <w:shd w:val="clear" w:color="auto" w:fill="auto"/>
                  <w:vAlign w:val="center"/>
                </w:tcPr>
                <w:p w14:paraId="31B53A5A">
                  <w:pPr>
                    <w:keepNext w:val="0"/>
                    <w:keepLines w:val="0"/>
                    <w:widowControl/>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rPr>
                    <w:t>900-</w:t>
                  </w:r>
                  <w:r>
                    <w:rPr>
                      <w:rFonts w:hint="eastAsia" w:cs="Times New Roman"/>
                      <w:snapToGrid w:val="0"/>
                      <w:color w:val="auto"/>
                      <w:kern w:val="0"/>
                      <w:sz w:val="21"/>
                      <w:szCs w:val="21"/>
                      <w:highlight w:val="none"/>
                      <w:lang w:val="en-US" w:eastAsia="zh-CN"/>
                    </w:rPr>
                    <w:t>214</w:t>
                  </w:r>
                  <w:r>
                    <w:rPr>
                      <w:rFonts w:hint="default" w:ascii="Times New Roman" w:hAnsi="Times New Roman" w:eastAsia="宋体" w:cs="Times New Roman"/>
                      <w:snapToGrid w:val="0"/>
                      <w:color w:val="auto"/>
                      <w:kern w:val="0"/>
                      <w:sz w:val="21"/>
                      <w:szCs w:val="21"/>
                      <w:highlight w:val="none"/>
                    </w:rPr>
                    <w:t>-</w:t>
                  </w:r>
                  <w:r>
                    <w:rPr>
                      <w:rFonts w:hint="eastAsia" w:cs="Times New Roman"/>
                      <w:snapToGrid w:val="0"/>
                      <w:color w:val="auto"/>
                      <w:kern w:val="0"/>
                      <w:sz w:val="21"/>
                      <w:szCs w:val="21"/>
                      <w:highlight w:val="none"/>
                      <w:lang w:val="en-US" w:eastAsia="zh-CN"/>
                    </w:rPr>
                    <w:t>08</w:t>
                  </w:r>
                </w:p>
              </w:tc>
              <w:tc>
                <w:tcPr>
                  <w:tcW w:w="777" w:type="dxa"/>
                  <w:shd w:val="clear" w:color="auto" w:fill="auto"/>
                  <w:vAlign w:val="center"/>
                </w:tcPr>
                <w:p w14:paraId="058CED39">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0.001</w:t>
                  </w:r>
                </w:p>
              </w:tc>
              <w:tc>
                <w:tcPr>
                  <w:tcW w:w="743" w:type="dxa"/>
                  <w:shd w:val="clear" w:color="auto" w:fill="auto"/>
                  <w:vAlign w:val="center"/>
                </w:tcPr>
                <w:p w14:paraId="7FAB58CE">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sz w:val="21"/>
                      <w:szCs w:val="21"/>
                      <w:highlight w:val="none"/>
                      <w:lang w:val="en-US" w:eastAsia="zh-CN"/>
                    </w:rPr>
                  </w:pPr>
                  <w:r>
                    <w:rPr>
                      <w:rFonts w:hint="default" w:ascii="Times New Roman"/>
                      <w:color w:val="auto"/>
                      <w:sz w:val="21"/>
                      <w:szCs w:val="21"/>
                      <w:highlight w:val="none"/>
                    </w:rPr>
                    <w:t>设备</w:t>
                  </w:r>
                  <w:r>
                    <w:rPr>
                      <w:rFonts w:hint="eastAsia" w:ascii="Times New Roman"/>
                      <w:color w:val="auto"/>
                      <w:sz w:val="21"/>
                      <w:szCs w:val="21"/>
                      <w:highlight w:val="none"/>
                      <w:lang w:val="en-US" w:eastAsia="zh-CN"/>
                    </w:rPr>
                    <w:t>维护</w:t>
                  </w:r>
                </w:p>
              </w:tc>
              <w:tc>
                <w:tcPr>
                  <w:tcW w:w="500" w:type="dxa"/>
                  <w:shd w:val="clear" w:color="auto" w:fill="auto"/>
                  <w:vAlign w:val="center"/>
                </w:tcPr>
                <w:p w14:paraId="758BB425">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液态</w:t>
                  </w:r>
                </w:p>
              </w:tc>
              <w:tc>
                <w:tcPr>
                  <w:tcW w:w="563" w:type="dxa"/>
                  <w:shd w:val="clear" w:color="auto" w:fill="auto"/>
                  <w:vAlign w:val="center"/>
                </w:tcPr>
                <w:p w14:paraId="15744B09">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矿物油</w:t>
                  </w:r>
                </w:p>
              </w:tc>
              <w:tc>
                <w:tcPr>
                  <w:tcW w:w="612" w:type="dxa"/>
                  <w:shd w:val="clear" w:color="auto" w:fill="auto"/>
                  <w:vAlign w:val="center"/>
                </w:tcPr>
                <w:p w14:paraId="117233DB">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矿物油</w:t>
                  </w:r>
                </w:p>
              </w:tc>
              <w:tc>
                <w:tcPr>
                  <w:tcW w:w="600" w:type="dxa"/>
                  <w:shd w:val="clear" w:color="auto" w:fill="auto"/>
                  <w:vAlign w:val="center"/>
                </w:tcPr>
                <w:p w14:paraId="7819BAC7">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1次/</w:t>
                  </w:r>
                  <w:r>
                    <w:rPr>
                      <w:rFonts w:hint="eastAsia" w:ascii="Times New Roman" w:hAnsi="Times New Roman" w:eastAsia="宋体" w:cs="Times New Roman"/>
                      <w:color w:val="auto"/>
                      <w:sz w:val="21"/>
                      <w:szCs w:val="21"/>
                      <w:highlight w:val="none"/>
                      <w:lang w:val="en-US" w:eastAsia="zh-CN"/>
                    </w:rPr>
                    <w:t>a</w:t>
                  </w:r>
                </w:p>
              </w:tc>
              <w:tc>
                <w:tcPr>
                  <w:tcW w:w="563" w:type="dxa"/>
                  <w:shd w:val="clear" w:color="auto" w:fill="auto"/>
                  <w:vAlign w:val="center"/>
                </w:tcPr>
                <w:p w14:paraId="68942905">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rPr>
                  </w:pPr>
                  <w:r>
                    <w:rPr>
                      <w:rFonts w:hint="default" w:ascii="Times New Roman"/>
                      <w:color w:val="auto"/>
                      <w:sz w:val="21"/>
                      <w:szCs w:val="21"/>
                      <w:highlight w:val="none"/>
                    </w:rPr>
                    <w:t>T、I</w:t>
                  </w:r>
                </w:p>
              </w:tc>
              <w:tc>
                <w:tcPr>
                  <w:tcW w:w="853" w:type="dxa"/>
                  <w:vMerge w:val="continue"/>
                  <w:vAlign w:val="center"/>
                </w:tcPr>
                <w:p w14:paraId="06FC26A7">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r w14:paraId="3BE787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443" w:type="dxa"/>
                  <w:shd w:val="clear" w:color="auto" w:fill="auto"/>
                  <w:vAlign w:val="center"/>
                </w:tcPr>
                <w:p w14:paraId="74120C1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4</w:t>
                  </w:r>
                </w:p>
              </w:tc>
              <w:tc>
                <w:tcPr>
                  <w:tcW w:w="642" w:type="dxa"/>
                  <w:shd w:val="clear" w:color="auto" w:fill="auto"/>
                  <w:vAlign w:val="center"/>
                </w:tcPr>
                <w:p w14:paraId="2A51B79B">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废机油桶</w:t>
                  </w:r>
                </w:p>
              </w:tc>
              <w:tc>
                <w:tcPr>
                  <w:tcW w:w="776" w:type="dxa"/>
                  <w:shd w:val="clear" w:color="auto" w:fill="auto"/>
                  <w:vAlign w:val="center"/>
                </w:tcPr>
                <w:p w14:paraId="3F16A3A2">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sz w:val="21"/>
                      <w:szCs w:val="21"/>
                      <w:highlight w:val="none"/>
                      <w:lang w:val="en-US" w:eastAsia="zh-CN"/>
                    </w:rPr>
                  </w:pPr>
                  <w:r>
                    <w:rPr>
                      <w:rFonts w:hint="default" w:ascii="Times New Roman"/>
                      <w:color w:val="auto"/>
                      <w:sz w:val="21"/>
                      <w:szCs w:val="21"/>
                      <w:highlight w:val="none"/>
                    </w:rPr>
                    <w:t>HW08</w:t>
                  </w:r>
                </w:p>
              </w:tc>
              <w:tc>
                <w:tcPr>
                  <w:tcW w:w="1241" w:type="dxa"/>
                  <w:shd w:val="clear" w:color="auto" w:fill="auto"/>
                  <w:vAlign w:val="center"/>
                </w:tcPr>
                <w:p w14:paraId="6BF929B2">
                  <w:pPr>
                    <w:keepNext w:val="0"/>
                    <w:keepLines w:val="0"/>
                    <w:widowControl/>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z w:val="21"/>
                      <w:szCs w:val="21"/>
                      <w:highlight w:val="none"/>
                    </w:rPr>
                    <w:t>900-</w:t>
                  </w:r>
                  <w:r>
                    <w:rPr>
                      <w:rFonts w:hint="eastAsia" w:ascii="Times New Roman" w:hAnsi="Times New Roman" w:eastAsia="宋体" w:cs="Times New Roman"/>
                      <w:sz w:val="21"/>
                      <w:szCs w:val="21"/>
                      <w:highlight w:val="none"/>
                      <w:lang w:val="en-US" w:eastAsia="zh-CN"/>
                    </w:rPr>
                    <w:t>249-08</w:t>
                  </w:r>
                </w:p>
              </w:tc>
              <w:tc>
                <w:tcPr>
                  <w:tcW w:w="777" w:type="dxa"/>
                  <w:shd w:val="clear" w:color="auto" w:fill="auto"/>
                  <w:vAlign w:val="center"/>
                </w:tcPr>
                <w:p w14:paraId="2DDB3110">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0.001</w:t>
                  </w:r>
                </w:p>
              </w:tc>
              <w:tc>
                <w:tcPr>
                  <w:tcW w:w="743" w:type="dxa"/>
                  <w:shd w:val="clear" w:color="auto" w:fill="auto"/>
                  <w:vAlign w:val="center"/>
                </w:tcPr>
                <w:p w14:paraId="774F7F02">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sz w:val="21"/>
                      <w:szCs w:val="21"/>
                      <w:highlight w:val="none"/>
                      <w:lang w:val="en-US" w:eastAsia="zh-CN"/>
                    </w:rPr>
                  </w:pPr>
                  <w:r>
                    <w:rPr>
                      <w:rFonts w:hint="default" w:ascii="Times New Roman"/>
                      <w:color w:val="auto"/>
                      <w:sz w:val="21"/>
                      <w:szCs w:val="21"/>
                      <w:highlight w:val="none"/>
                    </w:rPr>
                    <w:t>设备</w:t>
                  </w:r>
                  <w:r>
                    <w:rPr>
                      <w:rFonts w:hint="eastAsia" w:ascii="Times New Roman"/>
                      <w:color w:val="auto"/>
                      <w:sz w:val="21"/>
                      <w:szCs w:val="21"/>
                      <w:highlight w:val="none"/>
                      <w:lang w:val="en-US" w:eastAsia="zh-CN"/>
                    </w:rPr>
                    <w:t>维护</w:t>
                  </w:r>
                </w:p>
              </w:tc>
              <w:tc>
                <w:tcPr>
                  <w:tcW w:w="500" w:type="dxa"/>
                  <w:shd w:val="clear" w:color="auto" w:fill="auto"/>
                  <w:vAlign w:val="center"/>
                </w:tcPr>
                <w:p w14:paraId="4252D21E">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rPr>
                    <w:t>固态</w:t>
                  </w:r>
                </w:p>
              </w:tc>
              <w:tc>
                <w:tcPr>
                  <w:tcW w:w="563" w:type="dxa"/>
                  <w:shd w:val="clear" w:color="auto" w:fill="auto"/>
                  <w:vAlign w:val="center"/>
                </w:tcPr>
                <w:p w14:paraId="577C98FB">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矿物油</w:t>
                  </w:r>
                </w:p>
              </w:tc>
              <w:tc>
                <w:tcPr>
                  <w:tcW w:w="612" w:type="dxa"/>
                  <w:shd w:val="clear" w:color="auto" w:fill="auto"/>
                  <w:vAlign w:val="center"/>
                </w:tcPr>
                <w:p w14:paraId="5F6FAC8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矿物油</w:t>
                  </w:r>
                </w:p>
              </w:tc>
              <w:tc>
                <w:tcPr>
                  <w:tcW w:w="600" w:type="dxa"/>
                  <w:shd w:val="clear" w:color="auto" w:fill="auto"/>
                  <w:vAlign w:val="center"/>
                </w:tcPr>
                <w:p w14:paraId="4D608FB7">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1次/</w:t>
                  </w:r>
                  <w:r>
                    <w:rPr>
                      <w:rFonts w:hint="eastAsia" w:ascii="Times New Roman" w:hAnsi="Times New Roman" w:eastAsia="宋体" w:cs="Times New Roman"/>
                      <w:color w:val="auto"/>
                      <w:sz w:val="21"/>
                      <w:szCs w:val="21"/>
                      <w:highlight w:val="none"/>
                      <w:lang w:val="en-US" w:eastAsia="zh-CN"/>
                    </w:rPr>
                    <w:t>a</w:t>
                  </w:r>
                </w:p>
              </w:tc>
              <w:tc>
                <w:tcPr>
                  <w:tcW w:w="563" w:type="dxa"/>
                  <w:shd w:val="clear" w:color="auto" w:fill="auto"/>
                  <w:vAlign w:val="center"/>
                </w:tcPr>
                <w:p w14:paraId="166C740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T、I</w:t>
                  </w:r>
                </w:p>
              </w:tc>
              <w:tc>
                <w:tcPr>
                  <w:tcW w:w="853" w:type="dxa"/>
                  <w:vMerge w:val="continue"/>
                  <w:vAlign w:val="center"/>
                </w:tcPr>
                <w:p w14:paraId="66D737B6">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r w14:paraId="4B5697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443" w:type="dxa"/>
                  <w:shd w:val="clear" w:color="auto" w:fill="auto"/>
                  <w:vAlign w:val="center"/>
                </w:tcPr>
                <w:p w14:paraId="69C5D28A">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5</w:t>
                  </w:r>
                </w:p>
              </w:tc>
              <w:tc>
                <w:tcPr>
                  <w:tcW w:w="642" w:type="dxa"/>
                  <w:shd w:val="clear" w:color="auto" w:fill="auto"/>
                  <w:vAlign w:val="center"/>
                </w:tcPr>
                <w:p w14:paraId="652AF004">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废铅酸电池</w:t>
                  </w:r>
                </w:p>
              </w:tc>
              <w:tc>
                <w:tcPr>
                  <w:tcW w:w="776" w:type="dxa"/>
                  <w:shd w:val="clear" w:color="auto" w:fill="auto"/>
                  <w:vAlign w:val="center"/>
                </w:tcPr>
                <w:p w14:paraId="3B46BB45">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HW31</w:t>
                  </w:r>
                </w:p>
              </w:tc>
              <w:tc>
                <w:tcPr>
                  <w:tcW w:w="1241" w:type="dxa"/>
                  <w:shd w:val="clear" w:color="auto" w:fill="auto"/>
                  <w:vAlign w:val="center"/>
                </w:tcPr>
                <w:p w14:paraId="238B1C89">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900-052-31</w:t>
                  </w:r>
                </w:p>
              </w:tc>
              <w:tc>
                <w:tcPr>
                  <w:tcW w:w="777" w:type="dxa"/>
                  <w:shd w:val="clear" w:color="auto" w:fill="auto"/>
                  <w:vAlign w:val="center"/>
                </w:tcPr>
                <w:p w14:paraId="2AD27EC6">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0.02</w:t>
                  </w:r>
                </w:p>
              </w:tc>
              <w:tc>
                <w:tcPr>
                  <w:tcW w:w="743" w:type="dxa"/>
                  <w:shd w:val="clear" w:color="auto" w:fill="auto"/>
                  <w:vAlign w:val="center"/>
                </w:tcPr>
                <w:p w14:paraId="685644F3">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叉车</w:t>
                  </w:r>
                </w:p>
              </w:tc>
              <w:tc>
                <w:tcPr>
                  <w:tcW w:w="500" w:type="dxa"/>
                  <w:shd w:val="clear" w:color="auto" w:fill="auto"/>
                  <w:vAlign w:val="center"/>
                </w:tcPr>
                <w:p w14:paraId="50A00202">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rPr>
                    <w:t>固态</w:t>
                  </w:r>
                </w:p>
              </w:tc>
              <w:tc>
                <w:tcPr>
                  <w:tcW w:w="563" w:type="dxa"/>
                  <w:shd w:val="clear" w:color="auto" w:fill="auto"/>
                  <w:vAlign w:val="center"/>
                </w:tcPr>
                <w:p w14:paraId="2579D780">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铅等</w:t>
                  </w:r>
                </w:p>
              </w:tc>
              <w:tc>
                <w:tcPr>
                  <w:tcW w:w="612" w:type="dxa"/>
                  <w:shd w:val="clear" w:color="auto" w:fill="auto"/>
                  <w:vAlign w:val="center"/>
                </w:tcPr>
                <w:p w14:paraId="4E4D1BFF">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铅</w:t>
                  </w:r>
                </w:p>
              </w:tc>
              <w:tc>
                <w:tcPr>
                  <w:tcW w:w="600" w:type="dxa"/>
                  <w:shd w:val="clear" w:color="auto" w:fill="auto"/>
                  <w:vAlign w:val="center"/>
                </w:tcPr>
                <w:p w14:paraId="7F37DEF3">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rPr>
                    <w:t>1次/</w:t>
                  </w:r>
                  <w:r>
                    <w:rPr>
                      <w:rFonts w:hint="eastAsia" w:ascii="Times New Roman" w:hAnsi="Times New Roman" w:eastAsia="宋体" w:cs="Times New Roman"/>
                      <w:color w:val="auto"/>
                      <w:sz w:val="21"/>
                      <w:szCs w:val="21"/>
                      <w:highlight w:val="none"/>
                      <w:lang w:val="en-US" w:eastAsia="zh-CN"/>
                    </w:rPr>
                    <w:t>a</w:t>
                  </w:r>
                </w:p>
              </w:tc>
              <w:tc>
                <w:tcPr>
                  <w:tcW w:w="563" w:type="dxa"/>
                  <w:shd w:val="clear" w:color="auto" w:fill="auto"/>
                  <w:vAlign w:val="center"/>
                </w:tcPr>
                <w:p w14:paraId="1D70FDE6">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rPr>
                    <w:t>T</w:t>
                  </w:r>
                </w:p>
              </w:tc>
              <w:tc>
                <w:tcPr>
                  <w:tcW w:w="853" w:type="dxa"/>
                  <w:vMerge w:val="continue"/>
                  <w:vAlign w:val="center"/>
                </w:tcPr>
                <w:p w14:paraId="12C93082">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bl>
          <w:p w14:paraId="7EF105C4">
            <w:pPr>
              <w:pStyle w:val="16"/>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4.3.1危险废物贮存场所环境影响分析</w:t>
            </w:r>
          </w:p>
          <w:p w14:paraId="512FE119">
            <w:pPr>
              <w:pStyle w:val="16"/>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项目危险废物暂存间所在地不在江河、湖泊、运河、渠道、水库及其最高水位线以下 的滩地和岸坡，以及法律法规规定禁止贮存危险废物的其他地点，选址满足《危险废物贮存污染控制标准》（GB18597-2023）中要求。</w:t>
            </w:r>
          </w:p>
          <w:p w14:paraId="07F0AC64">
            <w:pPr>
              <w:pStyle w:val="16"/>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项目危废暂存间位于</w:t>
            </w:r>
            <w:r>
              <w:rPr>
                <w:rFonts w:hint="eastAsia" w:ascii="Times New Roman" w:hAnsi="Times New Roman"/>
                <w:color w:val="auto"/>
                <w:sz w:val="24"/>
                <w:szCs w:val="24"/>
                <w:highlight w:val="none"/>
                <w:lang w:val="en-US" w:eastAsia="zh-CN"/>
              </w:rPr>
              <w:t>厂房外东南</w:t>
            </w:r>
            <w:r>
              <w:rPr>
                <w:rFonts w:hint="default" w:ascii="Times New Roman" w:hAnsi="Times New Roman"/>
                <w:color w:val="auto"/>
                <w:sz w:val="24"/>
                <w:szCs w:val="24"/>
                <w:highlight w:val="none"/>
              </w:rPr>
              <w:t xml:space="preserve">侧，总面积为 </w:t>
            </w:r>
            <w:r>
              <w:rPr>
                <w:rFonts w:hint="eastAsia" w:ascii="Times New Roman" w:hAnsi="Times New Roman"/>
                <w:color w:val="auto"/>
                <w:sz w:val="24"/>
                <w:szCs w:val="24"/>
                <w:highlight w:val="none"/>
                <w:lang w:val="en-US" w:eastAsia="zh-CN"/>
              </w:rPr>
              <w:t>3</w:t>
            </w:r>
            <w:r>
              <w:rPr>
                <w:rFonts w:hint="default" w:ascii="Times New Roman" w:hAnsi="Times New Roman"/>
                <w:color w:val="auto"/>
                <w:sz w:val="24"/>
                <w:szCs w:val="24"/>
                <w:highlight w:val="none"/>
              </w:rPr>
              <w:t>m</w:t>
            </w:r>
            <w:r>
              <w:rPr>
                <w:rFonts w:hint="default" w:ascii="Times New Roman" w:hAnsi="Times New Roman"/>
                <w:color w:val="auto"/>
                <w:sz w:val="24"/>
                <w:szCs w:val="24"/>
                <w:highlight w:val="none"/>
                <w:vertAlign w:val="superscript"/>
              </w:rPr>
              <w:t>2</w:t>
            </w:r>
            <w:r>
              <w:rPr>
                <w:rFonts w:hint="default" w:ascii="Times New Roman" w:hAnsi="Times New Roman"/>
                <w:color w:val="auto"/>
                <w:sz w:val="24"/>
                <w:szCs w:val="24"/>
                <w:highlight w:val="none"/>
              </w:rPr>
              <w:t>，主要用于存放本项目所产生的危险废物。项目危险废物产生量较小，危废暂存间满足临时贮存要求。</w:t>
            </w:r>
          </w:p>
          <w:p w14:paraId="1AA2B64B">
            <w:pPr>
              <w:pStyle w:val="1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危废间建设要求</w:t>
            </w:r>
          </w:p>
          <w:p w14:paraId="7F7153BD">
            <w:pPr>
              <w:keepNext w:val="0"/>
              <w:keepLines w:val="0"/>
              <w:suppressLineNumbers w:val="0"/>
              <w:overflowPunct w:val="0"/>
              <w:topLinePunct/>
              <w:adjustRightInd w:val="0"/>
              <w:snapToGrid w:val="0"/>
              <w:spacing w:before="0" w:beforeAutospacing="0" w:after="0" w:afterAutospacing="0" w:line="360" w:lineRule="auto"/>
              <w:ind w:left="0" w:right="0" w:firstLine="480" w:firstLineChars="200"/>
              <w:jc w:val="left"/>
              <w:textAlignment w:val="baseline"/>
              <w:rPr>
                <w:rFonts w:hint="eastAsia" w:eastAsia="宋体"/>
                <w:color w:val="auto"/>
                <w:kern w:val="0"/>
                <w:sz w:val="24"/>
                <w:highlight w:val="none"/>
                <w:lang w:eastAsia="zh-CN"/>
              </w:rPr>
            </w:pPr>
            <w:r>
              <w:rPr>
                <w:rFonts w:hint="default"/>
                <w:color w:val="auto"/>
                <w:kern w:val="0"/>
                <w:sz w:val="24"/>
                <w:highlight w:val="none"/>
              </w:rPr>
              <w:t>危废间按照《危险废物贮存污染控制标准》（GB18597-2023）要求建设，采取了必要的防风、防晒、防雨、防漏、防渗、防腐以及其他环境污染防治措施，危废间地面和墙体采用坚固的材料建造，表面无裂缝。危废暂存间地面、1.0m高墙裙采取防渗措施，防渗层为至少 2 mm 厚高密度聚乙烯膜等人工防渗材料（渗透系数不大于 10</w:t>
            </w:r>
            <w:r>
              <w:rPr>
                <w:rFonts w:hint="default"/>
                <w:color w:val="auto"/>
                <w:kern w:val="0"/>
                <w:sz w:val="24"/>
                <w:highlight w:val="none"/>
                <w:vertAlign w:val="superscript"/>
              </w:rPr>
              <w:t>-10</w:t>
            </w:r>
            <w:r>
              <w:rPr>
                <w:rFonts w:hint="default"/>
                <w:color w:val="auto"/>
                <w:kern w:val="0"/>
                <w:sz w:val="24"/>
                <w:highlight w:val="none"/>
              </w:rPr>
              <w:t>cm/s）。项目危废贮存过程通过桶装加盖密闭的方式，控制大气污染物排放。同时采取技术和管理措施防止无关人员进入。最终定期交由有资质的危险废物处置单位处置。危险废物按危废相关标准要求进行收运管理，并做好交接记录台账，并按危险废物转移“五联单”要求留档</w:t>
            </w:r>
            <w:r>
              <w:rPr>
                <w:rFonts w:hint="eastAsia"/>
                <w:color w:val="auto"/>
                <w:kern w:val="0"/>
                <w:sz w:val="24"/>
                <w:highlight w:val="none"/>
                <w:lang w:eastAsia="zh-CN"/>
              </w:rPr>
              <w:t>。</w:t>
            </w:r>
          </w:p>
          <w:p w14:paraId="500AA7F7">
            <w:pPr>
              <w:keepNext w:val="0"/>
              <w:keepLines w:val="0"/>
              <w:suppressLineNumbers w:val="0"/>
              <w:overflowPunct w:val="0"/>
              <w:topLinePunct/>
              <w:adjustRightInd w:val="0"/>
              <w:snapToGrid w:val="0"/>
              <w:spacing w:before="0" w:beforeAutospacing="0" w:after="0" w:afterAutospacing="0" w:line="360" w:lineRule="auto"/>
              <w:ind w:left="0" w:right="0" w:firstLine="480" w:firstLineChars="200"/>
              <w:jc w:val="left"/>
              <w:textAlignment w:val="baseline"/>
              <w:rPr>
                <w:rFonts w:hint="default"/>
                <w:color w:val="auto"/>
                <w:kern w:val="0"/>
                <w:highlight w:val="none"/>
              </w:rPr>
            </w:pPr>
            <w:r>
              <w:rPr>
                <w:rFonts w:hint="default"/>
                <w:color w:val="auto"/>
                <w:kern w:val="0"/>
                <w:sz w:val="24"/>
                <w:highlight w:val="none"/>
              </w:rPr>
              <w:t>项目危废间总面积为</w:t>
            </w:r>
            <w:r>
              <w:rPr>
                <w:rFonts w:hint="eastAsia"/>
                <w:color w:val="auto"/>
                <w:kern w:val="0"/>
                <w:sz w:val="24"/>
                <w:highlight w:val="none"/>
                <w:lang w:val="en-US" w:eastAsia="zh-CN"/>
              </w:rPr>
              <w:t>3</w:t>
            </w:r>
            <w:r>
              <w:rPr>
                <w:rFonts w:hint="default"/>
                <w:color w:val="auto"/>
                <w:kern w:val="0"/>
                <w:sz w:val="24"/>
                <w:highlight w:val="none"/>
              </w:rPr>
              <w:t>m</w:t>
            </w:r>
            <w:r>
              <w:rPr>
                <w:rFonts w:hint="default"/>
                <w:color w:val="auto"/>
                <w:kern w:val="0"/>
                <w:sz w:val="24"/>
                <w:highlight w:val="none"/>
                <w:vertAlign w:val="superscript"/>
              </w:rPr>
              <w:t>2</w:t>
            </w:r>
            <w:r>
              <w:rPr>
                <w:rFonts w:hint="default"/>
                <w:color w:val="auto"/>
                <w:kern w:val="0"/>
                <w:sz w:val="24"/>
                <w:highlight w:val="none"/>
              </w:rPr>
              <w:t>，主要用于存放各类危废。危废间最大存储量约</w:t>
            </w:r>
            <w:r>
              <w:rPr>
                <w:rFonts w:hint="eastAsia"/>
                <w:color w:val="auto"/>
                <w:kern w:val="0"/>
                <w:sz w:val="24"/>
                <w:highlight w:val="none"/>
                <w:lang w:val="en-US" w:eastAsia="zh-CN"/>
              </w:rPr>
              <w:t>1</w:t>
            </w:r>
            <w:r>
              <w:rPr>
                <w:rFonts w:hint="default"/>
                <w:color w:val="auto"/>
                <w:kern w:val="0"/>
                <w:sz w:val="24"/>
                <w:highlight w:val="none"/>
              </w:rPr>
              <w:t>t/a，本项目危险废物最大产生量为</w:t>
            </w:r>
            <w:r>
              <w:rPr>
                <w:rFonts w:hint="eastAsia"/>
                <w:color w:val="auto"/>
                <w:kern w:val="0"/>
                <w:sz w:val="24"/>
                <w:highlight w:val="none"/>
              </w:rPr>
              <w:t>0.</w:t>
            </w:r>
            <w:r>
              <w:rPr>
                <w:rFonts w:hint="eastAsia"/>
                <w:color w:val="auto"/>
                <w:kern w:val="0"/>
                <w:sz w:val="24"/>
                <w:highlight w:val="none"/>
                <w:lang w:val="en-US" w:eastAsia="zh-CN"/>
              </w:rPr>
              <w:t>062</w:t>
            </w:r>
            <w:r>
              <w:rPr>
                <w:rFonts w:hint="default"/>
                <w:color w:val="auto"/>
                <w:kern w:val="0"/>
                <w:sz w:val="24"/>
                <w:highlight w:val="none"/>
              </w:rPr>
              <w:t>t/a，可以满足本项目危废的存储</w:t>
            </w:r>
            <w:r>
              <w:rPr>
                <w:rFonts w:hint="eastAsia"/>
                <w:color w:val="auto"/>
                <w:kern w:val="0"/>
                <w:highlight w:val="none"/>
              </w:rPr>
              <w:t>。</w:t>
            </w:r>
          </w:p>
          <w:p w14:paraId="43DA8F63">
            <w:pPr>
              <w:pStyle w:val="16"/>
              <w:keepNext w:val="0"/>
              <w:keepLines w:val="0"/>
              <w:suppressLineNumbers w:val="0"/>
              <w:adjustRightInd w:val="0"/>
              <w:snapToGrid w:val="0"/>
              <w:spacing w:before="0" w:beforeAutospacing="0" w:after="0" w:afterAutospacing="0" w:line="360" w:lineRule="auto"/>
              <w:ind w:left="0" w:right="0" w:firstLine="482" w:firstLineChars="200"/>
              <w:jc w:val="left"/>
              <w:rPr>
                <w:rFonts w:hint="default" w:ascii="Times New Roman" w:hAnsi="Times New Roman"/>
                <w:b/>
                <w:bCs/>
                <w:color w:val="auto"/>
                <w:sz w:val="24"/>
                <w:szCs w:val="24"/>
                <w:highlight w:val="none"/>
              </w:rPr>
            </w:pPr>
            <w:r>
              <w:rPr>
                <w:rFonts w:hint="default" w:ascii="Times New Roman" w:hAnsi="Times New Roman"/>
                <w:b/>
                <w:bCs/>
                <w:color w:val="auto"/>
                <w:sz w:val="24"/>
                <w:szCs w:val="24"/>
                <w:highlight w:val="none"/>
              </w:rPr>
              <w:t>危险废物的堆放要求</w:t>
            </w:r>
          </w:p>
          <w:p w14:paraId="32BBAEF2">
            <w:pPr>
              <w:pStyle w:val="16"/>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1、堆放危险废物的高度应根据地面承载能力确定；</w:t>
            </w:r>
          </w:p>
          <w:p w14:paraId="6533358E">
            <w:pPr>
              <w:pStyle w:val="16"/>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2、衬里放在一个基础或底座上；</w:t>
            </w:r>
          </w:p>
          <w:p w14:paraId="789A78E6">
            <w:pPr>
              <w:pStyle w:val="16"/>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3、衬里要能够覆盖危险废物或其溶出物可能涉及的范围；</w:t>
            </w:r>
          </w:p>
          <w:p w14:paraId="591D1A78">
            <w:pPr>
              <w:pStyle w:val="16"/>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4、衬里材料与堆放危险废物相容；</w:t>
            </w:r>
          </w:p>
          <w:p w14:paraId="4C8D64CE">
            <w:pPr>
              <w:pStyle w:val="16"/>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5、在衬里上设计、建造浸出液收集清除系统；</w:t>
            </w:r>
          </w:p>
          <w:p w14:paraId="67610C4C">
            <w:pPr>
              <w:pStyle w:val="16"/>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6、应设计建造径流疏导系统，保证能防止25年一遇的暴雨不会流到危险废物堆里；</w:t>
            </w:r>
          </w:p>
          <w:p w14:paraId="1121BB2B">
            <w:pPr>
              <w:pStyle w:val="16"/>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7、危险废物堆内设计雨水收集池，并能收集25年一遇的暴雨24小时降水量；</w:t>
            </w:r>
          </w:p>
          <w:p w14:paraId="3C9F59DB">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8、危险废物需防盗、防渗、防雨；</w:t>
            </w:r>
          </w:p>
          <w:p w14:paraId="2B1311F8">
            <w:pPr>
              <w:pStyle w:val="16"/>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9、产生量大的危险废物可以散装方式堆放贮存在按上述要求设计废物堆里；</w:t>
            </w:r>
          </w:p>
          <w:p w14:paraId="15A50E18">
            <w:pPr>
              <w:pStyle w:val="16"/>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10、不相容的危险废物不能堆放在一起；</w:t>
            </w:r>
          </w:p>
          <w:p w14:paraId="2D29C688">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11、总贮存量不超过300kg(L)的危险废物要放入符合标准的容器内，加上标签，容器放入坚固的柜或箱中，柜或箱应设多个直径不少于30毫米的排气孔。不相容危险废物要分别存放或存放在不渗透间隔分开的区域内，每个部分都应有防漏裙脚或储漏盘，防漏裙脚或储漏盘的材料要与危险废物相容。</w:t>
            </w:r>
          </w:p>
          <w:p w14:paraId="2913145F">
            <w:pPr>
              <w:pStyle w:val="16"/>
              <w:keepNext w:val="0"/>
              <w:keepLines w:val="0"/>
              <w:suppressLineNumbers w:val="0"/>
              <w:adjustRightInd w:val="0"/>
              <w:snapToGrid w:val="0"/>
              <w:spacing w:before="0" w:beforeAutospacing="0" w:after="0" w:afterAutospacing="0" w:line="360" w:lineRule="auto"/>
              <w:ind w:left="0" w:right="0" w:firstLine="482" w:firstLineChars="200"/>
              <w:jc w:val="left"/>
              <w:rPr>
                <w:rFonts w:hint="default" w:ascii="Times New Roman" w:hAnsi="Times New Roman"/>
                <w:b/>
                <w:bCs/>
                <w:color w:val="auto"/>
                <w:sz w:val="24"/>
                <w:szCs w:val="24"/>
                <w:highlight w:val="none"/>
              </w:rPr>
            </w:pPr>
            <w:r>
              <w:rPr>
                <w:rFonts w:hint="default" w:ascii="Times New Roman" w:hAnsi="Times New Roman"/>
                <w:b/>
                <w:bCs/>
                <w:color w:val="auto"/>
                <w:sz w:val="24"/>
                <w:szCs w:val="24"/>
                <w:highlight w:val="none"/>
              </w:rPr>
              <w:t>危险废物台账要求</w:t>
            </w:r>
          </w:p>
          <w:p w14:paraId="5C0139FB">
            <w:pPr>
              <w:pStyle w:val="16"/>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1、产生危险废物的单位应建立危险废物管理台账，落实危险废物管理台账记录的责任人，明确工作职责，并对危险废物管理台账的真实性、准确性和完整性负法律责任。</w:t>
            </w:r>
          </w:p>
          <w:p w14:paraId="361A383D">
            <w:pPr>
              <w:pStyle w:val="16"/>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2、产生危险废物的单位应根据危险废物产生、贮存、利用、处置等环节的动态流向，如实建立各环节的危险废物管理台账。</w:t>
            </w:r>
          </w:p>
          <w:p w14:paraId="26EC3EC6">
            <w:pPr>
              <w:pStyle w:val="16"/>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3、危险废物管理台账分为电子管理台账和纸质管理台账两种形式。产生危险废物的单位可通过国家危险废物信息管理系统、企业自建信息管理系统或第三方平台等方式记录电子管理台账，危险废物管理台账保存期限不少于10年台账记录表各表单的负责人对记录信息的真实性、完整性和规范性负责，并根据主管部门要求进行公开。</w:t>
            </w:r>
          </w:p>
          <w:p w14:paraId="5030F7C3">
            <w:pPr>
              <w:pStyle w:val="16"/>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4.3.2运输过程环境影响分析</w:t>
            </w:r>
          </w:p>
          <w:p w14:paraId="7FCC9075">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危险废物从设备产生后，直接装入专业容器内，密封后运至危废间。要求危险废物由产生点至危废间的运输过程，应严格按照《危险废物收集贮存运输技术规范》的要求进行。危废间位于厂</w:t>
            </w:r>
            <w:r>
              <w:rPr>
                <w:rFonts w:hint="eastAsia"/>
                <w:color w:val="auto"/>
                <w:sz w:val="24"/>
                <w:szCs w:val="24"/>
                <w:highlight w:val="none"/>
                <w:lang w:val="en-US" w:eastAsia="zh-CN"/>
              </w:rPr>
              <w:t>房</w:t>
            </w:r>
            <w:r>
              <w:rPr>
                <w:rFonts w:hint="default" w:ascii="Times New Roman" w:hAnsi="Times New Roman"/>
                <w:color w:val="auto"/>
                <w:sz w:val="24"/>
                <w:szCs w:val="24"/>
                <w:highlight w:val="none"/>
              </w:rPr>
              <w:t>内，危险废物产生点距离危废间的最远距离不建议超过100m左右。由于装有危险废物的容器保持密封，由专用车辆运输，危险废物产生点距离危废间较近，危险废物从产生点至贮存库的运输过程不会对周边环境造成不利影响。</w:t>
            </w:r>
          </w:p>
          <w:p w14:paraId="066D13D2">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4.3.3危废暂存间建设可行性分析</w:t>
            </w:r>
          </w:p>
          <w:p w14:paraId="371BB850">
            <w:pPr>
              <w:pStyle w:val="58"/>
              <w:keepNext w:val="0"/>
              <w:keepLines w:val="0"/>
              <w:suppressLineNumbers w:val="0"/>
              <w:spacing w:before="0" w:beforeAutospacing="0" w:after="0" w:afterAutospacing="0" w:line="240" w:lineRule="auto"/>
              <w:ind w:left="0" w:right="0" w:firstLine="482"/>
              <w:rPr>
                <w:rFonts w:hint="default"/>
                <w:bCs/>
                <w:color w:val="auto"/>
                <w:highlight w:val="none"/>
              </w:rPr>
            </w:pPr>
            <w:r>
              <w:rPr>
                <w:rFonts w:hint="default"/>
                <w:bCs/>
                <w:color w:val="auto"/>
                <w:highlight w:val="none"/>
              </w:rPr>
              <w:t>表4-</w:t>
            </w:r>
            <w:r>
              <w:rPr>
                <w:rFonts w:hint="eastAsia"/>
                <w:bCs/>
                <w:color w:val="auto"/>
                <w:highlight w:val="none"/>
              </w:rPr>
              <w:t>1</w:t>
            </w:r>
            <w:r>
              <w:rPr>
                <w:rFonts w:hint="eastAsia"/>
                <w:bCs/>
                <w:color w:val="auto"/>
                <w:highlight w:val="none"/>
                <w:lang w:val="en-US" w:eastAsia="zh-CN"/>
              </w:rPr>
              <w:t>2</w:t>
            </w:r>
            <w:r>
              <w:rPr>
                <w:rFonts w:hint="default"/>
                <w:bCs/>
                <w:color w:val="auto"/>
                <w:highlight w:val="none"/>
              </w:rPr>
              <w:t xml:space="preserve">  危险废物贮存情况表</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8"/>
              <w:gridCol w:w="855"/>
              <w:gridCol w:w="1309"/>
              <w:gridCol w:w="898"/>
              <w:gridCol w:w="1394"/>
              <w:gridCol w:w="696"/>
              <w:gridCol w:w="736"/>
              <w:gridCol w:w="675"/>
              <w:gridCol w:w="673"/>
              <w:gridCol w:w="656"/>
            </w:tblGrid>
            <w:tr w14:paraId="0371A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257" w:type="pct"/>
                  <w:vAlign w:val="center"/>
                </w:tcPr>
                <w:p w14:paraId="3D7A998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序号</w:t>
                  </w:r>
                </w:p>
              </w:tc>
              <w:tc>
                <w:tcPr>
                  <w:tcW w:w="513" w:type="pct"/>
                  <w:vAlign w:val="center"/>
                </w:tcPr>
                <w:p w14:paraId="235FFA7A">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贮存场所名称</w:t>
                  </w:r>
                </w:p>
              </w:tc>
              <w:tc>
                <w:tcPr>
                  <w:tcW w:w="786" w:type="pct"/>
                  <w:vAlign w:val="center"/>
                </w:tcPr>
                <w:p w14:paraId="3418E387">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危险废物名称</w:t>
                  </w:r>
                </w:p>
              </w:tc>
              <w:tc>
                <w:tcPr>
                  <w:tcW w:w="539" w:type="pct"/>
                  <w:vAlign w:val="center"/>
                </w:tcPr>
                <w:p w14:paraId="39DD7747">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危险废物类别</w:t>
                  </w:r>
                </w:p>
              </w:tc>
              <w:tc>
                <w:tcPr>
                  <w:tcW w:w="837" w:type="pct"/>
                  <w:vAlign w:val="center"/>
                </w:tcPr>
                <w:p w14:paraId="0035B258">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危险废物代码</w:t>
                  </w:r>
                </w:p>
              </w:tc>
              <w:tc>
                <w:tcPr>
                  <w:tcW w:w="418" w:type="pct"/>
                  <w:vAlign w:val="center"/>
                </w:tcPr>
                <w:p w14:paraId="27077B6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贮存方式</w:t>
                  </w:r>
                </w:p>
              </w:tc>
              <w:tc>
                <w:tcPr>
                  <w:tcW w:w="442" w:type="pct"/>
                  <w:vAlign w:val="center"/>
                </w:tcPr>
                <w:p w14:paraId="65155F4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占地面积</w:t>
                  </w:r>
                </w:p>
              </w:tc>
              <w:tc>
                <w:tcPr>
                  <w:tcW w:w="405" w:type="pct"/>
                  <w:vAlign w:val="center"/>
                </w:tcPr>
                <w:p w14:paraId="7FF4241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位置</w:t>
                  </w:r>
                </w:p>
              </w:tc>
              <w:tc>
                <w:tcPr>
                  <w:tcW w:w="404" w:type="pct"/>
                  <w:vAlign w:val="center"/>
                </w:tcPr>
                <w:p w14:paraId="541A752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贮存</w:t>
                  </w:r>
                </w:p>
                <w:p w14:paraId="160C51E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能力</w:t>
                  </w:r>
                </w:p>
              </w:tc>
              <w:tc>
                <w:tcPr>
                  <w:tcW w:w="394" w:type="pct"/>
                  <w:vAlign w:val="center"/>
                </w:tcPr>
                <w:p w14:paraId="71AFA9E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贮存</w:t>
                  </w:r>
                </w:p>
                <w:p w14:paraId="7B1583E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周期</w:t>
                  </w:r>
                </w:p>
              </w:tc>
            </w:tr>
            <w:tr w14:paraId="54686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7" w:type="pct"/>
                  <w:shd w:val="clear" w:color="auto" w:fill="auto"/>
                  <w:vAlign w:val="center"/>
                </w:tcPr>
                <w:p w14:paraId="3A8468D0">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1</w:t>
                  </w:r>
                </w:p>
              </w:tc>
              <w:tc>
                <w:tcPr>
                  <w:tcW w:w="513" w:type="pct"/>
                  <w:vMerge w:val="restart"/>
                  <w:vAlign w:val="center"/>
                </w:tcPr>
                <w:p w14:paraId="04B5D4A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危废</w:t>
                  </w:r>
                </w:p>
                <w:p w14:paraId="4EAC8D8B">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暂存间</w:t>
                  </w:r>
                </w:p>
              </w:tc>
              <w:tc>
                <w:tcPr>
                  <w:tcW w:w="786" w:type="pct"/>
                  <w:shd w:val="clear" w:color="auto" w:fill="auto"/>
                  <w:vAlign w:val="center"/>
                </w:tcPr>
                <w:p w14:paraId="4CBEFD24">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废润滑油</w:t>
                  </w:r>
                </w:p>
              </w:tc>
              <w:tc>
                <w:tcPr>
                  <w:tcW w:w="539" w:type="pct"/>
                  <w:shd w:val="clear" w:color="auto" w:fill="auto"/>
                  <w:vAlign w:val="center"/>
                </w:tcPr>
                <w:p w14:paraId="56021A47">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HW08</w:t>
                  </w:r>
                </w:p>
              </w:tc>
              <w:tc>
                <w:tcPr>
                  <w:tcW w:w="837" w:type="pct"/>
                  <w:shd w:val="clear" w:color="auto" w:fill="auto"/>
                  <w:vAlign w:val="center"/>
                </w:tcPr>
                <w:p w14:paraId="29B70B95">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900-214-08</w:t>
                  </w:r>
                </w:p>
              </w:tc>
              <w:tc>
                <w:tcPr>
                  <w:tcW w:w="418" w:type="pct"/>
                  <w:shd w:val="clear" w:color="auto" w:fill="auto"/>
                  <w:vAlign w:val="center"/>
                </w:tcPr>
                <w:p w14:paraId="6E441B48">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color w:val="auto"/>
                      <w:szCs w:val="21"/>
                      <w:highlight w:val="none"/>
                    </w:rPr>
                    <w:t>桶装</w:t>
                  </w:r>
                </w:p>
              </w:tc>
              <w:tc>
                <w:tcPr>
                  <w:tcW w:w="442" w:type="pct"/>
                  <w:vMerge w:val="restart"/>
                  <w:vAlign w:val="center"/>
                </w:tcPr>
                <w:p w14:paraId="45D7964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lang w:val="en-US" w:eastAsia="zh-CN"/>
                    </w:rPr>
                    <w:t>3</w:t>
                  </w:r>
                  <w:r>
                    <w:rPr>
                      <w:rFonts w:hint="default" w:ascii="Times New Roman"/>
                      <w:color w:val="auto"/>
                      <w:sz w:val="21"/>
                      <w:szCs w:val="21"/>
                      <w:highlight w:val="none"/>
                    </w:rPr>
                    <w:t>m</w:t>
                  </w:r>
                  <w:r>
                    <w:rPr>
                      <w:rFonts w:hint="default" w:ascii="Times New Roman"/>
                      <w:color w:val="auto"/>
                      <w:sz w:val="21"/>
                      <w:szCs w:val="21"/>
                      <w:highlight w:val="none"/>
                      <w:vertAlign w:val="superscript"/>
                    </w:rPr>
                    <w:t>2</w:t>
                  </w:r>
                </w:p>
              </w:tc>
              <w:tc>
                <w:tcPr>
                  <w:tcW w:w="405" w:type="pct"/>
                  <w:vMerge w:val="restart"/>
                  <w:vAlign w:val="center"/>
                </w:tcPr>
                <w:p w14:paraId="7AAD558B">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rPr>
                    <w:t>厂房</w:t>
                  </w:r>
                  <w:r>
                    <w:rPr>
                      <w:rFonts w:hint="eastAsia" w:ascii="Times New Roman"/>
                      <w:color w:val="auto"/>
                      <w:sz w:val="21"/>
                      <w:szCs w:val="21"/>
                      <w:highlight w:val="none"/>
                      <w:lang w:val="en-US" w:eastAsia="zh-CN"/>
                    </w:rPr>
                    <w:t>外东南</w:t>
                  </w:r>
                  <w:r>
                    <w:rPr>
                      <w:rFonts w:hint="eastAsia" w:ascii="Times New Roman"/>
                      <w:color w:val="auto"/>
                      <w:sz w:val="21"/>
                      <w:szCs w:val="21"/>
                      <w:highlight w:val="none"/>
                    </w:rPr>
                    <w:t>角</w:t>
                  </w:r>
                </w:p>
              </w:tc>
              <w:tc>
                <w:tcPr>
                  <w:tcW w:w="404" w:type="pct"/>
                  <w:vMerge w:val="restart"/>
                  <w:vAlign w:val="center"/>
                </w:tcPr>
                <w:p w14:paraId="66B7AC5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lang w:val="en-US" w:eastAsia="zh-CN"/>
                    </w:rPr>
                    <w:t>1</w:t>
                  </w:r>
                  <w:r>
                    <w:rPr>
                      <w:rFonts w:hint="default" w:ascii="Times New Roman"/>
                      <w:color w:val="auto"/>
                      <w:sz w:val="21"/>
                      <w:szCs w:val="21"/>
                      <w:highlight w:val="none"/>
                    </w:rPr>
                    <w:t>t</w:t>
                  </w:r>
                </w:p>
              </w:tc>
              <w:tc>
                <w:tcPr>
                  <w:tcW w:w="394" w:type="pct"/>
                  <w:vMerge w:val="restart"/>
                  <w:vAlign w:val="center"/>
                </w:tcPr>
                <w:p w14:paraId="2F5B160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年</w:t>
                  </w:r>
                </w:p>
              </w:tc>
            </w:tr>
            <w:tr w14:paraId="66BB2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7" w:type="pct"/>
                  <w:shd w:val="clear" w:color="auto" w:fill="auto"/>
                  <w:vAlign w:val="center"/>
                </w:tcPr>
                <w:p w14:paraId="36F2074F">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2</w:t>
                  </w:r>
                </w:p>
              </w:tc>
              <w:tc>
                <w:tcPr>
                  <w:tcW w:w="513" w:type="pct"/>
                  <w:vMerge w:val="continue"/>
                  <w:vAlign w:val="center"/>
                </w:tcPr>
                <w:p w14:paraId="3F3AAD1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786" w:type="pct"/>
                  <w:shd w:val="clear" w:color="auto" w:fill="auto"/>
                  <w:vAlign w:val="center"/>
                </w:tcPr>
                <w:p w14:paraId="4A004C18">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废润滑油桶</w:t>
                  </w:r>
                </w:p>
              </w:tc>
              <w:tc>
                <w:tcPr>
                  <w:tcW w:w="539" w:type="pct"/>
                  <w:shd w:val="clear" w:color="auto" w:fill="auto"/>
                  <w:vAlign w:val="center"/>
                </w:tcPr>
                <w:p w14:paraId="762389EE">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sz w:val="21"/>
                      <w:szCs w:val="21"/>
                      <w:highlight w:val="none"/>
                      <w:lang w:val="en-US" w:eastAsia="zh-CN"/>
                    </w:rPr>
                  </w:pPr>
                  <w:r>
                    <w:rPr>
                      <w:rFonts w:hint="default" w:ascii="Times New Roman"/>
                      <w:color w:val="auto"/>
                      <w:sz w:val="21"/>
                      <w:szCs w:val="21"/>
                      <w:highlight w:val="none"/>
                    </w:rPr>
                    <w:t>HW08</w:t>
                  </w:r>
                </w:p>
              </w:tc>
              <w:tc>
                <w:tcPr>
                  <w:tcW w:w="837" w:type="pct"/>
                  <w:shd w:val="clear" w:color="auto" w:fill="auto"/>
                  <w:vAlign w:val="center"/>
                </w:tcPr>
                <w:p w14:paraId="5803F968">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900-249-08</w:t>
                  </w:r>
                </w:p>
              </w:tc>
              <w:tc>
                <w:tcPr>
                  <w:tcW w:w="418" w:type="pct"/>
                  <w:shd w:val="clear" w:color="auto" w:fill="auto"/>
                  <w:vAlign w:val="center"/>
                </w:tcPr>
                <w:p w14:paraId="0E444A32">
                  <w:pPr>
                    <w:keepNext w:val="0"/>
                    <w:keepLines w:val="0"/>
                    <w:suppressLineNumbers w:val="0"/>
                    <w:adjustRightInd w:val="0"/>
                    <w:snapToGrid w:val="0"/>
                    <w:spacing w:before="0" w:beforeAutospacing="0" w:after="0" w:afterAutospacing="0"/>
                    <w:ind w:left="0" w:leftChars="0" w:right="0" w:rightChars="0"/>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堆排</w:t>
                  </w:r>
                </w:p>
              </w:tc>
              <w:tc>
                <w:tcPr>
                  <w:tcW w:w="442" w:type="pct"/>
                  <w:vMerge w:val="continue"/>
                  <w:vAlign w:val="center"/>
                </w:tcPr>
                <w:p w14:paraId="37F8B66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405" w:type="pct"/>
                  <w:vMerge w:val="continue"/>
                  <w:vAlign w:val="center"/>
                </w:tcPr>
                <w:p w14:paraId="4CCD915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404" w:type="pct"/>
                  <w:vMerge w:val="continue"/>
                  <w:vAlign w:val="center"/>
                </w:tcPr>
                <w:p w14:paraId="71C720F6">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394" w:type="pct"/>
                  <w:vMerge w:val="continue"/>
                  <w:vAlign w:val="center"/>
                </w:tcPr>
                <w:p w14:paraId="21ACCB18">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r w14:paraId="6D47E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7" w:type="pct"/>
                  <w:shd w:val="clear" w:color="auto" w:fill="auto"/>
                  <w:vAlign w:val="center"/>
                </w:tcPr>
                <w:p w14:paraId="38C90DAA">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lang w:val="en-US" w:eastAsia="zh-CN"/>
                    </w:rPr>
                  </w:pPr>
                </w:p>
              </w:tc>
              <w:tc>
                <w:tcPr>
                  <w:tcW w:w="513" w:type="pct"/>
                  <w:vMerge w:val="continue"/>
                  <w:vAlign w:val="center"/>
                </w:tcPr>
                <w:p w14:paraId="01F941A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786" w:type="pct"/>
                  <w:shd w:val="clear" w:color="auto" w:fill="auto"/>
                  <w:vAlign w:val="center"/>
                </w:tcPr>
                <w:p w14:paraId="2810C25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废机油</w:t>
                  </w:r>
                </w:p>
              </w:tc>
              <w:tc>
                <w:tcPr>
                  <w:tcW w:w="539" w:type="pct"/>
                  <w:shd w:val="clear" w:color="auto" w:fill="auto"/>
                  <w:vAlign w:val="center"/>
                </w:tcPr>
                <w:p w14:paraId="249818B1">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HW08</w:t>
                  </w:r>
                </w:p>
              </w:tc>
              <w:tc>
                <w:tcPr>
                  <w:tcW w:w="837" w:type="pct"/>
                  <w:shd w:val="clear" w:color="auto" w:fill="auto"/>
                  <w:vAlign w:val="center"/>
                </w:tcPr>
                <w:p w14:paraId="46D4C2BE">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900-214-08</w:t>
                  </w:r>
                </w:p>
              </w:tc>
              <w:tc>
                <w:tcPr>
                  <w:tcW w:w="418" w:type="pct"/>
                  <w:shd w:val="clear" w:color="auto" w:fill="auto"/>
                  <w:vAlign w:val="center"/>
                </w:tcPr>
                <w:p w14:paraId="6F381A44">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default"/>
                      <w:color w:val="auto"/>
                      <w:szCs w:val="21"/>
                      <w:highlight w:val="none"/>
                    </w:rPr>
                    <w:t>桶装</w:t>
                  </w:r>
                </w:p>
              </w:tc>
              <w:tc>
                <w:tcPr>
                  <w:tcW w:w="442" w:type="pct"/>
                  <w:vMerge w:val="continue"/>
                  <w:vAlign w:val="center"/>
                </w:tcPr>
                <w:p w14:paraId="29E5608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405" w:type="pct"/>
                  <w:vMerge w:val="continue"/>
                  <w:vAlign w:val="center"/>
                </w:tcPr>
                <w:p w14:paraId="1413FD0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404" w:type="pct"/>
                  <w:vMerge w:val="continue"/>
                  <w:vAlign w:val="center"/>
                </w:tcPr>
                <w:p w14:paraId="44B039F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394" w:type="pct"/>
                  <w:vMerge w:val="continue"/>
                  <w:vAlign w:val="center"/>
                </w:tcPr>
                <w:p w14:paraId="4BA04D3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r w14:paraId="2F344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7" w:type="pct"/>
                  <w:shd w:val="clear" w:color="auto" w:fill="auto"/>
                  <w:vAlign w:val="center"/>
                </w:tcPr>
                <w:p w14:paraId="57ED6B80">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lang w:val="en-US" w:eastAsia="zh-CN"/>
                    </w:rPr>
                  </w:pPr>
                </w:p>
              </w:tc>
              <w:tc>
                <w:tcPr>
                  <w:tcW w:w="513" w:type="pct"/>
                  <w:vMerge w:val="continue"/>
                  <w:vAlign w:val="center"/>
                </w:tcPr>
                <w:p w14:paraId="413F8B1B">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786" w:type="pct"/>
                  <w:shd w:val="clear" w:color="auto" w:fill="auto"/>
                  <w:vAlign w:val="center"/>
                </w:tcPr>
                <w:p w14:paraId="0E42579F">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废机油桶</w:t>
                  </w:r>
                </w:p>
              </w:tc>
              <w:tc>
                <w:tcPr>
                  <w:tcW w:w="539" w:type="pct"/>
                  <w:shd w:val="clear" w:color="auto" w:fill="auto"/>
                  <w:vAlign w:val="center"/>
                </w:tcPr>
                <w:p w14:paraId="290A7142">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HW08</w:t>
                  </w:r>
                </w:p>
              </w:tc>
              <w:tc>
                <w:tcPr>
                  <w:tcW w:w="837" w:type="pct"/>
                  <w:shd w:val="clear" w:color="auto" w:fill="auto"/>
                  <w:vAlign w:val="center"/>
                </w:tcPr>
                <w:p w14:paraId="4978EA5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sz w:val="21"/>
                      <w:szCs w:val="21"/>
                      <w:highlight w:val="none"/>
                      <w:lang w:val="en-US" w:eastAsia="zh-CN"/>
                    </w:rPr>
                    <w:t>900-249-08</w:t>
                  </w:r>
                </w:p>
              </w:tc>
              <w:tc>
                <w:tcPr>
                  <w:tcW w:w="418" w:type="pct"/>
                  <w:shd w:val="clear" w:color="auto" w:fill="auto"/>
                  <w:vAlign w:val="center"/>
                </w:tcPr>
                <w:p w14:paraId="449F73D8">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堆排</w:t>
                  </w:r>
                </w:p>
              </w:tc>
              <w:tc>
                <w:tcPr>
                  <w:tcW w:w="442" w:type="pct"/>
                  <w:vMerge w:val="continue"/>
                  <w:vAlign w:val="center"/>
                </w:tcPr>
                <w:p w14:paraId="558761E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405" w:type="pct"/>
                  <w:vMerge w:val="continue"/>
                  <w:vAlign w:val="center"/>
                </w:tcPr>
                <w:p w14:paraId="2546DBE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404" w:type="pct"/>
                  <w:vMerge w:val="continue"/>
                  <w:vAlign w:val="center"/>
                </w:tcPr>
                <w:p w14:paraId="7A287B22">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394" w:type="pct"/>
                  <w:vMerge w:val="continue"/>
                  <w:vAlign w:val="center"/>
                </w:tcPr>
                <w:p w14:paraId="1BA8EB2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r w14:paraId="5EA63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7" w:type="pct"/>
                  <w:shd w:val="clear" w:color="auto" w:fill="auto"/>
                  <w:vAlign w:val="center"/>
                </w:tcPr>
                <w:p w14:paraId="448A4A88">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eastAsia="zh-CN"/>
                    </w:rPr>
                  </w:pPr>
                  <w:r>
                    <w:rPr>
                      <w:rFonts w:hint="eastAsia" w:ascii="Times New Roman"/>
                      <w:color w:val="auto"/>
                      <w:sz w:val="21"/>
                      <w:szCs w:val="21"/>
                      <w:highlight w:val="none"/>
                      <w:lang w:val="en-US" w:eastAsia="zh-CN"/>
                    </w:rPr>
                    <w:t>3</w:t>
                  </w:r>
                </w:p>
              </w:tc>
              <w:tc>
                <w:tcPr>
                  <w:tcW w:w="513" w:type="pct"/>
                  <w:vMerge w:val="continue"/>
                  <w:vAlign w:val="center"/>
                </w:tcPr>
                <w:p w14:paraId="085A221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786" w:type="pct"/>
                  <w:shd w:val="clear" w:color="auto" w:fill="auto"/>
                  <w:vAlign w:val="center"/>
                </w:tcPr>
                <w:p w14:paraId="04DBA328">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废铅酸电池</w:t>
                  </w:r>
                </w:p>
              </w:tc>
              <w:tc>
                <w:tcPr>
                  <w:tcW w:w="539" w:type="pct"/>
                  <w:shd w:val="clear" w:color="auto" w:fill="auto"/>
                  <w:vAlign w:val="center"/>
                </w:tcPr>
                <w:p w14:paraId="790EE93B">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HW31</w:t>
                  </w:r>
                </w:p>
              </w:tc>
              <w:tc>
                <w:tcPr>
                  <w:tcW w:w="837" w:type="pct"/>
                  <w:shd w:val="clear" w:color="auto" w:fill="auto"/>
                  <w:vAlign w:val="center"/>
                </w:tcPr>
                <w:p w14:paraId="4C166303">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900-052-31</w:t>
                  </w:r>
                </w:p>
              </w:tc>
              <w:tc>
                <w:tcPr>
                  <w:tcW w:w="418" w:type="pct"/>
                  <w:shd w:val="clear" w:color="auto" w:fill="auto"/>
                  <w:vAlign w:val="center"/>
                </w:tcPr>
                <w:p w14:paraId="11E13732">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箱装</w:t>
                  </w:r>
                </w:p>
              </w:tc>
              <w:tc>
                <w:tcPr>
                  <w:tcW w:w="442" w:type="pct"/>
                  <w:vMerge w:val="continue"/>
                  <w:vAlign w:val="center"/>
                </w:tcPr>
                <w:p w14:paraId="080F291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405" w:type="pct"/>
                  <w:vMerge w:val="continue"/>
                  <w:vAlign w:val="center"/>
                </w:tcPr>
                <w:p w14:paraId="48A9475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404" w:type="pct"/>
                  <w:vMerge w:val="continue"/>
                  <w:vAlign w:val="center"/>
                </w:tcPr>
                <w:p w14:paraId="21223CC8">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c>
                <w:tcPr>
                  <w:tcW w:w="394" w:type="pct"/>
                  <w:vMerge w:val="continue"/>
                  <w:vAlign w:val="center"/>
                </w:tcPr>
                <w:p w14:paraId="39828146">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p>
              </w:tc>
            </w:tr>
          </w:tbl>
          <w:p w14:paraId="05E879F7">
            <w:pPr>
              <w:keepNext w:val="0"/>
              <w:keepLines w:val="0"/>
              <w:suppressLineNumbers w:val="0"/>
              <w:adjustRightInd w:val="0"/>
              <w:snapToGrid w:val="0"/>
              <w:spacing w:before="0" w:beforeAutospacing="0" w:after="0" w:afterAutospacing="0" w:line="360" w:lineRule="auto"/>
              <w:ind w:left="0" w:right="0" w:firstLine="482" w:firstLineChars="200"/>
              <w:jc w:val="left"/>
              <w:rPr>
                <w:rFonts w:hint="default"/>
                <w:b/>
                <w:bCs/>
                <w:color w:val="auto"/>
                <w:sz w:val="24"/>
                <w:highlight w:val="none"/>
              </w:rPr>
            </w:pPr>
            <w:r>
              <w:rPr>
                <w:rFonts w:hint="default"/>
                <w:b/>
                <w:bCs/>
                <w:color w:val="auto"/>
                <w:sz w:val="24"/>
                <w:highlight w:val="none"/>
              </w:rPr>
              <w:t>表</w:t>
            </w:r>
            <w:r>
              <w:rPr>
                <w:rFonts w:hint="eastAsia"/>
                <w:b/>
                <w:bCs/>
                <w:color w:val="auto"/>
                <w:sz w:val="24"/>
                <w:highlight w:val="none"/>
              </w:rPr>
              <w:t>4-1</w:t>
            </w:r>
            <w:r>
              <w:rPr>
                <w:rFonts w:hint="eastAsia"/>
                <w:b/>
                <w:bCs/>
                <w:color w:val="auto"/>
                <w:sz w:val="24"/>
                <w:highlight w:val="none"/>
                <w:lang w:val="en-US" w:eastAsia="zh-CN"/>
              </w:rPr>
              <w:t>3</w:t>
            </w:r>
            <w:r>
              <w:rPr>
                <w:rFonts w:hint="eastAsia"/>
                <w:b/>
                <w:bCs/>
                <w:color w:val="auto"/>
                <w:sz w:val="24"/>
                <w:highlight w:val="none"/>
              </w:rPr>
              <w:t xml:space="preserve">  危险废物暂存间选址与（GB18597-2023）文件</w:t>
            </w:r>
            <w:r>
              <w:rPr>
                <w:rFonts w:hint="default"/>
                <w:b/>
                <w:bCs/>
                <w:color w:val="auto"/>
                <w:sz w:val="24"/>
                <w:highlight w:val="none"/>
              </w:rPr>
              <w:t>分析一览表</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
              <w:gridCol w:w="4185"/>
              <w:gridCol w:w="3691"/>
            </w:tblGrid>
            <w:tr w14:paraId="6BB68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9" w:type="dxa"/>
                  <w:vAlign w:val="center"/>
                </w:tcPr>
                <w:p w14:paraId="7F11565F">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序</w:t>
                  </w:r>
                </w:p>
                <w:p w14:paraId="572B89EC">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号</w:t>
                  </w:r>
                </w:p>
              </w:tc>
              <w:tc>
                <w:tcPr>
                  <w:tcW w:w="4221" w:type="dxa"/>
                  <w:vAlign w:val="center"/>
                </w:tcPr>
                <w:p w14:paraId="3C57160D">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危险废物贮存污染控制标准</w:t>
                  </w:r>
                </w:p>
                <w:p w14:paraId="73F5B91A">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（GB18597-</w:t>
                  </w:r>
                  <w:r>
                    <w:rPr>
                      <w:rFonts w:hint="eastAsia"/>
                      <w:color w:val="auto"/>
                      <w:szCs w:val="21"/>
                      <w:highlight w:val="none"/>
                    </w:rPr>
                    <w:t>2023</w:t>
                  </w:r>
                  <w:r>
                    <w:rPr>
                      <w:rFonts w:hint="default"/>
                      <w:color w:val="auto"/>
                      <w:szCs w:val="21"/>
                      <w:highlight w:val="none"/>
                    </w:rPr>
                    <w:t>）</w:t>
                  </w:r>
                </w:p>
              </w:tc>
              <w:tc>
                <w:tcPr>
                  <w:tcW w:w="3722" w:type="dxa"/>
                  <w:vAlign w:val="center"/>
                </w:tcPr>
                <w:p w14:paraId="34CB061E">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项目危险废物暂存间情况</w:t>
                  </w:r>
                </w:p>
              </w:tc>
            </w:tr>
            <w:tr w14:paraId="30610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92" w:type="dxa"/>
                  <w:gridSpan w:val="3"/>
                  <w:vAlign w:val="center"/>
                </w:tcPr>
                <w:p w14:paraId="5478910A">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选址符合性分析</w:t>
                  </w:r>
                </w:p>
              </w:tc>
            </w:tr>
            <w:tr w14:paraId="69204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9" w:type="dxa"/>
                  <w:vAlign w:val="center"/>
                </w:tcPr>
                <w:p w14:paraId="14C3A752">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1</w:t>
                  </w:r>
                </w:p>
              </w:tc>
              <w:tc>
                <w:tcPr>
                  <w:tcW w:w="4221" w:type="dxa"/>
                  <w:vAlign w:val="center"/>
                </w:tcPr>
                <w:p w14:paraId="30F6C3B1">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贮存设施选址应满足生态环境保护法律法规、规划和“三线一单”生态环境分区管控的要求，建设项目应依法进行环境影响评价。</w:t>
                  </w:r>
                </w:p>
              </w:tc>
              <w:tc>
                <w:tcPr>
                  <w:tcW w:w="3722" w:type="dxa"/>
                  <w:vAlign w:val="center"/>
                </w:tcPr>
                <w:p w14:paraId="05BE1B0C">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项目危险废物暂存间位于厂房内，满足生态环境保护法律法规、规划和“三线一单”生态环境分区管控的要求，建设项目应依法进行环境影响评价。</w:t>
                  </w:r>
                </w:p>
              </w:tc>
            </w:tr>
            <w:tr w14:paraId="6F9F6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5" w:hRule="atLeast"/>
                <w:jc w:val="center"/>
              </w:trPr>
              <w:tc>
                <w:tcPr>
                  <w:tcW w:w="449" w:type="dxa"/>
                  <w:vAlign w:val="center"/>
                </w:tcPr>
                <w:p w14:paraId="159A4F25">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2</w:t>
                  </w:r>
                </w:p>
              </w:tc>
              <w:tc>
                <w:tcPr>
                  <w:tcW w:w="4221" w:type="dxa"/>
                  <w:vAlign w:val="center"/>
                </w:tcPr>
                <w:p w14:paraId="5BDAF344">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集中贮存设施不应选在生态保护红线区域、永久基本农田和其他需要特别保护的区域内，不应建在溶洞区或易遭受洪水、滑坡、泥石流、潮汐等严重自然灾害影响的地区。</w:t>
                  </w:r>
                </w:p>
              </w:tc>
              <w:tc>
                <w:tcPr>
                  <w:tcW w:w="3722" w:type="dxa"/>
                  <w:vAlign w:val="center"/>
                </w:tcPr>
                <w:p w14:paraId="79B353B6">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不在生态保护红线区域、永久基本农田和其他需要特别保护的区域内，不在溶洞区或易遭受洪水、滑坡、泥石流、潮汐等严重自然灾害影响的地区。</w:t>
                  </w:r>
                </w:p>
              </w:tc>
            </w:tr>
            <w:tr w14:paraId="14E2D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4" w:hRule="atLeast"/>
                <w:jc w:val="center"/>
              </w:trPr>
              <w:tc>
                <w:tcPr>
                  <w:tcW w:w="449" w:type="dxa"/>
                  <w:vAlign w:val="center"/>
                </w:tcPr>
                <w:p w14:paraId="528230EA">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3</w:t>
                  </w:r>
                </w:p>
              </w:tc>
              <w:tc>
                <w:tcPr>
                  <w:tcW w:w="4221" w:type="dxa"/>
                  <w:vAlign w:val="center"/>
                </w:tcPr>
                <w:p w14:paraId="679B6124">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贮存设施不应选在江河、湖泊、运河、渠道、水库最高水位线以下的滩地和岸坡，以及法律法规规定禁止贮存危险废物的其他地点。</w:t>
                  </w:r>
                </w:p>
              </w:tc>
              <w:tc>
                <w:tcPr>
                  <w:tcW w:w="3722" w:type="dxa"/>
                  <w:vAlign w:val="center"/>
                </w:tcPr>
                <w:p w14:paraId="4EEA7DA4">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项目危废间位于厂房内，选取位置不在江河、湖泊、运河、渠道、水库及其最新法规规定禁止贮存危险废物的其他地点。</w:t>
                  </w:r>
                </w:p>
              </w:tc>
            </w:tr>
            <w:tr w14:paraId="055B4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9" w:type="dxa"/>
                  <w:vAlign w:val="center"/>
                </w:tcPr>
                <w:p w14:paraId="5D14DADF">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4</w:t>
                  </w:r>
                </w:p>
              </w:tc>
              <w:tc>
                <w:tcPr>
                  <w:tcW w:w="4221" w:type="dxa"/>
                  <w:vAlign w:val="center"/>
                </w:tcPr>
                <w:p w14:paraId="041D73DC">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贮存设施场址的位置以及其与周围环境敏感目标的距离应依据环境影响评价文件确定。</w:t>
                  </w:r>
                </w:p>
              </w:tc>
              <w:tc>
                <w:tcPr>
                  <w:tcW w:w="3722" w:type="dxa"/>
                  <w:vAlign w:val="center"/>
                </w:tcPr>
                <w:p w14:paraId="78F26009">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本项目最近敏感目标为厂界</w:t>
                  </w:r>
                  <w:r>
                    <w:rPr>
                      <w:rFonts w:hint="eastAsia"/>
                      <w:color w:val="auto"/>
                      <w:szCs w:val="21"/>
                      <w:highlight w:val="none"/>
                      <w:lang w:val="en-US" w:eastAsia="zh-CN"/>
                    </w:rPr>
                    <w:t>西</w:t>
                  </w:r>
                  <w:r>
                    <w:rPr>
                      <w:rFonts w:hint="eastAsia"/>
                      <w:color w:val="auto"/>
                      <w:szCs w:val="21"/>
                      <w:highlight w:val="none"/>
                    </w:rPr>
                    <w:t>北侧烟台山村，有其他公司生产车间相隔，不会对其产生影响。</w:t>
                  </w:r>
                </w:p>
              </w:tc>
            </w:tr>
            <w:tr w14:paraId="06554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92" w:type="dxa"/>
                  <w:gridSpan w:val="3"/>
                  <w:vAlign w:val="center"/>
                </w:tcPr>
                <w:p w14:paraId="195C55D3">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防腐防渗符合性分析</w:t>
                  </w:r>
                </w:p>
              </w:tc>
            </w:tr>
            <w:tr w14:paraId="1286C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9" w:type="dxa"/>
                  <w:vAlign w:val="center"/>
                </w:tcPr>
                <w:p w14:paraId="10630A76">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5</w:t>
                  </w:r>
                </w:p>
              </w:tc>
              <w:tc>
                <w:tcPr>
                  <w:tcW w:w="4221" w:type="dxa"/>
                  <w:vAlign w:val="center"/>
                </w:tcPr>
                <w:p w14:paraId="42950D8F">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贮存库内不同贮存分区之间应采取隔离措施可根据危险废物特性采取措施。过道、隔板或隔墙等方式。</w:t>
                  </w:r>
                </w:p>
              </w:tc>
              <w:tc>
                <w:tcPr>
                  <w:tcW w:w="3722" w:type="dxa"/>
                  <w:vAlign w:val="center"/>
                </w:tcPr>
                <w:p w14:paraId="6B3605BB">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项目设危废暂存间，各类危险废物分区贮存。</w:t>
                  </w:r>
                </w:p>
              </w:tc>
            </w:tr>
            <w:tr w14:paraId="44984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9" w:type="dxa"/>
                  <w:vAlign w:val="center"/>
                </w:tcPr>
                <w:p w14:paraId="58AD9A42">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6</w:t>
                  </w:r>
                </w:p>
              </w:tc>
              <w:tc>
                <w:tcPr>
                  <w:tcW w:w="4221" w:type="dxa"/>
                  <w:vAlign w:val="center"/>
                </w:tcPr>
                <w:p w14:paraId="1703BCEE">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w:t>
                  </w:r>
                </w:p>
              </w:tc>
              <w:tc>
                <w:tcPr>
                  <w:tcW w:w="3722" w:type="dxa"/>
                  <w:vAlign w:val="center"/>
                </w:tcPr>
                <w:p w14:paraId="0573BFF8">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在贮存库内贮存液态危险废物，具有液体泄漏堵截设施，堵截设施最小容积不低于对应贮存区域最大液态废物容器容积或液态废物总储量1/10(二者取较大者)：收集设施容积满足渗滤液的收集要求。</w:t>
                  </w:r>
                </w:p>
              </w:tc>
            </w:tr>
            <w:tr w14:paraId="70CD5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9" w:type="dxa"/>
                  <w:vAlign w:val="center"/>
                </w:tcPr>
                <w:p w14:paraId="2108C62B">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7</w:t>
                  </w:r>
                </w:p>
              </w:tc>
              <w:tc>
                <w:tcPr>
                  <w:tcW w:w="4221" w:type="dxa"/>
                  <w:vAlign w:val="center"/>
                </w:tcPr>
                <w:p w14:paraId="68A728E6">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贮存易产生粉尘、VOCs、酸雾、有毒有害大气污染物和刺激性气味气体的危险废物贮存库，应设置气体收集装置和气体酸雾、有毒有害大气污染物和刺激性气味空气净化设施：气体净化设施的排气筒高度应符合GB16297要求。</w:t>
                  </w:r>
                </w:p>
              </w:tc>
              <w:tc>
                <w:tcPr>
                  <w:tcW w:w="3722" w:type="dxa"/>
                  <w:vAlign w:val="center"/>
                </w:tcPr>
                <w:p w14:paraId="6FD8F21E">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本项目危废间不贮存易产生粉尘、VOCs、酸雾、有毒有害大气污染物和刺激性气味气体的危险废物</w:t>
                  </w:r>
                </w:p>
              </w:tc>
            </w:tr>
          </w:tbl>
          <w:p w14:paraId="56AC887C">
            <w:pPr>
              <w:keepNext w:val="0"/>
              <w:keepLines w:val="0"/>
              <w:suppressLineNumbers w:val="0"/>
              <w:overflowPunct w:val="0"/>
              <w:topLinePunct/>
              <w:adjustRightInd w:val="0"/>
              <w:snapToGrid w:val="0"/>
              <w:spacing w:before="0" w:beforeAutospacing="0" w:after="0" w:afterAutospacing="0"/>
              <w:ind w:left="0" w:right="0" w:firstLine="480" w:firstLineChars="200"/>
              <w:textAlignment w:val="baseline"/>
              <w:rPr>
                <w:rFonts w:hint="eastAsia"/>
                <w:b/>
                <w:bCs/>
                <w:color w:val="auto"/>
                <w:sz w:val="24"/>
                <w:highlight w:val="none"/>
                <w:lang w:val="en-US" w:eastAsia="zh-CN"/>
              </w:rPr>
            </w:pPr>
            <w:r>
              <w:rPr>
                <w:rFonts w:hint="eastAsia"/>
                <w:bCs/>
                <w:color w:val="auto"/>
                <w:kern w:val="0"/>
                <w:sz w:val="24"/>
                <w:szCs w:val="24"/>
                <w:highlight w:val="none"/>
              </w:rPr>
              <w:t>综上所述，本项目危废间建设满足相关要求。</w:t>
            </w:r>
          </w:p>
          <w:p w14:paraId="19DEC590">
            <w:pPr>
              <w:pStyle w:val="7"/>
              <w:suppressLineNumbers w:val="0"/>
              <w:spacing w:before="0" w:beforeAutospacing="0" w:after="0" w:afterAutospacing="0" w:line="360" w:lineRule="auto"/>
              <w:ind w:left="0" w:right="0"/>
              <w:jc w:val="left"/>
              <w:rPr>
                <w:rFonts w:hint="default" w:ascii="Times New Roman" w:hAnsi="Times New Roman"/>
                <w:color w:val="auto"/>
                <w:highlight w:val="none"/>
              </w:rPr>
            </w:pPr>
            <w:r>
              <w:rPr>
                <w:rFonts w:hint="default" w:ascii="Times New Roman" w:hAnsi="Times New Roman"/>
                <w:color w:val="auto"/>
                <w:highlight w:val="none"/>
              </w:rPr>
              <w:t>4.4综述</w:t>
            </w:r>
          </w:p>
          <w:p w14:paraId="124DECCC">
            <w:pPr>
              <w:keepNext w:val="0"/>
              <w:keepLines w:val="0"/>
              <w:suppressLineNumbers w:val="0"/>
              <w:tabs>
                <w:tab w:val="left" w:pos="360"/>
              </w:tabs>
              <w:adjustRightInd w:val="0"/>
              <w:spacing w:before="0" w:beforeAutospacing="0" w:after="0" w:afterAutospacing="0" w:line="360" w:lineRule="auto"/>
              <w:ind w:left="0" w:right="0" w:firstLine="480" w:firstLineChars="200"/>
              <w:jc w:val="left"/>
              <w:textAlignment w:val="baseline"/>
              <w:rPr>
                <w:rFonts w:hint="default"/>
                <w:color w:val="auto"/>
                <w:sz w:val="24"/>
                <w:highlight w:val="none"/>
              </w:rPr>
            </w:pPr>
            <w:r>
              <w:rPr>
                <w:rFonts w:hint="default"/>
                <w:color w:val="auto"/>
                <w:sz w:val="24"/>
                <w:highlight w:val="none"/>
              </w:rPr>
              <w:t>综上所述，只要企业在项目建成后落实上述固废处理措施，做到及时清运，则固废不会对环境造成较大影响。项目所有固体废物均得到了合理处置，对周围环境影响较小。</w:t>
            </w:r>
          </w:p>
          <w:p w14:paraId="52820C86">
            <w:pPr>
              <w:keepNext w:val="0"/>
              <w:keepLines w:val="0"/>
              <w:suppressLineNumbers w:val="0"/>
              <w:spacing w:before="0" w:beforeAutospacing="0" w:after="0" w:afterAutospacing="0" w:line="360" w:lineRule="auto"/>
              <w:ind w:left="0" w:right="0"/>
              <w:jc w:val="left"/>
              <w:rPr>
                <w:rFonts w:hint="default"/>
                <w:b/>
                <w:bCs/>
                <w:snapToGrid w:val="0"/>
                <w:color w:val="auto"/>
                <w:sz w:val="28"/>
                <w:szCs w:val="28"/>
                <w:highlight w:val="none"/>
              </w:rPr>
            </w:pPr>
            <w:r>
              <w:rPr>
                <w:rFonts w:hint="eastAsia"/>
                <w:b/>
                <w:bCs/>
                <w:snapToGrid w:val="0"/>
                <w:color w:val="auto"/>
                <w:sz w:val="28"/>
                <w:szCs w:val="28"/>
                <w:highlight w:val="none"/>
              </w:rPr>
              <w:t>5</w:t>
            </w:r>
            <w:r>
              <w:rPr>
                <w:rFonts w:hint="default"/>
                <w:b/>
                <w:bCs/>
                <w:snapToGrid w:val="0"/>
                <w:color w:val="auto"/>
                <w:sz w:val="28"/>
                <w:szCs w:val="28"/>
                <w:highlight w:val="none"/>
              </w:rPr>
              <w:t>、</w:t>
            </w:r>
            <w:r>
              <w:rPr>
                <w:rFonts w:hint="eastAsia"/>
                <w:b/>
                <w:bCs/>
                <w:snapToGrid w:val="0"/>
                <w:color w:val="auto"/>
                <w:sz w:val="28"/>
                <w:szCs w:val="28"/>
                <w:highlight w:val="none"/>
              </w:rPr>
              <w:t>地下水、土壤</w:t>
            </w:r>
          </w:p>
          <w:p w14:paraId="62275648">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本项目车间、危废间地面按照要求进行防腐防渗处理后，无地下水、土壤污染途径，不会对地下水和土壤的产生影响。</w:t>
            </w:r>
          </w:p>
          <w:p w14:paraId="1A25EDB0">
            <w:pPr>
              <w:pStyle w:val="34"/>
              <w:keepNext w:val="0"/>
              <w:keepLines w:val="0"/>
              <w:suppressLineNumbers w:val="0"/>
              <w:spacing w:before="0" w:beforeAutospacing="0" w:after="0" w:afterAutospacing="0" w:line="360" w:lineRule="auto"/>
              <w:ind w:left="0" w:leftChars="0" w:right="0" w:firstLine="0" w:firstLineChars="0"/>
              <w:jc w:val="left"/>
              <w:rPr>
                <w:rFonts w:hint="default"/>
                <w:b/>
                <w:bCs/>
                <w:color w:val="auto"/>
                <w:sz w:val="28"/>
                <w:szCs w:val="28"/>
                <w:highlight w:val="none"/>
              </w:rPr>
            </w:pPr>
            <w:r>
              <w:rPr>
                <w:rFonts w:hint="default"/>
                <w:b/>
                <w:bCs/>
                <w:color w:val="auto"/>
                <w:sz w:val="28"/>
                <w:szCs w:val="28"/>
                <w:highlight w:val="none"/>
              </w:rPr>
              <w:t>6、环境风险</w:t>
            </w:r>
          </w:p>
          <w:p w14:paraId="3C1C3122">
            <w:pPr>
              <w:keepNext w:val="0"/>
              <w:keepLines w:val="0"/>
              <w:suppressLineNumbers w:val="0"/>
              <w:adjustRightInd w:val="0"/>
              <w:snapToGrid w:val="0"/>
              <w:spacing w:before="0" w:beforeAutospacing="0" w:after="0" w:afterAutospacing="0" w:line="360" w:lineRule="auto"/>
              <w:ind w:left="0" w:right="0" w:firstLine="480" w:firstLineChars="200"/>
              <w:jc w:val="left"/>
              <w:outlineLvl w:val="2"/>
              <w:rPr>
                <w:rFonts w:hint="default"/>
                <w:color w:val="auto"/>
                <w:sz w:val="24"/>
                <w:highlight w:val="none"/>
              </w:rPr>
            </w:pPr>
            <w:r>
              <w:rPr>
                <w:rFonts w:hint="default"/>
                <w:color w:val="auto"/>
                <w:sz w:val="24"/>
                <w:highlight w:val="none"/>
              </w:rPr>
              <w:t>环境风险是指突发性事故对环境(或健康)的危害程度。建设项目环境风险评价，主要是对建设项目建设和运行期间发生的可预测突发性事件或事故</w:t>
            </w:r>
            <w:r>
              <w:rPr>
                <w:rFonts w:hint="eastAsia"/>
                <w:color w:val="auto"/>
                <w:sz w:val="24"/>
                <w:highlight w:val="none"/>
              </w:rPr>
              <w:t>（</w:t>
            </w:r>
            <w:r>
              <w:rPr>
                <w:rFonts w:hint="default"/>
                <w:color w:val="auto"/>
                <w:sz w:val="24"/>
                <w:highlight w:val="none"/>
              </w:rPr>
              <w:t>一般不包括人为破坏及自然灾害</w:t>
            </w:r>
            <w:r>
              <w:rPr>
                <w:rFonts w:hint="eastAsia"/>
                <w:color w:val="auto"/>
                <w:sz w:val="24"/>
                <w:highlight w:val="none"/>
              </w:rPr>
              <w:t>）</w:t>
            </w:r>
            <w:r>
              <w:rPr>
                <w:rFonts w:hint="default"/>
                <w:color w:val="auto"/>
                <w:sz w:val="24"/>
                <w:highlight w:val="none"/>
              </w:rPr>
              <w:t>引起有毒有害、易燃易爆等物质泄漏，或突发事件产生的新的有毒有害物质，所造成的对人身安全与环境的影响和损害，进行评估，提出防范、应急与减缓措施，以使建设项目事故率、损失和环境影响达到可接受水平。</w:t>
            </w:r>
          </w:p>
          <w:p w14:paraId="106C0883">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6.1</w:t>
            </w:r>
            <w:r>
              <w:rPr>
                <w:rFonts w:hint="default" w:ascii="Times New Roman" w:hAnsi="Times New Roman" w:eastAsia="宋体" w:cs="Times New Roman"/>
                <w:color w:val="auto"/>
                <w:kern w:val="2"/>
                <w:sz w:val="24"/>
                <w:szCs w:val="24"/>
                <w:highlight w:val="none"/>
                <w:lang w:val="en-US" w:eastAsia="zh-CN" w:bidi="ar-SA"/>
              </w:rPr>
              <w:t>风险识别</w:t>
            </w:r>
          </w:p>
          <w:p w14:paraId="17462889">
            <w:pPr>
              <w:keepNext w:val="0"/>
              <w:keepLines w:val="0"/>
              <w:suppressLineNumbers w:val="0"/>
              <w:adjustRightInd w:val="0"/>
              <w:snapToGrid w:val="0"/>
              <w:spacing w:before="0" w:beforeAutospacing="0" w:after="0" w:afterAutospacing="0" w:line="360" w:lineRule="auto"/>
              <w:ind w:left="0" w:right="0" w:firstLine="480" w:firstLineChars="200"/>
              <w:jc w:val="left"/>
              <w:outlineLvl w:val="2"/>
              <w:rPr>
                <w:rFonts w:hint="default"/>
                <w:color w:val="auto"/>
                <w:sz w:val="24"/>
                <w:highlight w:val="none"/>
              </w:rPr>
            </w:pPr>
            <w:r>
              <w:rPr>
                <w:rFonts w:hint="default"/>
                <w:color w:val="auto"/>
                <w:sz w:val="24"/>
                <w:highlight w:val="none"/>
                <w:lang w:val="en-US" w:eastAsia="zh-CN"/>
              </w:rPr>
              <w:t>根据本项目的特点，本项目主要风险为打磨抛光产生的粉尘浓度达到爆炸下限时遇火星爆炸风险，粉尘在爆炸极限范围内，遇到热源(明火或温度)</w:t>
            </w:r>
            <w:r>
              <w:rPr>
                <w:rFonts w:hint="eastAsia"/>
                <w:color w:val="auto"/>
                <w:sz w:val="24"/>
                <w:highlight w:val="none"/>
                <w:lang w:val="en-US" w:eastAsia="zh-CN"/>
              </w:rPr>
              <w:t>，</w:t>
            </w:r>
            <w:r>
              <w:rPr>
                <w:rFonts w:hint="default"/>
                <w:color w:val="auto"/>
                <w:sz w:val="24"/>
                <w:highlight w:val="none"/>
                <w:lang w:val="en-US" w:eastAsia="zh-CN"/>
              </w:rPr>
              <w:t>火焰瞬间传播于整个混合粉生</w:t>
            </w:r>
            <w:r>
              <w:rPr>
                <w:rFonts w:hint="default"/>
                <w:color w:val="auto"/>
                <w:sz w:val="24"/>
                <w:highlight w:val="none"/>
              </w:rPr>
              <w:t>空间，化学反应速度极快，同时释放大量的热，形成很高的温度和很大的压力，系统的能量转化为机械功以及光和热的辐射，具有很强的破坏力。</w:t>
            </w:r>
          </w:p>
          <w:p w14:paraId="1BADAABC">
            <w:pPr>
              <w:keepNext w:val="0"/>
              <w:keepLines w:val="0"/>
              <w:suppressLineNumbers w:val="0"/>
              <w:adjustRightInd w:val="0"/>
              <w:snapToGrid w:val="0"/>
              <w:spacing w:before="0" w:beforeAutospacing="0" w:after="0" w:afterAutospacing="0" w:line="360" w:lineRule="auto"/>
              <w:ind w:left="0" w:right="0" w:firstLine="480" w:firstLineChars="200"/>
              <w:jc w:val="left"/>
              <w:outlineLvl w:val="2"/>
              <w:rPr>
                <w:rFonts w:hint="default"/>
                <w:color w:val="auto"/>
                <w:sz w:val="24"/>
                <w:highlight w:val="none"/>
              </w:rPr>
            </w:pPr>
            <w:r>
              <w:rPr>
                <w:rFonts w:hint="default"/>
                <w:color w:val="auto"/>
                <w:sz w:val="24"/>
                <w:highlight w:val="none"/>
              </w:rPr>
              <w:t>国内外的研究成果表明，这些条件一般有三种：(1)可燃性粉尘以适当的浓度在空 气中悬浮，形成人们常说的粉尘云；(2)有充足的空气和氧化剂；(3)有火源或者强烈振动与摩擦。</w:t>
            </w:r>
          </w:p>
          <w:p w14:paraId="36765F72">
            <w:pPr>
              <w:keepNext w:val="0"/>
              <w:keepLines w:val="0"/>
              <w:suppressLineNumbers w:val="0"/>
              <w:adjustRightInd w:val="0"/>
              <w:snapToGrid w:val="0"/>
              <w:spacing w:before="0" w:beforeAutospacing="0" w:after="0" w:afterAutospacing="0" w:line="360" w:lineRule="auto"/>
              <w:ind w:left="0" w:right="0" w:firstLine="480" w:firstLineChars="200"/>
              <w:jc w:val="left"/>
              <w:outlineLvl w:val="2"/>
              <w:rPr>
                <w:rFonts w:hint="eastAsia" w:eastAsia="宋体"/>
                <w:color w:val="auto"/>
                <w:sz w:val="24"/>
                <w:highlight w:val="none"/>
                <w:lang w:eastAsia="zh-CN"/>
              </w:rPr>
            </w:pPr>
            <w:r>
              <w:rPr>
                <w:rFonts w:hint="default"/>
                <w:color w:val="auto"/>
                <w:sz w:val="24"/>
                <w:highlight w:val="none"/>
              </w:rPr>
              <w:t>粉尘与空气可形成爆炸性混合物，当达到一定浓度时，遇火星会发生爆炸。根据《爆炸危险环境电力装置设计规范》(GB50058-</w:t>
            </w:r>
            <w:r>
              <w:rPr>
                <w:rFonts w:hint="eastAsia"/>
                <w:color w:val="auto"/>
                <w:sz w:val="24"/>
                <w:highlight w:val="none"/>
                <w:lang w:val="en-US" w:eastAsia="zh-CN"/>
              </w:rPr>
              <w:t>2014</w:t>
            </w:r>
            <w:r>
              <w:rPr>
                <w:rFonts w:hint="default"/>
                <w:color w:val="auto"/>
                <w:sz w:val="24"/>
                <w:highlight w:val="none"/>
              </w:rPr>
              <w:t>)附录</w:t>
            </w:r>
            <w:r>
              <w:rPr>
                <w:rFonts w:hint="eastAsia"/>
                <w:color w:val="auto"/>
                <w:sz w:val="24"/>
                <w:highlight w:val="none"/>
                <w:lang w:val="en-US" w:eastAsia="zh-CN"/>
              </w:rPr>
              <w:t>E</w:t>
            </w:r>
            <w:r>
              <w:rPr>
                <w:rFonts w:hint="default"/>
                <w:color w:val="auto"/>
                <w:sz w:val="24"/>
                <w:highlight w:val="none"/>
              </w:rPr>
              <w:t>指出：铝粉尘云引燃温度是590℃、爆炸下限浓度37~50g/m³</w:t>
            </w:r>
            <w:r>
              <w:rPr>
                <w:rFonts w:hint="eastAsia"/>
                <w:color w:val="auto"/>
                <w:sz w:val="24"/>
                <w:highlight w:val="none"/>
                <w:lang w:eastAsia="zh-CN"/>
              </w:rPr>
              <w:t>。</w:t>
            </w:r>
          </w:p>
          <w:p w14:paraId="134A1C11">
            <w:pPr>
              <w:keepNext w:val="0"/>
              <w:keepLines w:val="0"/>
              <w:suppressLineNumbers w:val="0"/>
              <w:adjustRightInd w:val="0"/>
              <w:snapToGrid w:val="0"/>
              <w:spacing w:before="0" w:beforeAutospacing="0" w:after="0" w:afterAutospacing="0" w:line="360" w:lineRule="auto"/>
              <w:ind w:left="0" w:right="0" w:firstLine="480" w:firstLineChars="200"/>
              <w:jc w:val="left"/>
              <w:outlineLvl w:val="2"/>
              <w:rPr>
                <w:rFonts w:hint="default"/>
                <w:color w:val="auto"/>
                <w:sz w:val="24"/>
                <w:highlight w:val="none"/>
              </w:rPr>
            </w:pPr>
            <w:r>
              <w:rPr>
                <w:rFonts w:hint="default"/>
                <w:color w:val="auto"/>
                <w:sz w:val="24"/>
                <w:highlight w:val="none"/>
              </w:rPr>
              <w:t>本项目建设1条打磨抛光生产线，打磨抛光产生的少量粉尘经</w:t>
            </w:r>
            <w:r>
              <w:rPr>
                <w:rFonts w:hint="eastAsia"/>
                <w:color w:val="auto"/>
                <w:sz w:val="24"/>
                <w:highlight w:val="none"/>
                <w:lang w:eastAsia="zh-CN"/>
              </w:rPr>
              <w:t>引风机</w:t>
            </w:r>
            <w:r>
              <w:rPr>
                <w:rFonts w:hint="default"/>
                <w:color w:val="auto"/>
                <w:sz w:val="24"/>
                <w:highlight w:val="none"/>
              </w:rPr>
              <w:t>装置抽送至</w:t>
            </w:r>
            <w:r>
              <w:rPr>
                <w:rFonts w:hint="eastAsia"/>
                <w:color w:val="auto"/>
                <w:sz w:val="24"/>
                <w:highlight w:val="none"/>
                <w:lang w:val="en-US" w:eastAsia="zh-CN"/>
              </w:rPr>
              <w:t>环保抛光打磨</w:t>
            </w:r>
            <w:r>
              <w:rPr>
                <w:rFonts w:hint="default"/>
                <w:color w:val="auto"/>
                <w:sz w:val="24"/>
                <w:highlight w:val="none"/>
              </w:rPr>
              <w:t>湿式</w:t>
            </w:r>
            <w:r>
              <w:rPr>
                <w:rFonts w:hint="eastAsia"/>
                <w:color w:val="auto"/>
                <w:sz w:val="24"/>
                <w:highlight w:val="none"/>
                <w:lang w:eastAsia="zh-CN"/>
              </w:rPr>
              <w:t>一体机</w:t>
            </w:r>
            <w:r>
              <w:rPr>
                <w:rFonts w:hint="default"/>
                <w:color w:val="auto"/>
                <w:sz w:val="24"/>
                <w:highlight w:val="none"/>
              </w:rPr>
              <w:t>处理，车间安装通风换气设施，根据</w:t>
            </w:r>
            <w:r>
              <w:rPr>
                <w:rFonts w:hint="eastAsia"/>
                <w:color w:val="auto"/>
                <w:sz w:val="24"/>
                <w:highlight w:val="none"/>
                <w:lang w:val="en-US" w:eastAsia="zh-CN"/>
              </w:rPr>
              <w:t>源强预测</w:t>
            </w:r>
            <w:r>
              <w:rPr>
                <w:rFonts w:hint="default"/>
                <w:color w:val="auto"/>
                <w:sz w:val="24"/>
                <w:highlight w:val="none"/>
              </w:rPr>
              <w:t>，打磨抛光粉尘产生浓度为</w:t>
            </w:r>
            <w:r>
              <w:rPr>
                <w:rFonts w:hint="eastAsia"/>
                <w:color w:val="auto"/>
                <w:sz w:val="24"/>
                <w:highlight w:val="none"/>
                <w:lang w:val="en-US" w:eastAsia="zh-CN"/>
              </w:rPr>
              <w:t>0.05</w:t>
            </w:r>
            <w:r>
              <w:rPr>
                <w:rFonts w:hint="default"/>
                <w:color w:val="auto"/>
                <w:sz w:val="24"/>
                <w:highlight w:val="none"/>
              </w:rPr>
              <w:t>mg/m³</w:t>
            </w:r>
            <w:r>
              <w:rPr>
                <w:rFonts w:hint="eastAsia"/>
                <w:color w:val="auto"/>
                <w:sz w:val="24"/>
                <w:highlight w:val="none"/>
                <w:lang w:eastAsia="zh-CN"/>
              </w:rPr>
              <w:t>，</w:t>
            </w:r>
            <w:r>
              <w:rPr>
                <w:rFonts w:hint="default"/>
                <w:color w:val="auto"/>
                <w:sz w:val="24"/>
                <w:highlight w:val="none"/>
              </w:rPr>
              <w:t>9</w:t>
            </w:r>
            <w:r>
              <w:rPr>
                <w:rFonts w:hint="eastAsia"/>
                <w:color w:val="auto"/>
                <w:sz w:val="24"/>
                <w:highlight w:val="none"/>
                <w:lang w:val="en-US" w:eastAsia="zh-CN"/>
              </w:rPr>
              <w:t>5</w:t>
            </w:r>
            <w:r>
              <w:rPr>
                <w:rFonts w:hint="default"/>
                <w:color w:val="auto"/>
                <w:sz w:val="24"/>
                <w:highlight w:val="none"/>
              </w:rPr>
              <w:t>%以上进入除尘器处理，剩余部分经车间稀释扩散后，浓度小于</w:t>
            </w:r>
            <w:r>
              <w:rPr>
                <w:rFonts w:hint="eastAsia"/>
                <w:color w:val="auto"/>
                <w:sz w:val="24"/>
                <w:highlight w:val="none"/>
                <w:lang w:val="en-US" w:eastAsia="zh-CN"/>
              </w:rPr>
              <w:t>0.05</w:t>
            </w:r>
            <w:r>
              <w:rPr>
                <w:rFonts w:hint="default"/>
                <w:color w:val="auto"/>
                <w:sz w:val="24"/>
                <w:highlight w:val="none"/>
              </w:rPr>
              <w:t>mg/m³</w:t>
            </w:r>
            <w:r>
              <w:rPr>
                <w:rFonts w:hint="eastAsia"/>
                <w:color w:val="auto"/>
                <w:sz w:val="24"/>
                <w:highlight w:val="none"/>
                <w:lang w:eastAsia="zh-CN"/>
              </w:rPr>
              <w:t>，</w:t>
            </w:r>
            <w:r>
              <w:rPr>
                <w:rFonts w:hint="default"/>
                <w:color w:val="auto"/>
                <w:sz w:val="24"/>
                <w:highlight w:val="none"/>
              </w:rPr>
              <w:t>更远小于铝粉尘爆炸下限浓度。</w:t>
            </w:r>
          </w:p>
          <w:p w14:paraId="33BDDF9B">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eastAsia"/>
                <w:color w:val="auto"/>
                <w:sz w:val="24"/>
                <w:highlight w:val="none"/>
                <w:lang w:val="en-US" w:eastAsia="zh-CN"/>
              </w:rPr>
              <w:t>环保抛光打磨</w:t>
            </w:r>
            <w:r>
              <w:rPr>
                <w:rFonts w:hint="default"/>
                <w:color w:val="auto"/>
                <w:sz w:val="24"/>
                <w:highlight w:val="none"/>
              </w:rPr>
              <w:t>湿式</w:t>
            </w:r>
            <w:r>
              <w:rPr>
                <w:rFonts w:hint="eastAsia"/>
                <w:color w:val="auto"/>
                <w:sz w:val="24"/>
                <w:highlight w:val="none"/>
                <w:lang w:eastAsia="zh-CN"/>
              </w:rPr>
              <w:t>一体机</w:t>
            </w:r>
            <w:r>
              <w:rPr>
                <w:rFonts w:hint="eastAsia"/>
                <w:color w:val="auto"/>
                <w:sz w:val="24"/>
                <w:highlight w:val="none"/>
                <w:lang w:val="en-US" w:eastAsia="zh-CN"/>
              </w:rPr>
              <w:t>具备防爆控制箱、漏电保护、水流量监测、氢气报警和氢气自动排放、故障报警等功能</w:t>
            </w:r>
            <w:r>
              <w:rPr>
                <w:rFonts w:hint="eastAsia"/>
                <w:color w:val="auto"/>
                <w:sz w:val="24"/>
                <w:highlight w:val="none"/>
                <w:lang w:eastAsia="zh-CN"/>
              </w:rPr>
              <w:t>，</w:t>
            </w:r>
            <w:r>
              <w:rPr>
                <w:rFonts w:hint="eastAsia"/>
                <w:color w:val="auto"/>
                <w:sz w:val="24"/>
                <w:highlight w:val="none"/>
                <w:lang w:val="en-US" w:eastAsia="zh-CN"/>
              </w:rPr>
              <w:t>将生产过程产生的粉尘有效收集，并将打磨抛光产生的火花在环保抛光打磨湿式一体机内彻底消灭，实现了除尘和粉尘防爆安全的双重效果。具体说明详见附件说明书。</w:t>
            </w:r>
          </w:p>
          <w:p w14:paraId="052543AC">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6.2</w:t>
            </w:r>
            <w:r>
              <w:rPr>
                <w:rFonts w:hint="default" w:ascii="Times New Roman" w:hAnsi="Times New Roman" w:eastAsia="宋体" w:cs="Times New Roman"/>
                <w:color w:val="auto"/>
                <w:kern w:val="2"/>
                <w:sz w:val="24"/>
                <w:szCs w:val="24"/>
                <w:highlight w:val="none"/>
                <w:lang w:val="en-US" w:eastAsia="zh-CN" w:bidi="ar-SA"/>
              </w:rPr>
              <w:t>风险</w:t>
            </w:r>
            <w:r>
              <w:rPr>
                <w:rFonts w:hint="eastAsia" w:ascii="Times New Roman" w:hAnsi="Times New Roman" w:cs="Times New Roman"/>
                <w:color w:val="auto"/>
                <w:kern w:val="2"/>
                <w:sz w:val="24"/>
                <w:szCs w:val="24"/>
                <w:highlight w:val="none"/>
                <w:lang w:val="en-US" w:eastAsia="zh-CN" w:bidi="ar-SA"/>
              </w:rPr>
              <w:t>物质</w:t>
            </w:r>
          </w:p>
          <w:p w14:paraId="485E0F0E">
            <w:pPr>
              <w:pStyle w:val="20"/>
              <w:keepNext w:val="0"/>
              <w:keepLines w:val="0"/>
              <w:suppressLineNumbers w:val="0"/>
              <w:adjustRightInd w:val="0"/>
              <w:snapToGrid w:val="0"/>
              <w:spacing w:before="0" w:beforeAutospacing="0" w:after="0" w:afterAutospacing="0" w:line="360" w:lineRule="auto"/>
              <w:ind w:left="0" w:leftChars="0" w:right="0" w:firstLine="420"/>
              <w:rPr>
                <w:rFonts w:hint="default"/>
                <w:color w:val="auto"/>
                <w:sz w:val="24"/>
                <w:highlight w:val="none"/>
              </w:rPr>
            </w:pPr>
            <w:r>
              <w:rPr>
                <w:rFonts w:hint="default"/>
                <w:color w:val="auto"/>
                <w:sz w:val="24"/>
                <w:highlight w:val="none"/>
              </w:rPr>
              <w:t>本项目主要风险物质详见下表。</w:t>
            </w:r>
          </w:p>
          <w:p w14:paraId="71CACBA4">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color w:val="auto"/>
                <w:sz w:val="24"/>
                <w:highlight w:val="none"/>
              </w:rPr>
              <w:t>根据导则中附录C可知，当Q＜1时，项目风险潜势为Ⅰ，确定该项目</w:t>
            </w:r>
            <w:r>
              <w:rPr>
                <w:rFonts w:hint="eastAsia"/>
                <w:color w:val="auto"/>
                <w:sz w:val="24"/>
                <w:highlight w:val="none"/>
              </w:rPr>
              <w:t>环境风险</w:t>
            </w:r>
            <w:r>
              <w:rPr>
                <w:rFonts w:hint="default"/>
                <w:color w:val="auto"/>
                <w:sz w:val="24"/>
                <w:highlight w:val="none"/>
              </w:rPr>
              <w:t>评价等级为简单分析。</w:t>
            </w:r>
          </w:p>
          <w:p w14:paraId="709150BE">
            <w:pPr>
              <w:pStyle w:val="4"/>
              <w:keepNext w:val="0"/>
              <w:keepLines w:val="0"/>
              <w:suppressLineNumbers w:val="0"/>
              <w:spacing w:before="0" w:beforeAutospacing="0" w:after="0" w:afterAutospacing="0" w:line="240" w:lineRule="auto"/>
              <w:ind w:left="0" w:right="0" w:firstLine="482"/>
              <w:jc w:val="center"/>
              <w:rPr>
                <w:rFonts w:hint="default"/>
                <w:b/>
                <w:bCs/>
                <w:color w:val="auto"/>
                <w:highlight w:val="none"/>
              </w:rPr>
            </w:pPr>
            <w:r>
              <w:rPr>
                <w:rFonts w:hint="default"/>
                <w:b/>
                <w:bCs/>
                <w:color w:val="auto"/>
                <w:sz w:val="24"/>
                <w:szCs w:val="24"/>
                <w:highlight w:val="none"/>
              </w:rPr>
              <w:t>表</w:t>
            </w:r>
            <w:r>
              <w:rPr>
                <w:rFonts w:hint="eastAsia"/>
                <w:b/>
                <w:bCs/>
                <w:color w:val="auto"/>
                <w:sz w:val="24"/>
                <w:szCs w:val="24"/>
                <w:highlight w:val="none"/>
              </w:rPr>
              <w:t>4-1</w:t>
            </w:r>
            <w:r>
              <w:rPr>
                <w:rFonts w:hint="eastAsia"/>
                <w:b/>
                <w:bCs/>
                <w:color w:val="auto"/>
                <w:sz w:val="24"/>
                <w:szCs w:val="24"/>
                <w:highlight w:val="none"/>
                <w:lang w:val="en-US" w:eastAsia="zh-CN"/>
              </w:rPr>
              <w:t>4</w:t>
            </w:r>
            <w:r>
              <w:rPr>
                <w:rFonts w:hint="eastAsia"/>
                <w:b/>
                <w:bCs/>
                <w:color w:val="auto"/>
                <w:sz w:val="24"/>
                <w:szCs w:val="24"/>
                <w:highlight w:val="none"/>
              </w:rPr>
              <w:t xml:space="preserve"> </w:t>
            </w:r>
            <w:r>
              <w:rPr>
                <w:rFonts w:hint="default"/>
                <w:b/>
                <w:bCs/>
                <w:color w:val="auto"/>
                <w:sz w:val="24"/>
                <w:szCs w:val="24"/>
                <w:highlight w:val="none"/>
              </w:rPr>
              <w:t>环境风险评价工作等级划分表</w:t>
            </w:r>
          </w:p>
          <w:tbl>
            <w:tblPr>
              <w:tblStyle w:val="35"/>
              <w:tblpPr w:vertAnchor="text" w:tblpY="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170"/>
              <w:gridCol w:w="1544"/>
              <w:gridCol w:w="1534"/>
              <w:gridCol w:w="1537"/>
              <w:gridCol w:w="1538"/>
            </w:tblGrid>
            <w:tr w14:paraId="5AE23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7" w:hRule="atLeast"/>
              </w:trPr>
              <w:tc>
                <w:tcPr>
                  <w:tcW w:w="1303" w:type="pct"/>
                  <w:noWrap/>
                  <w:vAlign w:val="center"/>
                </w:tcPr>
                <w:p w14:paraId="55D57C52">
                  <w:pPr>
                    <w:keepNext w:val="0"/>
                    <w:keepLines w:val="0"/>
                    <w:suppressLineNumbers w:val="0"/>
                    <w:adjustRightInd w:val="0"/>
                    <w:snapToGrid w:val="0"/>
                    <w:spacing w:before="0" w:beforeAutospacing="0" w:after="0" w:afterAutospacing="0"/>
                    <w:ind w:left="0" w:right="0"/>
                    <w:jc w:val="center"/>
                    <w:rPr>
                      <w:rFonts w:hint="default"/>
                      <w:b/>
                      <w:bCs/>
                      <w:color w:val="auto"/>
                      <w:szCs w:val="21"/>
                      <w:highlight w:val="none"/>
                    </w:rPr>
                  </w:pPr>
                  <w:r>
                    <w:rPr>
                      <w:rFonts w:hint="default"/>
                      <w:b/>
                      <w:bCs/>
                      <w:color w:val="auto"/>
                      <w:szCs w:val="21"/>
                      <w:highlight w:val="none"/>
                    </w:rPr>
                    <w:t>环境风险潜势</w:t>
                  </w:r>
                </w:p>
              </w:tc>
              <w:tc>
                <w:tcPr>
                  <w:tcW w:w="927" w:type="pct"/>
                  <w:noWrap/>
                  <w:vAlign w:val="center"/>
                </w:tcPr>
                <w:p w14:paraId="1EB5D1AD">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Ⅳ、Ⅳ</w:t>
                  </w:r>
                  <w:r>
                    <w:rPr>
                      <w:rFonts w:hint="default"/>
                      <w:color w:val="auto"/>
                      <w:szCs w:val="21"/>
                      <w:highlight w:val="none"/>
                      <w:vertAlign w:val="superscript"/>
                    </w:rPr>
                    <w:t>+</w:t>
                  </w:r>
                </w:p>
              </w:tc>
              <w:tc>
                <w:tcPr>
                  <w:tcW w:w="921" w:type="pct"/>
                  <w:noWrap/>
                  <w:vAlign w:val="center"/>
                </w:tcPr>
                <w:p w14:paraId="34E6F4FC">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Ⅲ</w:t>
                  </w:r>
                </w:p>
              </w:tc>
              <w:tc>
                <w:tcPr>
                  <w:tcW w:w="923" w:type="pct"/>
                  <w:noWrap/>
                  <w:vAlign w:val="center"/>
                </w:tcPr>
                <w:p w14:paraId="31AD3C71">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Ⅱ</w:t>
                  </w:r>
                </w:p>
              </w:tc>
              <w:tc>
                <w:tcPr>
                  <w:tcW w:w="923" w:type="pct"/>
                  <w:noWrap/>
                  <w:vAlign w:val="center"/>
                </w:tcPr>
                <w:p w14:paraId="22CE1701">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Ⅰ</w:t>
                  </w:r>
                </w:p>
              </w:tc>
            </w:tr>
            <w:tr w14:paraId="1C04A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 w:hRule="atLeast"/>
              </w:trPr>
              <w:tc>
                <w:tcPr>
                  <w:tcW w:w="1303" w:type="pct"/>
                  <w:noWrap/>
                  <w:vAlign w:val="center"/>
                </w:tcPr>
                <w:p w14:paraId="33F395B5">
                  <w:pPr>
                    <w:keepNext w:val="0"/>
                    <w:keepLines w:val="0"/>
                    <w:suppressLineNumbers w:val="0"/>
                    <w:adjustRightInd w:val="0"/>
                    <w:snapToGrid w:val="0"/>
                    <w:spacing w:before="0" w:beforeAutospacing="0" w:after="0" w:afterAutospacing="0"/>
                    <w:ind w:left="0" w:right="0"/>
                    <w:jc w:val="center"/>
                    <w:rPr>
                      <w:rFonts w:hint="default"/>
                      <w:b/>
                      <w:bCs/>
                      <w:color w:val="auto"/>
                      <w:szCs w:val="21"/>
                      <w:highlight w:val="none"/>
                    </w:rPr>
                  </w:pPr>
                  <w:r>
                    <w:rPr>
                      <w:rFonts w:hint="default"/>
                      <w:b/>
                      <w:bCs/>
                      <w:color w:val="auto"/>
                      <w:szCs w:val="21"/>
                      <w:highlight w:val="none"/>
                    </w:rPr>
                    <w:t>评价工作等级</w:t>
                  </w:r>
                </w:p>
              </w:tc>
              <w:tc>
                <w:tcPr>
                  <w:tcW w:w="927" w:type="pct"/>
                  <w:noWrap/>
                  <w:vAlign w:val="center"/>
                </w:tcPr>
                <w:p w14:paraId="2696B314">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一</w:t>
                  </w:r>
                </w:p>
              </w:tc>
              <w:tc>
                <w:tcPr>
                  <w:tcW w:w="921" w:type="pct"/>
                  <w:noWrap/>
                  <w:vAlign w:val="center"/>
                </w:tcPr>
                <w:p w14:paraId="01066903">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二</w:t>
                  </w:r>
                </w:p>
              </w:tc>
              <w:tc>
                <w:tcPr>
                  <w:tcW w:w="923" w:type="pct"/>
                  <w:noWrap/>
                  <w:vAlign w:val="center"/>
                </w:tcPr>
                <w:p w14:paraId="0BC206EF">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三</w:t>
                  </w:r>
                </w:p>
              </w:tc>
              <w:tc>
                <w:tcPr>
                  <w:tcW w:w="923" w:type="pct"/>
                  <w:noWrap/>
                  <w:vAlign w:val="center"/>
                </w:tcPr>
                <w:p w14:paraId="3CF1EEF7">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简单分析</w:t>
                  </w:r>
                </w:p>
              </w:tc>
            </w:tr>
          </w:tbl>
          <w:p w14:paraId="1C253AD9">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auto"/>
                <w:sz w:val="24"/>
                <w:highlight w:val="none"/>
              </w:rPr>
            </w:pPr>
            <w:r>
              <w:rPr>
                <w:rFonts w:hint="default"/>
                <w:color w:val="auto"/>
                <w:sz w:val="24"/>
                <w:highlight w:val="none"/>
              </w:rPr>
              <w:t xml:space="preserve">根据《建设项目环境风险评价技术导则》（HJ </w:t>
            </w:r>
            <w:r>
              <w:rPr>
                <w:rFonts w:hint="default" w:ascii="Times New Roman" w:hAnsi="Times New Roman" w:cs="Times New Roman"/>
                <w:color w:val="auto"/>
                <w:sz w:val="24"/>
                <w:highlight w:val="none"/>
              </w:rPr>
              <w:t>169-2018</w:t>
            </w:r>
            <w:r>
              <w:rPr>
                <w:rFonts w:hint="default"/>
                <w:color w:val="auto"/>
                <w:sz w:val="24"/>
                <w:highlight w:val="none"/>
              </w:rPr>
              <w:t>）中附录</w:t>
            </w:r>
            <w:r>
              <w:rPr>
                <w:rFonts w:hint="default" w:ascii="Times New Roman" w:hAnsi="Times New Roman" w:cs="Times New Roman"/>
                <w:color w:val="auto"/>
                <w:sz w:val="24"/>
                <w:highlight w:val="none"/>
              </w:rPr>
              <w:t>B</w:t>
            </w:r>
            <w:r>
              <w:rPr>
                <w:rFonts w:hint="default"/>
                <w:color w:val="auto"/>
                <w:sz w:val="24"/>
                <w:highlight w:val="none"/>
              </w:rPr>
              <w:t>和附录</w:t>
            </w:r>
            <w:r>
              <w:rPr>
                <w:rFonts w:hint="default" w:ascii="Times New Roman" w:hAnsi="Times New Roman" w:cs="Times New Roman"/>
                <w:color w:val="auto"/>
                <w:sz w:val="24"/>
                <w:highlight w:val="none"/>
              </w:rPr>
              <w:t>C</w:t>
            </w:r>
            <w:r>
              <w:rPr>
                <w:rFonts w:hint="default"/>
                <w:color w:val="auto"/>
                <w:sz w:val="24"/>
                <w:highlight w:val="none"/>
              </w:rPr>
              <w:t>，对本工程中涉及的各种危险物质进行计算分级，并判断项目环境风险潜势。</w:t>
            </w:r>
          </w:p>
          <w:p w14:paraId="0243E83D">
            <w:pPr>
              <w:pStyle w:val="20"/>
              <w:keepNext w:val="0"/>
              <w:keepLines w:val="0"/>
              <w:suppressLineNumbers w:val="0"/>
              <w:spacing w:before="0" w:beforeAutospacing="0" w:after="0" w:afterAutospacing="0" w:line="240" w:lineRule="auto"/>
              <w:ind w:left="0" w:leftChars="0" w:right="0"/>
              <w:jc w:val="center"/>
              <w:rPr>
                <w:rFonts w:hint="default"/>
                <w:b/>
                <w:bCs/>
                <w:color w:val="auto"/>
                <w:sz w:val="24"/>
                <w:highlight w:val="none"/>
              </w:rPr>
            </w:pPr>
            <w:r>
              <w:rPr>
                <w:rFonts w:hint="eastAsia"/>
                <w:b/>
                <w:bCs/>
                <w:color w:val="auto"/>
                <w:sz w:val="24"/>
                <w:highlight w:val="none"/>
              </w:rPr>
              <w:t>表4-1</w:t>
            </w:r>
            <w:r>
              <w:rPr>
                <w:rFonts w:hint="eastAsia"/>
                <w:b/>
                <w:bCs/>
                <w:color w:val="auto"/>
                <w:sz w:val="24"/>
                <w:highlight w:val="none"/>
                <w:lang w:val="en-US" w:eastAsia="zh-CN"/>
              </w:rPr>
              <w:t>5</w:t>
            </w:r>
            <w:r>
              <w:rPr>
                <w:rFonts w:hint="eastAsia"/>
                <w:b/>
                <w:bCs/>
                <w:color w:val="auto"/>
                <w:sz w:val="24"/>
                <w:highlight w:val="none"/>
              </w:rPr>
              <w:t xml:space="preserve">  主要风险物质一览表</w:t>
            </w:r>
          </w:p>
          <w:tbl>
            <w:tblPr>
              <w:tblStyle w:val="35"/>
              <w:tblpPr w:leftFromText="180" w:rightFromText="180" w:vertAnchor="text" w:tblpXSpec="center" w:tblpY="1"/>
              <w:tblOverlap w:val="never"/>
              <w:tblW w:w="5000" w:type="pct"/>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588"/>
              <w:gridCol w:w="1542"/>
              <w:gridCol w:w="1676"/>
              <w:gridCol w:w="1818"/>
              <w:gridCol w:w="1535"/>
              <w:gridCol w:w="1164"/>
            </w:tblGrid>
            <w:tr w14:paraId="6F1F20CE">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PrEx>
              <w:trPr>
                <w:trHeight w:val="340" w:hRule="atLeast"/>
                <w:jc w:val="center"/>
              </w:trPr>
              <w:tc>
                <w:tcPr>
                  <w:tcW w:w="353" w:type="pct"/>
                  <w:noWrap/>
                  <w:vAlign w:val="center"/>
                </w:tcPr>
                <w:p w14:paraId="7BB4DAD4">
                  <w:pPr>
                    <w:keepNext w:val="0"/>
                    <w:keepLines w:val="0"/>
                    <w:suppressLineNumbers w:val="0"/>
                    <w:topLinePunct/>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序号</w:t>
                  </w:r>
                </w:p>
              </w:tc>
              <w:tc>
                <w:tcPr>
                  <w:tcW w:w="926" w:type="pct"/>
                  <w:noWrap/>
                  <w:vAlign w:val="center"/>
                </w:tcPr>
                <w:p w14:paraId="7EAE718A">
                  <w:pPr>
                    <w:keepNext w:val="0"/>
                    <w:keepLines w:val="0"/>
                    <w:suppressLineNumbers w:val="0"/>
                    <w:topLinePunct/>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危险废物名称</w:t>
                  </w:r>
                </w:p>
              </w:tc>
              <w:tc>
                <w:tcPr>
                  <w:tcW w:w="1006" w:type="pct"/>
                  <w:noWrap/>
                  <w:vAlign w:val="center"/>
                </w:tcPr>
                <w:p w14:paraId="3C0E7743">
                  <w:pPr>
                    <w:keepNext w:val="0"/>
                    <w:keepLines w:val="0"/>
                    <w:suppressLineNumbers w:val="0"/>
                    <w:topLinePunct/>
                    <w:adjustRightInd w:val="0"/>
                    <w:snapToGrid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风险单元/工序</w:t>
                  </w:r>
                </w:p>
              </w:tc>
              <w:tc>
                <w:tcPr>
                  <w:tcW w:w="1092" w:type="pct"/>
                  <w:noWrap/>
                  <w:vAlign w:val="center"/>
                </w:tcPr>
                <w:p w14:paraId="17C7887F">
                  <w:pPr>
                    <w:keepNext w:val="0"/>
                    <w:keepLines w:val="0"/>
                    <w:suppressLineNumbers w:val="0"/>
                    <w:topLinePunct/>
                    <w:adjustRightInd w:val="0"/>
                    <w:snapToGrid w:val="0"/>
                    <w:spacing w:before="0" w:beforeAutospacing="0" w:after="0" w:afterAutospacing="0"/>
                    <w:ind w:left="0" w:right="0"/>
                    <w:jc w:val="center"/>
                    <w:rPr>
                      <w:rFonts w:hint="default" w:eastAsia="宋体"/>
                      <w:color w:val="auto"/>
                      <w:szCs w:val="21"/>
                      <w:highlight w:val="none"/>
                      <w:lang w:val="en-US" w:eastAsia="zh-CN"/>
                    </w:rPr>
                  </w:pPr>
                  <w:r>
                    <w:rPr>
                      <w:rFonts w:hint="default"/>
                      <w:color w:val="auto"/>
                      <w:szCs w:val="21"/>
                      <w:highlight w:val="none"/>
                    </w:rPr>
                    <w:t>全厂最大储存量</w:t>
                  </w:r>
                  <w:r>
                    <w:rPr>
                      <w:rFonts w:hint="eastAsia"/>
                      <w:color w:val="auto"/>
                      <w:szCs w:val="21"/>
                      <w:highlight w:val="none"/>
                      <w:lang w:val="en-US" w:eastAsia="zh-CN"/>
                    </w:rPr>
                    <w:t>q（t）</w:t>
                  </w:r>
                </w:p>
              </w:tc>
              <w:tc>
                <w:tcPr>
                  <w:tcW w:w="922" w:type="pct"/>
                  <w:noWrap/>
                  <w:vAlign w:val="center"/>
                </w:tcPr>
                <w:p w14:paraId="4A847520">
                  <w:pPr>
                    <w:keepNext w:val="0"/>
                    <w:keepLines w:val="0"/>
                    <w:suppressLineNumbers w:val="0"/>
                    <w:topLinePunct/>
                    <w:adjustRightInd w:val="0"/>
                    <w:snapToGrid w:val="0"/>
                    <w:spacing w:before="0" w:beforeAutospacing="0" w:after="0" w:afterAutospacing="0"/>
                    <w:ind w:left="0" w:right="0"/>
                    <w:jc w:val="center"/>
                    <w:rPr>
                      <w:rFonts w:hint="default" w:eastAsia="宋体"/>
                      <w:color w:val="auto"/>
                      <w:szCs w:val="21"/>
                      <w:highlight w:val="none"/>
                      <w:lang w:val="en-US" w:eastAsia="zh-CN"/>
                    </w:rPr>
                  </w:pPr>
                  <w:r>
                    <w:rPr>
                      <w:rFonts w:hint="default"/>
                      <w:color w:val="auto"/>
                      <w:szCs w:val="21"/>
                      <w:highlight w:val="none"/>
                    </w:rPr>
                    <w:t>临界量</w:t>
                  </w:r>
                  <w:r>
                    <w:rPr>
                      <w:rFonts w:hint="eastAsia"/>
                      <w:color w:val="auto"/>
                      <w:szCs w:val="21"/>
                      <w:highlight w:val="none"/>
                      <w:lang w:val="en-US" w:eastAsia="zh-CN"/>
                    </w:rPr>
                    <w:t>Q（t）</w:t>
                  </w:r>
                </w:p>
              </w:tc>
              <w:tc>
                <w:tcPr>
                  <w:tcW w:w="699" w:type="pct"/>
                  <w:noWrap/>
                  <w:vAlign w:val="center"/>
                </w:tcPr>
                <w:p w14:paraId="2507BDE3">
                  <w:pPr>
                    <w:keepNext w:val="0"/>
                    <w:keepLines w:val="0"/>
                    <w:suppressLineNumbers w:val="0"/>
                    <w:topLinePunct/>
                    <w:adjustRightInd w:val="0"/>
                    <w:snapToGrid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q/Q</w:t>
                  </w:r>
                </w:p>
              </w:tc>
            </w:tr>
            <w:tr w14:paraId="69DEF8D8">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53" w:type="pct"/>
                  <w:shd w:val="clear" w:color="auto" w:fill="auto"/>
                  <w:noWrap/>
                  <w:vAlign w:val="center"/>
                </w:tcPr>
                <w:p w14:paraId="453C9740">
                  <w:pPr>
                    <w:keepNext w:val="0"/>
                    <w:keepLines w:val="0"/>
                    <w:suppressLineNumbers w:val="0"/>
                    <w:topLinePunct/>
                    <w:adjustRightInd w:val="0"/>
                    <w:snapToGrid w:val="0"/>
                    <w:spacing w:before="0" w:beforeAutospacing="0" w:after="0" w:afterAutospacing="0"/>
                    <w:ind w:left="0" w:right="0"/>
                    <w:jc w:val="center"/>
                    <w:rPr>
                      <w:rFonts w:hint="eastAsia" w:eastAsia="宋体"/>
                      <w:color w:val="auto"/>
                      <w:szCs w:val="21"/>
                      <w:highlight w:val="none"/>
                      <w:lang w:val="en-US" w:eastAsia="zh-CN"/>
                    </w:rPr>
                  </w:pPr>
                  <w:r>
                    <w:rPr>
                      <w:rFonts w:hint="eastAsia"/>
                      <w:color w:val="auto"/>
                      <w:szCs w:val="21"/>
                      <w:highlight w:val="none"/>
                      <w:lang w:val="en-US" w:eastAsia="zh-CN"/>
                    </w:rPr>
                    <w:t>1</w:t>
                  </w:r>
                </w:p>
              </w:tc>
              <w:tc>
                <w:tcPr>
                  <w:tcW w:w="926" w:type="pct"/>
                  <w:shd w:val="clear" w:color="auto" w:fill="auto"/>
                  <w:noWrap/>
                  <w:vAlign w:val="center"/>
                </w:tcPr>
                <w:p w14:paraId="584F272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润滑油</w:t>
                  </w:r>
                </w:p>
              </w:tc>
              <w:tc>
                <w:tcPr>
                  <w:tcW w:w="1006" w:type="pct"/>
                  <w:vMerge w:val="restart"/>
                  <w:shd w:val="clear" w:color="auto" w:fill="auto"/>
                  <w:noWrap/>
                  <w:vAlign w:val="center"/>
                </w:tcPr>
                <w:p w14:paraId="2F1F0F37">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原材料区</w:t>
                  </w:r>
                </w:p>
              </w:tc>
              <w:tc>
                <w:tcPr>
                  <w:tcW w:w="1092" w:type="pct"/>
                  <w:shd w:val="clear" w:color="auto" w:fill="auto"/>
                  <w:noWrap/>
                  <w:vAlign w:val="center"/>
                </w:tcPr>
                <w:p w14:paraId="29CA1C9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0.3</w:t>
                  </w:r>
                </w:p>
              </w:tc>
              <w:tc>
                <w:tcPr>
                  <w:tcW w:w="922" w:type="pct"/>
                  <w:shd w:val="clear" w:color="auto" w:fill="auto"/>
                  <w:noWrap/>
                  <w:vAlign w:val="center"/>
                </w:tcPr>
                <w:p w14:paraId="4B7FE2C9">
                  <w:pPr>
                    <w:keepNext w:val="0"/>
                    <w:keepLines w:val="0"/>
                    <w:suppressLineNumbers w:val="0"/>
                    <w:topLinePunct/>
                    <w:adjustRightInd w:val="0"/>
                    <w:snapToGrid w:val="0"/>
                    <w:spacing w:before="0" w:beforeAutospacing="0" w:after="0" w:afterAutospacing="0"/>
                    <w:ind w:left="0" w:leftChars="0" w:right="0" w:rightChars="0"/>
                    <w:jc w:val="center"/>
                    <w:rPr>
                      <w:rFonts w:hint="default" w:eastAsia="宋体"/>
                      <w:color w:val="auto"/>
                      <w:szCs w:val="21"/>
                      <w:highlight w:val="none"/>
                      <w:lang w:val="en-US" w:eastAsia="zh-CN"/>
                    </w:rPr>
                  </w:pPr>
                  <w:r>
                    <w:rPr>
                      <w:rFonts w:hint="eastAsia"/>
                      <w:color w:val="auto"/>
                      <w:szCs w:val="21"/>
                      <w:highlight w:val="none"/>
                      <w:lang w:val="en-US" w:eastAsia="zh-CN"/>
                    </w:rPr>
                    <w:t>2500</w:t>
                  </w:r>
                </w:p>
              </w:tc>
              <w:tc>
                <w:tcPr>
                  <w:tcW w:w="699" w:type="pct"/>
                  <w:noWrap/>
                  <w:vAlign w:val="center"/>
                </w:tcPr>
                <w:p w14:paraId="3305C450">
                  <w:pPr>
                    <w:keepNext w:val="0"/>
                    <w:keepLines w:val="0"/>
                    <w:suppressLineNumbers w:val="0"/>
                    <w:topLinePunct/>
                    <w:adjustRightInd w:val="0"/>
                    <w:snapToGrid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0.00012</w:t>
                  </w:r>
                </w:p>
              </w:tc>
            </w:tr>
            <w:tr w14:paraId="7AC7DCFE">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53" w:type="pct"/>
                  <w:shd w:val="clear" w:color="auto" w:fill="auto"/>
                  <w:noWrap/>
                  <w:vAlign w:val="center"/>
                </w:tcPr>
                <w:p w14:paraId="7F8059AC">
                  <w:pPr>
                    <w:keepNext w:val="0"/>
                    <w:keepLines w:val="0"/>
                    <w:suppressLineNumbers w:val="0"/>
                    <w:topLinePunct/>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2</w:t>
                  </w:r>
                </w:p>
              </w:tc>
              <w:tc>
                <w:tcPr>
                  <w:tcW w:w="926" w:type="pct"/>
                  <w:shd w:val="clear" w:color="auto" w:fill="auto"/>
                  <w:noWrap/>
                  <w:vAlign w:val="center"/>
                </w:tcPr>
                <w:p w14:paraId="1506EF12">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机油</w:t>
                  </w:r>
                </w:p>
              </w:tc>
              <w:tc>
                <w:tcPr>
                  <w:tcW w:w="1006" w:type="pct"/>
                  <w:vMerge w:val="continue"/>
                  <w:shd w:val="clear" w:color="auto" w:fill="auto"/>
                  <w:noWrap/>
                  <w:vAlign w:val="center"/>
                </w:tcPr>
                <w:p w14:paraId="37067838">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cs="Times New Roman"/>
                      <w:color w:val="auto"/>
                      <w:kern w:val="0"/>
                      <w:sz w:val="21"/>
                      <w:szCs w:val="21"/>
                      <w:highlight w:val="none"/>
                      <w:lang w:val="en-US" w:eastAsia="zh-CN" w:bidi="ar-SA"/>
                    </w:rPr>
                  </w:pPr>
                </w:p>
              </w:tc>
              <w:tc>
                <w:tcPr>
                  <w:tcW w:w="1092" w:type="pct"/>
                  <w:shd w:val="clear" w:color="auto" w:fill="auto"/>
                  <w:noWrap/>
                  <w:vAlign w:val="center"/>
                </w:tcPr>
                <w:p w14:paraId="43E296BA">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0.005</w:t>
                  </w:r>
                </w:p>
              </w:tc>
              <w:tc>
                <w:tcPr>
                  <w:tcW w:w="922" w:type="pct"/>
                  <w:shd w:val="clear" w:color="auto" w:fill="auto"/>
                  <w:noWrap/>
                  <w:vAlign w:val="center"/>
                </w:tcPr>
                <w:p w14:paraId="78E880D6">
                  <w:pPr>
                    <w:keepNext w:val="0"/>
                    <w:keepLines w:val="0"/>
                    <w:suppressLineNumbers w:val="0"/>
                    <w:topLinePunct/>
                    <w:adjustRightInd w:val="0"/>
                    <w:snapToGrid w:val="0"/>
                    <w:spacing w:before="0" w:beforeAutospacing="0" w:after="0" w:afterAutospacing="0"/>
                    <w:ind w:left="0" w:leftChars="0" w:right="0" w:rightChars="0"/>
                    <w:jc w:val="center"/>
                    <w:rPr>
                      <w:rFonts w:hint="default" w:eastAsia="宋体"/>
                      <w:color w:val="auto"/>
                      <w:szCs w:val="21"/>
                      <w:highlight w:val="none"/>
                      <w:lang w:val="en-US" w:eastAsia="zh-CN"/>
                    </w:rPr>
                  </w:pPr>
                  <w:r>
                    <w:rPr>
                      <w:rFonts w:hint="eastAsia"/>
                      <w:color w:val="auto"/>
                      <w:szCs w:val="21"/>
                      <w:highlight w:val="none"/>
                      <w:lang w:val="en-US" w:eastAsia="zh-CN"/>
                    </w:rPr>
                    <w:t>2500</w:t>
                  </w:r>
                </w:p>
              </w:tc>
              <w:tc>
                <w:tcPr>
                  <w:tcW w:w="699" w:type="pct"/>
                  <w:tcBorders>
                    <w:bottom w:val="single" w:color="auto" w:sz="4" w:space="0"/>
                  </w:tcBorders>
                  <w:noWrap/>
                  <w:vAlign w:val="center"/>
                </w:tcPr>
                <w:p w14:paraId="41A7BE1B">
                  <w:pPr>
                    <w:keepNext w:val="0"/>
                    <w:keepLines w:val="0"/>
                    <w:suppressLineNumbers w:val="0"/>
                    <w:topLinePunct/>
                    <w:adjustRightInd w:val="0"/>
                    <w:snapToGrid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0.000002</w:t>
                  </w:r>
                </w:p>
              </w:tc>
            </w:tr>
            <w:tr w14:paraId="010C025C">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53" w:type="pct"/>
                  <w:shd w:val="clear" w:color="auto" w:fill="auto"/>
                  <w:noWrap/>
                  <w:vAlign w:val="center"/>
                </w:tcPr>
                <w:p w14:paraId="61A38188">
                  <w:pPr>
                    <w:keepNext w:val="0"/>
                    <w:keepLines w:val="0"/>
                    <w:suppressLineNumbers w:val="0"/>
                    <w:topLinePunct/>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3</w:t>
                  </w:r>
                </w:p>
              </w:tc>
              <w:tc>
                <w:tcPr>
                  <w:tcW w:w="926" w:type="pct"/>
                  <w:shd w:val="clear" w:color="auto" w:fill="auto"/>
                  <w:noWrap/>
                  <w:vAlign w:val="center"/>
                </w:tcPr>
                <w:p w14:paraId="369A5585">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废润滑油</w:t>
                  </w:r>
                </w:p>
              </w:tc>
              <w:tc>
                <w:tcPr>
                  <w:tcW w:w="1006" w:type="pct"/>
                  <w:vMerge w:val="restart"/>
                  <w:shd w:val="clear" w:color="auto" w:fill="auto"/>
                  <w:noWrap/>
                  <w:vAlign w:val="center"/>
                </w:tcPr>
                <w:p w14:paraId="3DD1F9C7">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危废间</w:t>
                  </w:r>
                </w:p>
              </w:tc>
              <w:tc>
                <w:tcPr>
                  <w:tcW w:w="1092" w:type="pct"/>
                  <w:shd w:val="clear" w:color="auto" w:fill="auto"/>
                  <w:noWrap/>
                  <w:vAlign w:val="center"/>
                </w:tcPr>
                <w:p w14:paraId="2D8D8B7B">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0.0</w:t>
                  </w:r>
                  <w:r>
                    <w:rPr>
                      <w:rFonts w:hint="eastAsia" w:ascii="Times New Roman"/>
                      <w:color w:val="auto"/>
                      <w:sz w:val="21"/>
                      <w:szCs w:val="21"/>
                      <w:highlight w:val="none"/>
                      <w:lang w:val="en-US" w:eastAsia="zh-CN"/>
                    </w:rPr>
                    <w:t>3</w:t>
                  </w:r>
                </w:p>
              </w:tc>
              <w:tc>
                <w:tcPr>
                  <w:tcW w:w="922" w:type="pct"/>
                  <w:shd w:val="clear" w:color="auto" w:fill="auto"/>
                  <w:noWrap/>
                  <w:vAlign w:val="center"/>
                </w:tcPr>
                <w:p w14:paraId="17FB1F14">
                  <w:pPr>
                    <w:keepNext w:val="0"/>
                    <w:keepLines w:val="0"/>
                    <w:suppressLineNumbers w:val="0"/>
                    <w:topLinePunct/>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color w:val="auto"/>
                      <w:szCs w:val="21"/>
                      <w:highlight w:val="none"/>
                    </w:rPr>
                    <w:t>50</w:t>
                  </w:r>
                </w:p>
              </w:tc>
              <w:tc>
                <w:tcPr>
                  <w:tcW w:w="699" w:type="pct"/>
                  <w:tcBorders>
                    <w:bottom w:val="single" w:color="auto" w:sz="4" w:space="0"/>
                  </w:tcBorders>
                  <w:noWrap/>
                  <w:vAlign w:val="center"/>
                </w:tcPr>
                <w:p w14:paraId="5CDBDB0A">
                  <w:pPr>
                    <w:keepNext w:val="0"/>
                    <w:keepLines w:val="0"/>
                    <w:suppressLineNumbers w:val="0"/>
                    <w:topLinePunct/>
                    <w:adjustRightInd w:val="0"/>
                    <w:snapToGrid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0.0006</w:t>
                  </w:r>
                </w:p>
              </w:tc>
            </w:tr>
            <w:tr w14:paraId="40462EE1">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53" w:type="pct"/>
                  <w:shd w:val="clear" w:color="auto" w:fill="auto"/>
                  <w:noWrap/>
                  <w:vAlign w:val="center"/>
                </w:tcPr>
                <w:p w14:paraId="3E987850">
                  <w:pPr>
                    <w:keepNext w:val="0"/>
                    <w:keepLines w:val="0"/>
                    <w:suppressLineNumbers w:val="0"/>
                    <w:topLinePunct/>
                    <w:adjustRightInd w:val="0"/>
                    <w:snapToGrid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4</w:t>
                  </w:r>
                </w:p>
              </w:tc>
              <w:tc>
                <w:tcPr>
                  <w:tcW w:w="926" w:type="pct"/>
                  <w:shd w:val="clear" w:color="auto" w:fill="auto"/>
                  <w:noWrap/>
                  <w:vAlign w:val="center"/>
                </w:tcPr>
                <w:p w14:paraId="3006B36C">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废润滑油桶</w:t>
                  </w:r>
                </w:p>
              </w:tc>
              <w:tc>
                <w:tcPr>
                  <w:tcW w:w="1006" w:type="pct"/>
                  <w:vMerge w:val="continue"/>
                  <w:shd w:val="clear" w:color="auto" w:fill="auto"/>
                  <w:noWrap/>
                  <w:vAlign w:val="center"/>
                </w:tcPr>
                <w:p w14:paraId="554B9375">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cs="Times New Roman"/>
                      <w:color w:val="auto"/>
                      <w:kern w:val="0"/>
                      <w:sz w:val="21"/>
                      <w:szCs w:val="21"/>
                      <w:highlight w:val="none"/>
                      <w:lang w:val="en-US" w:eastAsia="zh-CN" w:bidi="ar-SA"/>
                    </w:rPr>
                  </w:pPr>
                </w:p>
              </w:tc>
              <w:tc>
                <w:tcPr>
                  <w:tcW w:w="1092" w:type="pct"/>
                  <w:shd w:val="clear" w:color="auto" w:fill="auto"/>
                  <w:noWrap/>
                  <w:vAlign w:val="center"/>
                </w:tcPr>
                <w:p w14:paraId="6CB5B890">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0.01</w:t>
                  </w:r>
                </w:p>
              </w:tc>
              <w:tc>
                <w:tcPr>
                  <w:tcW w:w="922" w:type="pct"/>
                  <w:shd w:val="clear" w:color="auto" w:fill="auto"/>
                  <w:noWrap/>
                  <w:vAlign w:val="center"/>
                </w:tcPr>
                <w:p w14:paraId="1A0F3A0A">
                  <w:pPr>
                    <w:keepNext w:val="0"/>
                    <w:keepLines w:val="0"/>
                    <w:suppressLineNumbers w:val="0"/>
                    <w:topLinePunct/>
                    <w:adjustRightInd w:val="0"/>
                    <w:snapToGrid w:val="0"/>
                    <w:spacing w:before="0" w:beforeAutospacing="0" w:after="0" w:afterAutospacing="0"/>
                    <w:ind w:left="0" w:leftChars="0" w:right="0" w:rightChars="0"/>
                    <w:jc w:val="center"/>
                    <w:rPr>
                      <w:rFonts w:hint="default" w:eastAsia="宋体"/>
                      <w:color w:val="auto"/>
                      <w:szCs w:val="21"/>
                      <w:highlight w:val="none"/>
                      <w:lang w:val="en-US" w:eastAsia="zh-CN"/>
                    </w:rPr>
                  </w:pPr>
                  <w:r>
                    <w:rPr>
                      <w:rFonts w:hint="eastAsia"/>
                      <w:color w:val="auto"/>
                      <w:szCs w:val="21"/>
                      <w:highlight w:val="none"/>
                      <w:lang w:val="en-US" w:eastAsia="zh-CN"/>
                    </w:rPr>
                    <w:t>50</w:t>
                  </w:r>
                </w:p>
              </w:tc>
              <w:tc>
                <w:tcPr>
                  <w:tcW w:w="699" w:type="pct"/>
                  <w:tcBorders>
                    <w:bottom w:val="single" w:color="auto" w:sz="4" w:space="0"/>
                  </w:tcBorders>
                  <w:noWrap/>
                  <w:vAlign w:val="center"/>
                </w:tcPr>
                <w:p w14:paraId="669DB7E8">
                  <w:pPr>
                    <w:keepNext w:val="0"/>
                    <w:keepLines w:val="0"/>
                    <w:suppressLineNumbers w:val="0"/>
                    <w:topLinePunct/>
                    <w:adjustRightInd w:val="0"/>
                    <w:snapToGrid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0.0002</w:t>
                  </w:r>
                </w:p>
              </w:tc>
            </w:tr>
            <w:tr w14:paraId="68E4F564">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53" w:type="pct"/>
                  <w:shd w:val="clear" w:color="auto" w:fill="auto"/>
                  <w:noWrap/>
                  <w:vAlign w:val="center"/>
                </w:tcPr>
                <w:p w14:paraId="0D2D214F">
                  <w:pPr>
                    <w:keepNext w:val="0"/>
                    <w:keepLines w:val="0"/>
                    <w:suppressLineNumbers w:val="0"/>
                    <w:topLinePunct/>
                    <w:adjustRightInd w:val="0"/>
                    <w:snapToGrid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5</w:t>
                  </w:r>
                </w:p>
              </w:tc>
              <w:tc>
                <w:tcPr>
                  <w:tcW w:w="926" w:type="pct"/>
                  <w:shd w:val="clear" w:color="auto" w:fill="auto"/>
                  <w:noWrap/>
                  <w:vAlign w:val="center"/>
                </w:tcPr>
                <w:p w14:paraId="5A32C7E9">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废机油</w:t>
                  </w:r>
                </w:p>
              </w:tc>
              <w:tc>
                <w:tcPr>
                  <w:tcW w:w="1006" w:type="pct"/>
                  <w:vMerge w:val="continue"/>
                  <w:shd w:val="clear" w:color="auto" w:fill="auto"/>
                  <w:noWrap/>
                  <w:vAlign w:val="center"/>
                </w:tcPr>
                <w:p w14:paraId="7B40C841">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p>
              </w:tc>
              <w:tc>
                <w:tcPr>
                  <w:tcW w:w="1092" w:type="pct"/>
                  <w:shd w:val="clear" w:color="auto" w:fill="auto"/>
                  <w:noWrap/>
                  <w:vAlign w:val="center"/>
                </w:tcPr>
                <w:p w14:paraId="20C85F35">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0.001</w:t>
                  </w:r>
                </w:p>
              </w:tc>
              <w:tc>
                <w:tcPr>
                  <w:tcW w:w="922" w:type="pct"/>
                  <w:shd w:val="clear" w:color="auto" w:fill="auto"/>
                  <w:noWrap/>
                  <w:vAlign w:val="center"/>
                </w:tcPr>
                <w:p w14:paraId="649539D2">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highlight w:val="none"/>
                      <w:lang w:val="en-US" w:eastAsia="zh-CN"/>
                    </w:rPr>
                  </w:pPr>
                  <w:r>
                    <w:rPr>
                      <w:rFonts w:hint="eastAsia"/>
                      <w:color w:val="auto"/>
                      <w:szCs w:val="21"/>
                      <w:highlight w:val="none"/>
                      <w:lang w:val="en-US" w:eastAsia="zh-CN"/>
                    </w:rPr>
                    <w:t>50</w:t>
                  </w:r>
                </w:p>
              </w:tc>
              <w:tc>
                <w:tcPr>
                  <w:tcW w:w="699" w:type="pct"/>
                  <w:tcBorders>
                    <w:top w:val="single" w:color="auto" w:sz="4" w:space="0"/>
                  </w:tcBorders>
                  <w:noWrap/>
                  <w:vAlign w:val="center"/>
                </w:tcPr>
                <w:p w14:paraId="3A016A9F">
                  <w:pPr>
                    <w:keepNext w:val="0"/>
                    <w:keepLines w:val="0"/>
                    <w:suppressLineNumbers w:val="0"/>
                    <w:topLinePunct/>
                    <w:adjustRightInd w:val="0"/>
                    <w:snapToGrid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0.00002</w:t>
                  </w:r>
                </w:p>
              </w:tc>
            </w:tr>
            <w:tr w14:paraId="0F6B1174">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53" w:type="pct"/>
                  <w:shd w:val="clear" w:color="auto" w:fill="auto"/>
                  <w:noWrap/>
                  <w:vAlign w:val="center"/>
                </w:tcPr>
                <w:p w14:paraId="47676729">
                  <w:pPr>
                    <w:keepNext w:val="0"/>
                    <w:keepLines w:val="0"/>
                    <w:suppressLineNumbers w:val="0"/>
                    <w:topLinePunct/>
                    <w:adjustRightInd w:val="0"/>
                    <w:snapToGrid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6</w:t>
                  </w:r>
                </w:p>
              </w:tc>
              <w:tc>
                <w:tcPr>
                  <w:tcW w:w="926" w:type="pct"/>
                  <w:shd w:val="clear" w:color="auto" w:fill="auto"/>
                  <w:noWrap/>
                  <w:vAlign w:val="center"/>
                </w:tcPr>
                <w:p w14:paraId="50BAFCF9">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废机油桶</w:t>
                  </w:r>
                </w:p>
              </w:tc>
              <w:tc>
                <w:tcPr>
                  <w:tcW w:w="1006" w:type="pct"/>
                  <w:vMerge w:val="continue"/>
                  <w:shd w:val="clear" w:color="auto" w:fill="auto"/>
                  <w:noWrap/>
                  <w:vAlign w:val="center"/>
                </w:tcPr>
                <w:p w14:paraId="2E3BFE4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p>
              </w:tc>
              <w:tc>
                <w:tcPr>
                  <w:tcW w:w="1092" w:type="pct"/>
                  <w:shd w:val="clear" w:color="auto" w:fill="auto"/>
                  <w:noWrap/>
                  <w:vAlign w:val="center"/>
                </w:tcPr>
                <w:p w14:paraId="38E5770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0.01</w:t>
                  </w:r>
                </w:p>
              </w:tc>
              <w:tc>
                <w:tcPr>
                  <w:tcW w:w="922" w:type="pct"/>
                  <w:shd w:val="clear" w:color="auto" w:fill="auto"/>
                  <w:noWrap/>
                  <w:vAlign w:val="center"/>
                </w:tcPr>
                <w:p w14:paraId="1769E7E3">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highlight w:val="none"/>
                      <w:lang w:val="en-US" w:eastAsia="zh-CN"/>
                    </w:rPr>
                  </w:pPr>
                  <w:r>
                    <w:rPr>
                      <w:rFonts w:hint="eastAsia"/>
                      <w:color w:val="auto"/>
                      <w:szCs w:val="21"/>
                      <w:highlight w:val="none"/>
                      <w:lang w:val="en-US" w:eastAsia="zh-CN"/>
                    </w:rPr>
                    <w:t>50</w:t>
                  </w:r>
                </w:p>
              </w:tc>
              <w:tc>
                <w:tcPr>
                  <w:tcW w:w="699" w:type="pct"/>
                  <w:tcBorders>
                    <w:top w:val="single" w:color="auto" w:sz="4" w:space="0"/>
                  </w:tcBorders>
                  <w:noWrap/>
                  <w:vAlign w:val="center"/>
                </w:tcPr>
                <w:p w14:paraId="6634F741">
                  <w:pPr>
                    <w:keepNext w:val="0"/>
                    <w:keepLines w:val="0"/>
                    <w:suppressLineNumbers w:val="0"/>
                    <w:topLinePunct/>
                    <w:adjustRightInd w:val="0"/>
                    <w:snapToGrid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t>0.0002</w:t>
                  </w:r>
                </w:p>
              </w:tc>
            </w:tr>
            <w:tr w14:paraId="0E8393F0">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353" w:type="pct"/>
                  <w:shd w:val="clear" w:color="auto" w:fill="auto"/>
                  <w:noWrap/>
                  <w:vAlign w:val="center"/>
                </w:tcPr>
                <w:p w14:paraId="1237A22A">
                  <w:pPr>
                    <w:keepNext w:val="0"/>
                    <w:keepLines w:val="0"/>
                    <w:suppressLineNumbers w:val="0"/>
                    <w:topLinePunct/>
                    <w:adjustRightInd w:val="0"/>
                    <w:snapToGrid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7</w:t>
                  </w:r>
                </w:p>
              </w:tc>
              <w:tc>
                <w:tcPr>
                  <w:tcW w:w="926" w:type="pct"/>
                  <w:shd w:val="clear" w:color="auto" w:fill="auto"/>
                  <w:noWrap/>
                  <w:vAlign w:val="center"/>
                </w:tcPr>
                <w:p w14:paraId="4092B23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废铅酸电池</w:t>
                  </w:r>
                </w:p>
              </w:tc>
              <w:tc>
                <w:tcPr>
                  <w:tcW w:w="1006" w:type="pct"/>
                  <w:vMerge w:val="continue"/>
                  <w:shd w:val="clear" w:color="auto" w:fill="auto"/>
                  <w:noWrap/>
                  <w:vAlign w:val="center"/>
                </w:tcPr>
                <w:p w14:paraId="3B1455CE">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p>
              </w:tc>
              <w:tc>
                <w:tcPr>
                  <w:tcW w:w="1092" w:type="pct"/>
                  <w:shd w:val="clear" w:color="auto" w:fill="auto"/>
                  <w:noWrap/>
                  <w:vAlign w:val="center"/>
                </w:tcPr>
                <w:p w14:paraId="1DD50AE4">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0.02</w:t>
                  </w:r>
                </w:p>
              </w:tc>
              <w:tc>
                <w:tcPr>
                  <w:tcW w:w="922" w:type="pct"/>
                  <w:shd w:val="clear" w:color="auto" w:fill="auto"/>
                  <w:noWrap/>
                  <w:vAlign w:val="center"/>
                </w:tcPr>
                <w:p w14:paraId="467169CA">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50</w:t>
                  </w:r>
                </w:p>
              </w:tc>
              <w:tc>
                <w:tcPr>
                  <w:tcW w:w="699" w:type="pct"/>
                  <w:tcBorders>
                    <w:top w:val="single" w:color="auto" w:sz="4" w:space="0"/>
                  </w:tcBorders>
                  <w:noWrap/>
                  <w:vAlign w:val="center"/>
                </w:tcPr>
                <w:p w14:paraId="2A81A115">
                  <w:pPr>
                    <w:keepNext w:val="0"/>
                    <w:keepLines w:val="0"/>
                    <w:suppressLineNumbers w:val="0"/>
                    <w:topLinePunct/>
                    <w:adjustRightInd w:val="0"/>
                    <w:snapToGrid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0.0004</w:t>
                  </w:r>
                </w:p>
              </w:tc>
            </w:tr>
            <w:tr w14:paraId="4B6459E5">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4300" w:type="pct"/>
                  <w:gridSpan w:val="5"/>
                  <w:tcBorders>
                    <w:right w:val="single" w:color="000000" w:sz="4" w:space="0"/>
                  </w:tcBorders>
                  <w:noWrap/>
                  <w:vAlign w:val="center"/>
                </w:tcPr>
                <w:p w14:paraId="555B64BE">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lang w:val="en-US" w:eastAsia="zh-CN"/>
                    </w:rPr>
                  </w:pPr>
                  <w:r>
                    <w:rPr>
                      <w:rFonts w:hint="default"/>
                      <w:color w:val="auto"/>
                      <w:szCs w:val="21"/>
                      <w:highlight w:val="none"/>
                    </w:rPr>
                    <w:t>Q值</w:t>
                  </w:r>
                  <w:r>
                    <w:rPr>
                      <w:rFonts w:hint="eastAsia"/>
                      <w:color w:val="auto"/>
                      <w:szCs w:val="21"/>
                      <w:highlight w:val="none"/>
                      <w:lang w:val="en-US" w:eastAsia="zh-CN"/>
                    </w:rPr>
                    <w:t>合计</w:t>
                  </w:r>
                </w:p>
              </w:tc>
              <w:tc>
                <w:tcPr>
                  <w:tcW w:w="699" w:type="pct"/>
                  <w:tcBorders>
                    <w:left w:val="single" w:color="000000" w:sz="4" w:space="0"/>
                  </w:tcBorders>
                  <w:noWrap/>
                  <w:vAlign w:val="center"/>
                </w:tcPr>
                <w:p w14:paraId="36EA10FE">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lang w:val="en-US" w:eastAsia="zh-CN"/>
                    </w:rPr>
                  </w:pPr>
                  <w:r>
                    <w:rPr>
                      <w:rFonts w:hint="eastAsia"/>
                      <w:color w:val="auto"/>
                      <w:szCs w:val="21"/>
                      <w:highlight w:val="none"/>
                      <w:lang w:val="en-US" w:eastAsia="zh-CN"/>
                    </w:rPr>
                    <w:fldChar w:fldCharType="begin"/>
                  </w:r>
                  <w:r>
                    <w:rPr>
                      <w:rFonts w:hint="eastAsia"/>
                      <w:color w:val="auto"/>
                      <w:szCs w:val="21"/>
                      <w:highlight w:val="none"/>
                      <w:lang w:val="en-US" w:eastAsia="zh-CN"/>
                    </w:rPr>
                    <w:instrText xml:space="preserve"> = sum(F2:F8) \* MERGEFORMAT </w:instrText>
                  </w:r>
                  <w:r>
                    <w:rPr>
                      <w:rFonts w:hint="eastAsia"/>
                      <w:color w:val="auto"/>
                      <w:szCs w:val="21"/>
                      <w:highlight w:val="none"/>
                      <w:lang w:val="en-US" w:eastAsia="zh-CN"/>
                    </w:rPr>
                    <w:fldChar w:fldCharType="separate"/>
                  </w:r>
                  <w:r>
                    <w:rPr>
                      <w:rFonts w:hint="eastAsia"/>
                      <w:color w:val="auto"/>
                      <w:szCs w:val="21"/>
                      <w:highlight w:val="none"/>
                      <w:lang w:val="en-US" w:eastAsia="zh-CN"/>
                    </w:rPr>
                    <w:t>0.001542</w:t>
                  </w:r>
                  <w:r>
                    <w:rPr>
                      <w:rFonts w:hint="eastAsia"/>
                      <w:color w:val="auto"/>
                      <w:szCs w:val="21"/>
                      <w:highlight w:val="none"/>
                      <w:lang w:val="en-US" w:eastAsia="zh-CN"/>
                    </w:rPr>
                    <w:fldChar w:fldCharType="end"/>
                  </w:r>
                </w:p>
              </w:tc>
            </w:tr>
          </w:tbl>
          <w:p w14:paraId="23589E84">
            <w:pPr>
              <w:pStyle w:val="20"/>
              <w:keepNext w:val="0"/>
              <w:keepLines w:val="0"/>
              <w:suppressLineNumbers w:val="0"/>
              <w:adjustRightInd w:val="0"/>
              <w:snapToGrid w:val="0"/>
              <w:spacing w:before="0" w:beforeAutospacing="0" w:after="0" w:afterAutospacing="0" w:line="360" w:lineRule="auto"/>
              <w:ind w:left="0" w:leftChars="0" w:right="0" w:firstLine="420"/>
              <w:rPr>
                <w:rFonts w:hint="default"/>
                <w:color w:val="auto"/>
                <w:sz w:val="24"/>
                <w:highlight w:val="none"/>
              </w:rPr>
            </w:pPr>
            <w:r>
              <w:rPr>
                <w:rFonts w:hint="default"/>
                <w:color w:val="auto"/>
                <w:sz w:val="24"/>
                <w:highlight w:val="none"/>
              </w:rPr>
              <w:t>根据上表得本项目危险物质数量与临界值比值Q=</w:t>
            </w:r>
            <w:r>
              <w:rPr>
                <w:rFonts w:hint="eastAsia"/>
                <w:color w:val="auto"/>
                <w:sz w:val="24"/>
                <w:highlight w:val="none"/>
              </w:rPr>
              <w:t>0.</w:t>
            </w:r>
            <w:r>
              <w:rPr>
                <w:rFonts w:hint="eastAsia"/>
                <w:color w:val="auto"/>
                <w:sz w:val="24"/>
                <w:highlight w:val="none"/>
                <w:lang w:val="en-US" w:eastAsia="zh-CN"/>
              </w:rPr>
              <w:t>001542</w:t>
            </w:r>
            <w:r>
              <w:rPr>
                <w:rFonts w:hint="default"/>
                <w:color w:val="auto"/>
                <w:sz w:val="24"/>
                <w:highlight w:val="none"/>
              </w:rPr>
              <w:t>＜1。则本项目风险潜势为</w:t>
            </w:r>
            <w:r>
              <w:rPr>
                <w:rFonts w:hint="eastAsia"/>
                <w:color w:val="auto"/>
                <w:sz w:val="24"/>
                <w:highlight w:val="none"/>
                <w:lang w:val="en-US" w:eastAsia="zh-CN"/>
              </w:rPr>
              <w:t xml:space="preserve"> </w:t>
            </w:r>
            <w:r>
              <w:rPr>
                <w:rFonts w:hint="default"/>
                <w:color w:val="auto"/>
                <w:sz w:val="24"/>
                <w:highlight w:val="none"/>
              </w:rPr>
              <w:t>Ⅰ，只需对项目展开简单分析。</w:t>
            </w:r>
          </w:p>
          <w:p w14:paraId="4833669A">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6.3</w:t>
            </w:r>
            <w:r>
              <w:rPr>
                <w:rFonts w:hint="default" w:ascii="Times New Roman" w:hAnsi="Times New Roman" w:eastAsia="宋体" w:cs="Times New Roman"/>
                <w:color w:val="auto"/>
                <w:kern w:val="2"/>
                <w:sz w:val="24"/>
                <w:szCs w:val="24"/>
                <w:highlight w:val="none"/>
                <w:lang w:val="en-US" w:eastAsia="zh-CN" w:bidi="ar-SA"/>
              </w:rPr>
              <w:t>风险防范措施</w:t>
            </w:r>
          </w:p>
          <w:p w14:paraId="225BD129">
            <w:pPr>
              <w:keepNext w:val="0"/>
              <w:keepLines w:val="0"/>
              <w:suppressLineNumbers w:val="0"/>
              <w:adjustRightInd w:val="0"/>
              <w:spacing w:before="0" w:beforeAutospacing="0" w:after="0" w:afterAutospacing="0" w:line="360" w:lineRule="auto"/>
              <w:ind w:left="0" w:right="0" w:firstLine="480" w:firstLineChars="200"/>
              <w:rPr>
                <w:rFonts w:hint="eastAsia"/>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针对本项目可能产生的风险类别，建设单位应考虑采取一系列防范措施，为进一步减少风险事故可能产生的环境影响，建议在采取预防措施基础上加强以下风险防范措施及管理要求。</w:t>
            </w:r>
          </w:p>
          <w:p w14:paraId="2FF43039">
            <w:pPr>
              <w:keepNext w:val="0"/>
              <w:keepLines w:val="0"/>
              <w:suppressLineNumbers w:val="0"/>
              <w:adjustRightInd w:val="0"/>
              <w:spacing w:before="0" w:beforeAutospacing="0" w:after="0" w:afterAutospacing="0" w:line="360" w:lineRule="auto"/>
              <w:ind w:left="0" w:right="0" w:firstLine="480" w:firstLineChars="200"/>
              <w:rPr>
                <w:rFonts w:hint="eastAsia"/>
                <w:color w:val="000000" w:themeColor="text1"/>
                <w:kern w:val="2"/>
                <w:sz w:val="24"/>
                <w:szCs w:val="20"/>
                <w:highlight w:val="none"/>
                <w:lang w:val="en-US" w:eastAsia="zh-CN"/>
                <w14:textFill>
                  <w14:solidFill>
                    <w14:schemeClr w14:val="tx1"/>
                  </w14:solidFill>
                </w14:textFill>
              </w:rPr>
            </w:pPr>
            <w:r>
              <w:rPr>
                <w:rFonts w:hint="eastAsia"/>
                <w:bCs/>
                <w:color w:val="000000" w:themeColor="text1"/>
                <w:sz w:val="24"/>
                <w:highlight w:val="none"/>
                <w:lang w:val="en-US" w:eastAsia="zh-CN"/>
                <w14:textFill>
                  <w14:solidFill>
                    <w14:schemeClr w14:val="tx1"/>
                  </w14:solidFill>
                </w14:textFill>
              </w:rPr>
              <w:t>本项目环境风险主要分布</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在原材料区和危废间，主要风</w:t>
            </w:r>
            <w:r>
              <w:rPr>
                <w:rFonts w:hint="eastAsia"/>
                <w:bCs/>
                <w:color w:val="000000" w:themeColor="text1"/>
                <w:sz w:val="24"/>
                <w:highlight w:val="none"/>
                <w:lang w:val="en-US" w:eastAsia="zh-CN"/>
                <w14:textFill>
                  <w14:solidFill>
                    <w14:schemeClr w14:val="tx1"/>
                  </w14:solidFill>
                </w14:textFill>
              </w:rPr>
              <w:t>险情况详见下表。</w:t>
            </w:r>
          </w:p>
          <w:p w14:paraId="40BEF051">
            <w:pPr>
              <w:keepNext w:val="0"/>
              <w:keepLines w:val="0"/>
              <w:suppressLineNumbers w:val="0"/>
              <w:adjustRightInd w:val="0"/>
              <w:snapToGrid w:val="0"/>
              <w:spacing w:before="0" w:beforeAutospacing="0" w:after="0" w:afterAutospacing="0"/>
              <w:ind w:left="0" w:right="0"/>
              <w:jc w:val="center"/>
              <w:rPr>
                <w:rFonts w:hint="eastAsia"/>
                <w:bCs/>
                <w:color w:val="000000" w:themeColor="text1"/>
                <w:sz w:val="24"/>
                <w:highlight w:val="none"/>
                <w14:textFill>
                  <w14:solidFill>
                    <w14:schemeClr w14:val="tx1"/>
                  </w14:solidFill>
                </w14:textFill>
              </w:rPr>
            </w:pPr>
            <w:r>
              <w:rPr>
                <w:rFonts w:hint="default"/>
                <w:b/>
                <w:color w:val="000000" w:themeColor="text1"/>
                <w:sz w:val="24"/>
                <w:highlight w:val="none"/>
                <w14:textFill>
                  <w14:solidFill>
                    <w14:schemeClr w14:val="tx1"/>
                  </w14:solidFill>
                </w14:textFill>
              </w:rPr>
              <w:t>表4-</w:t>
            </w:r>
            <w:r>
              <w:rPr>
                <w:rFonts w:hint="eastAsia"/>
                <w:b/>
                <w:color w:val="000000" w:themeColor="text1"/>
                <w:sz w:val="24"/>
                <w:highlight w:val="none"/>
                <w:lang w:val="en-US" w:eastAsia="zh-CN"/>
                <w14:textFill>
                  <w14:solidFill>
                    <w14:schemeClr w14:val="tx1"/>
                  </w14:solidFill>
                </w14:textFill>
              </w:rPr>
              <w:t>16</w:t>
            </w:r>
            <w:r>
              <w:rPr>
                <w:rFonts w:hint="default"/>
                <w:b/>
                <w:color w:val="000000" w:themeColor="text1"/>
                <w:sz w:val="24"/>
                <w:highlight w:val="none"/>
                <w14:textFill>
                  <w14:solidFill>
                    <w14:schemeClr w14:val="tx1"/>
                  </w14:solidFill>
                </w14:textFill>
              </w:rPr>
              <w:t xml:space="preserve">  项目</w:t>
            </w:r>
            <w:r>
              <w:rPr>
                <w:rFonts w:hint="eastAsia"/>
                <w:b/>
                <w:color w:val="000000" w:themeColor="text1"/>
                <w:sz w:val="24"/>
                <w:highlight w:val="none"/>
                <w:lang w:val="en-US" w:eastAsia="zh-CN"/>
                <w14:textFill>
                  <w14:solidFill>
                    <w14:schemeClr w14:val="tx1"/>
                  </w14:solidFill>
                </w14:textFill>
              </w:rPr>
              <w:t>环境风险情况</w:t>
            </w:r>
            <w:r>
              <w:rPr>
                <w:rFonts w:hint="default"/>
                <w:b/>
                <w:color w:val="000000" w:themeColor="text1"/>
                <w:sz w:val="24"/>
                <w:highlight w:val="none"/>
                <w14:textFill>
                  <w14:solidFill>
                    <w14:schemeClr w14:val="tx1"/>
                  </w14:solidFill>
                </w14:textFill>
              </w:rPr>
              <w:t>一览表</w:t>
            </w:r>
          </w:p>
          <w:tbl>
            <w:tblPr>
              <w:tblStyle w:val="36"/>
              <w:tblW w:w="8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55"/>
              <w:gridCol w:w="1666"/>
              <w:gridCol w:w="3304"/>
            </w:tblGrid>
            <w:tr w14:paraId="46CF5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55" w:type="dxa"/>
                  <w:noWrap w:val="0"/>
                  <w:vAlign w:val="center"/>
                </w:tcPr>
                <w:p w14:paraId="5F488A9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bCs/>
                      <w:color w:val="000000" w:themeColor="text1"/>
                      <w:sz w:val="24"/>
                      <w:highlight w:val="none"/>
                      <w:vertAlign w:val="baseline"/>
                      <w:lang w:val="en-US" w:eastAsia="zh-CN"/>
                      <w14:textFill>
                        <w14:solidFill>
                          <w14:schemeClr w14:val="tx1"/>
                        </w14:solidFill>
                      </w14:textFill>
                    </w:rPr>
                  </w:pPr>
                  <w:r>
                    <w:rPr>
                      <w:rFonts w:hint="eastAsia" w:ascii="Times New Roman" w:hAnsi="Times New Roman" w:eastAsia="宋体" w:cs="Times New Roman"/>
                      <w:bCs/>
                      <w:color w:val="000000" w:themeColor="text1"/>
                      <w:sz w:val="24"/>
                      <w:highlight w:val="none"/>
                      <w:vertAlign w:val="baseline"/>
                      <w:lang w:val="en-US" w:eastAsia="zh-CN"/>
                      <w14:textFill>
                        <w14:solidFill>
                          <w14:schemeClr w14:val="tx1"/>
                        </w14:solidFill>
                      </w14:textFill>
                    </w:rPr>
                    <w:t>事故分类</w:t>
                  </w:r>
                </w:p>
              </w:tc>
              <w:tc>
                <w:tcPr>
                  <w:tcW w:w="1666" w:type="dxa"/>
                  <w:noWrap w:val="0"/>
                  <w:vAlign w:val="center"/>
                </w:tcPr>
                <w:p w14:paraId="16D34FA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4"/>
                      <w:highlight w:val="none"/>
                      <w:vertAlign w:val="baseline"/>
                      <w:lang w:val="en-US" w:eastAsia="zh-CN"/>
                      <w14:textFill>
                        <w14:solidFill>
                          <w14:schemeClr w14:val="tx1"/>
                        </w14:solidFill>
                      </w14:textFill>
                    </w:rPr>
                  </w:pPr>
                  <w:r>
                    <w:rPr>
                      <w:rFonts w:hint="eastAsia" w:ascii="Times New Roman" w:hAnsi="Times New Roman" w:eastAsia="宋体" w:cs="Times New Roman"/>
                      <w:bCs/>
                      <w:color w:val="000000" w:themeColor="text1"/>
                      <w:sz w:val="24"/>
                      <w:highlight w:val="none"/>
                      <w:vertAlign w:val="baseline"/>
                      <w:lang w:val="en-US" w:eastAsia="zh-CN"/>
                      <w14:textFill>
                        <w14:solidFill>
                          <w14:schemeClr w14:val="tx1"/>
                        </w14:solidFill>
                      </w14:textFill>
                    </w:rPr>
                    <w:t>事故发生地点</w:t>
                  </w:r>
                </w:p>
              </w:tc>
              <w:tc>
                <w:tcPr>
                  <w:tcW w:w="3304" w:type="dxa"/>
                  <w:noWrap w:val="0"/>
                  <w:vAlign w:val="center"/>
                </w:tcPr>
                <w:p w14:paraId="52B539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4"/>
                      <w:highlight w:val="none"/>
                      <w:vertAlign w:val="baseline"/>
                      <w:lang w:val="en-US" w:eastAsia="zh-CN"/>
                      <w14:textFill>
                        <w14:solidFill>
                          <w14:schemeClr w14:val="tx1"/>
                        </w14:solidFill>
                      </w14:textFill>
                    </w:rPr>
                  </w:pPr>
                  <w:r>
                    <w:rPr>
                      <w:rFonts w:hint="eastAsia" w:ascii="Times New Roman" w:hAnsi="Times New Roman" w:eastAsia="宋体" w:cs="Times New Roman"/>
                      <w:bCs/>
                      <w:color w:val="000000" w:themeColor="text1"/>
                      <w:sz w:val="24"/>
                      <w:highlight w:val="none"/>
                      <w:vertAlign w:val="baseline"/>
                      <w:lang w:val="en-US" w:eastAsia="zh-CN"/>
                      <w14:textFill>
                        <w14:solidFill>
                          <w14:schemeClr w14:val="tx1"/>
                        </w14:solidFill>
                      </w14:textFill>
                    </w:rPr>
                    <w:t>事故发生原因</w:t>
                  </w:r>
                </w:p>
              </w:tc>
            </w:tr>
            <w:tr w14:paraId="114F0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7" w:hRule="atLeast"/>
              </w:trPr>
              <w:tc>
                <w:tcPr>
                  <w:tcW w:w="3355" w:type="dxa"/>
                  <w:noWrap w:val="0"/>
                  <w:vAlign w:val="center"/>
                </w:tcPr>
                <w:p w14:paraId="11C7D6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机油、润滑油</w:t>
                  </w:r>
                  <w:r>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由于某种原因发生泄露引发的环境</w:t>
                  </w:r>
                  <w:r>
                    <w:rPr>
                      <w:rFonts w:hint="eastAsia" w:cs="Times New Roman"/>
                      <w:bCs/>
                      <w:color w:val="000000" w:themeColor="text1"/>
                      <w:sz w:val="21"/>
                      <w:szCs w:val="21"/>
                      <w:highlight w:val="none"/>
                      <w:vertAlign w:val="baseline"/>
                      <w:lang w:val="en-US" w:eastAsia="zh-CN"/>
                      <w14:textFill>
                        <w14:solidFill>
                          <w14:schemeClr w14:val="tx1"/>
                        </w14:solidFill>
                      </w14:textFill>
                    </w:rPr>
                    <w:t>污染</w:t>
                  </w:r>
                  <w:r>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事故</w:t>
                  </w:r>
                </w:p>
              </w:tc>
              <w:tc>
                <w:tcPr>
                  <w:tcW w:w="1666" w:type="dxa"/>
                  <w:noWrap w:val="0"/>
                  <w:vAlign w:val="center"/>
                </w:tcPr>
                <w:p w14:paraId="713FA23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原材料区</w:t>
                  </w:r>
                </w:p>
              </w:tc>
              <w:tc>
                <w:tcPr>
                  <w:tcW w:w="3304" w:type="dxa"/>
                  <w:vMerge w:val="restart"/>
                  <w:noWrap w:val="0"/>
                  <w:vAlign w:val="center"/>
                </w:tcPr>
                <w:p w14:paraId="5A08C2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bCs/>
                      <w:color w:val="000000" w:themeColor="text1"/>
                      <w:sz w:val="21"/>
                      <w:szCs w:val="21"/>
                      <w:highlight w:val="none"/>
                      <w:vertAlign w:val="baseline"/>
                      <w:lang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vertAlign w:val="baseline"/>
                      <w14:textFill>
                        <w14:solidFill>
                          <w14:schemeClr w14:val="tx1"/>
                        </w14:solidFill>
                      </w14:textFill>
                    </w:rPr>
                    <w:t>①未按有关规范、规定和标准执行，地形地质、</w:t>
                  </w:r>
                  <w:r>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储存</w:t>
                  </w:r>
                  <w:r>
                    <w:rPr>
                      <w:rFonts w:hint="eastAsia" w:ascii="Times New Roman" w:hAnsi="Times New Roman" w:eastAsia="宋体" w:cs="Times New Roman"/>
                      <w:bCs/>
                      <w:color w:val="000000" w:themeColor="text1"/>
                      <w:sz w:val="21"/>
                      <w:szCs w:val="21"/>
                      <w:highlight w:val="none"/>
                      <w:vertAlign w:val="baseline"/>
                      <w14:textFill>
                        <w14:solidFill>
                          <w14:schemeClr w14:val="tx1"/>
                        </w14:solidFill>
                      </w14:textFill>
                    </w:rPr>
                    <w:t>条件、施工和运行等因素</w:t>
                  </w:r>
                  <w:r>
                    <w:rPr>
                      <w:rFonts w:hint="eastAsia" w:ascii="Times New Roman" w:hAnsi="Times New Roman" w:eastAsia="宋体" w:cs="Times New Roman"/>
                      <w:bCs/>
                      <w:color w:val="000000" w:themeColor="text1"/>
                      <w:sz w:val="21"/>
                      <w:szCs w:val="21"/>
                      <w:highlight w:val="none"/>
                      <w:vertAlign w:val="baseline"/>
                      <w:lang w:eastAsia="zh-CN"/>
                      <w14:textFill>
                        <w14:solidFill>
                          <w14:schemeClr w14:val="tx1"/>
                        </w14:solidFill>
                      </w14:textFill>
                    </w:rPr>
                    <w:t>；</w:t>
                  </w:r>
                  <w:r>
                    <w:rPr>
                      <w:rFonts w:hint="eastAsia" w:ascii="Times New Roman" w:hAnsi="Times New Roman" w:eastAsia="宋体" w:cs="Times New Roman"/>
                      <w:bCs/>
                      <w:color w:val="000000" w:themeColor="text1"/>
                      <w:sz w:val="21"/>
                      <w:szCs w:val="21"/>
                      <w:highlight w:val="none"/>
                      <w:vertAlign w:val="baseline"/>
                      <w14:textFill>
                        <w14:solidFill>
                          <w14:schemeClr w14:val="tx1"/>
                        </w14:solidFill>
                      </w14:textFill>
                    </w:rPr>
                    <w:t>②运行期间调控和监控系统工作不正常，致使初级事故不能及时发现;③安全措施不周密，管理制度不严密，人员培训不够</w:t>
                  </w:r>
                  <w:r>
                    <w:rPr>
                      <w:rFonts w:hint="eastAsia" w:ascii="Times New Roman" w:hAnsi="Times New Roman" w:eastAsia="宋体" w:cs="Times New Roman"/>
                      <w:bCs/>
                      <w:color w:val="000000" w:themeColor="text1"/>
                      <w:sz w:val="21"/>
                      <w:szCs w:val="21"/>
                      <w:highlight w:val="none"/>
                      <w:vertAlign w:val="baseline"/>
                      <w:lang w:eastAsia="zh-CN"/>
                      <w14:textFill>
                        <w14:solidFill>
                          <w14:schemeClr w14:val="tx1"/>
                        </w14:solidFill>
                      </w14:textFill>
                    </w:rPr>
                    <w:t>；</w:t>
                  </w:r>
                  <w:r>
                    <w:rPr>
                      <w:rFonts w:hint="eastAsia" w:ascii="Times New Roman" w:hAnsi="Times New Roman" w:eastAsia="宋体" w:cs="Times New Roman"/>
                      <w:bCs/>
                      <w:color w:val="000000" w:themeColor="text1"/>
                      <w:sz w:val="21"/>
                      <w:szCs w:val="21"/>
                      <w:highlight w:val="none"/>
                      <w:vertAlign w:val="baseline"/>
                      <w14:textFill>
                        <w14:solidFill>
                          <w14:schemeClr w14:val="tx1"/>
                        </w14:solidFill>
                      </w14:textFill>
                    </w:rPr>
                    <w:t>④</w:t>
                  </w:r>
                  <w:r>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其他</w:t>
                  </w:r>
                </w:p>
              </w:tc>
            </w:tr>
            <w:tr w14:paraId="09241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55" w:type="dxa"/>
                  <w:noWrap w:val="0"/>
                  <w:vAlign w:val="center"/>
                </w:tcPr>
                <w:p w14:paraId="55D7201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危险废物</w:t>
                  </w:r>
                  <w:r>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由于某种原因发生</w:t>
                  </w:r>
                  <w:r>
                    <w:rPr>
                      <w:rFonts w:hint="eastAsia" w:cs="Times New Roman"/>
                      <w:bCs/>
                      <w:color w:val="000000" w:themeColor="text1"/>
                      <w:sz w:val="21"/>
                      <w:szCs w:val="21"/>
                      <w:highlight w:val="none"/>
                      <w:vertAlign w:val="baseline"/>
                      <w:lang w:val="en-US" w:eastAsia="zh-CN"/>
                      <w14:textFill>
                        <w14:solidFill>
                          <w14:schemeClr w14:val="tx1"/>
                        </w14:solidFill>
                      </w14:textFill>
                    </w:rPr>
                    <w:t>泄露、</w:t>
                  </w:r>
                  <w:r>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火灾引发的环境</w:t>
                  </w:r>
                  <w:r>
                    <w:rPr>
                      <w:rFonts w:hint="eastAsia" w:cs="Times New Roman"/>
                      <w:bCs/>
                      <w:color w:val="000000" w:themeColor="text1"/>
                      <w:sz w:val="21"/>
                      <w:szCs w:val="21"/>
                      <w:highlight w:val="none"/>
                      <w:vertAlign w:val="baseline"/>
                      <w:lang w:val="en-US" w:eastAsia="zh-CN"/>
                      <w14:textFill>
                        <w14:solidFill>
                          <w14:schemeClr w14:val="tx1"/>
                        </w14:solidFill>
                      </w14:textFill>
                    </w:rPr>
                    <w:t>污染</w:t>
                  </w:r>
                  <w:r>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事故</w:t>
                  </w:r>
                </w:p>
              </w:tc>
              <w:tc>
                <w:tcPr>
                  <w:tcW w:w="1666" w:type="dxa"/>
                  <w:noWrap w:val="0"/>
                  <w:vAlign w:val="center"/>
                </w:tcPr>
                <w:p w14:paraId="3367579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危废间</w:t>
                  </w:r>
                </w:p>
              </w:tc>
              <w:tc>
                <w:tcPr>
                  <w:tcW w:w="3304" w:type="dxa"/>
                  <w:vMerge w:val="continue"/>
                  <w:noWrap w:val="0"/>
                  <w:vAlign w:val="center"/>
                </w:tcPr>
                <w:p w14:paraId="15DE5F2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bCs/>
                      <w:color w:val="000000" w:themeColor="text1"/>
                      <w:sz w:val="21"/>
                      <w:szCs w:val="21"/>
                      <w:highlight w:val="none"/>
                      <w:vertAlign w:val="baseline"/>
                      <w:lang w:eastAsia="zh-CN"/>
                      <w14:textFill>
                        <w14:solidFill>
                          <w14:schemeClr w14:val="tx1"/>
                        </w14:solidFill>
                      </w14:textFill>
                    </w:rPr>
                  </w:pPr>
                </w:p>
              </w:tc>
            </w:tr>
          </w:tbl>
          <w:p w14:paraId="3D3C6E1F">
            <w:pPr>
              <w:pStyle w:val="47"/>
              <w:keepNext w:val="0"/>
              <w:keepLines w:val="0"/>
              <w:suppressLineNumbers w:val="0"/>
              <w:spacing w:before="0" w:beforeAutospacing="0" w:after="0" w:afterAutospacing="0"/>
              <w:ind w:left="420" w:leftChars="200" w:right="0" w:firstLine="0" w:firstLineChars="0"/>
              <w:jc w:val="both"/>
              <w:rPr>
                <w:rFonts w:hint="eastAsia"/>
                <w:b w:val="0"/>
                <w:bCs w:val="0"/>
                <w:color w:val="000000" w:themeColor="text1"/>
                <w:sz w:val="24"/>
                <w:highlight w:val="none"/>
                <w:lang w:val="en-US" w:eastAsia="zh-CN"/>
                <w14:textFill>
                  <w14:solidFill>
                    <w14:schemeClr w14:val="tx1"/>
                  </w14:solidFill>
                </w14:textFill>
              </w:rPr>
            </w:pPr>
            <w:r>
              <w:rPr>
                <w:rFonts w:hint="eastAsia"/>
                <w:b w:val="0"/>
                <w:bCs w:val="0"/>
                <w:color w:val="000000" w:themeColor="text1"/>
                <w:sz w:val="24"/>
                <w:highlight w:val="none"/>
                <w:lang w:val="en-US" w:eastAsia="zh-CN"/>
                <w14:textFill>
                  <w14:solidFill>
                    <w14:schemeClr w14:val="tx1"/>
                  </w14:solidFill>
                </w14:textFill>
              </w:rPr>
              <w:t>本项目环境风险识别汇总如下。</w:t>
            </w:r>
          </w:p>
          <w:p w14:paraId="08CF656A">
            <w:pPr>
              <w:keepNext w:val="0"/>
              <w:keepLines w:val="0"/>
              <w:suppressLineNumbers w:val="0"/>
              <w:adjustRightInd w:val="0"/>
              <w:snapToGrid w:val="0"/>
              <w:spacing w:before="0" w:beforeAutospacing="0" w:after="0" w:afterAutospacing="0"/>
              <w:ind w:left="0" w:right="0"/>
              <w:jc w:val="center"/>
              <w:rPr>
                <w:rFonts w:hint="eastAsia"/>
                <w:bCs/>
                <w:color w:val="000000" w:themeColor="text1"/>
                <w:sz w:val="24"/>
                <w:highlight w:val="none"/>
                <w14:textFill>
                  <w14:solidFill>
                    <w14:schemeClr w14:val="tx1"/>
                  </w14:solidFill>
                </w14:textFill>
              </w:rPr>
            </w:pPr>
            <w:r>
              <w:rPr>
                <w:rFonts w:hint="default"/>
                <w:b/>
                <w:color w:val="000000" w:themeColor="text1"/>
                <w:sz w:val="24"/>
                <w:highlight w:val="none"/>
                <w14:textFill>
                  <w14:solidFill>
                    <w14:schemeClr w14:val="tx1"/>
                  </w14:solidFill>
                </w14:textFill>
              </w:rPr>
              <w:t>表4-</w:t>
            </w:r>
            <w:r>
              <w:rPr>
                <w:rFonts w:hint="eastAsia"/>
                <w:b/>
                <w:color w:val="000000" w:themeColor="text1"/>
                <w:sz w:val="24"/>
                <w:highlight w:val="none"/>
                <w:lang w:val="en-US" w:eastAsia="zh-CN"/>
                <w14:textFill>
                  <w14:solidFill>
                    <w14:schemeClr w14:val="tx1"/>
                  </w14:solidFill>
                </w14:textFill>
              </w:rPr>
              <w:t>17</w:t>
            </w:r>
            <w:r>
              <w:rPr>
                <w:rFonts w:hint="default"/>
                <w:b/>
                <w:color w:val="000000" w:themeColor="text1"/>
                <w:sz w:val="24"/>
                <w:highlight w:val="none"/>
                <w14:textFill>
                  <w14:solidFill>
                    <w14:schemeClr w14:val="tx1"/>
                  </w14:solidFill>
                </w14:textFill>
              </w:rPr>
              <w:t xml:space="preserve">  项目</w:t>
            </w:r>
            <w:r>
              <w:rPr>
                <w:rFonts w:hint="eastAsia"/>
                <w:b/>
                <w:color w:val="000000" w:themeColor="text1"/>
                <w:sz w:val="24"/>
                <w:highlight w:val="none"/>
                <w:lang w:val="en-US" w:eastAsia="zh-CN"/>
                <w14:textFill>
                  <w14:solidFill>
                    <w14:schemeClr w14:val="tx1"/>
                  </w14:solidFill>
                </w14:textFill>
              </w:rPr>
              <w:t>环境风险识别</w:t>
            </w:r>
            <w:r>
              <w:rPr>
                <w:rFonts w:hint="default"/>
                <w:b/>
                <w:color w:val="000000" w:themeColor="text1"/>
                <w:sz w:val="24"/>
                <w:highlight w:val="none"/>
                <w14:textFill>
                  <w14:solidFill>
                    <w14:schemeClr w14:val="tx1"/>
                  </w14:solidFill>
                </w14:textFill>
              </w:rPr>
              <w:t>一览表</w:t>
            </w:r>
          </w:p>
          <w:tbl>
            <w:tblPr>
              <w:tblStyle w:val="36"/>
              <w:tblW w:w="83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7"/>
              <w:gridCol w:w="889"/>
              <w:gridCol w:w="1192"/>
              <w:gridCol w:w="1100"/>
              <w:gridCol w:w="2307"/>
              <w:gridCol w:w="1190"/>
              <w:gridCol w:w="1190"/>
            </w:tblGrid>
            <w:tr w14:paraId="2D0AA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noWrap w:val="0"/>
                  <w:vAlign w:val="center"/>
                </w:tcPr>
                <w:p w14:paraId="095465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eastAsia="宋体"/>
                      <w:bCs/>
                      <w:color w:val="000000" w:themeColor="text1"/>
                      <w:sz w:val="21"/>
                      <w:szCs w:val="21"/>
                      <w:highlight w:val="none"/>
                      <w:vertAlign w:val="baseline"/>
                      <w:lang w:val="en-US" w:eastAsia="zh-CN"/>
                      <w14:textFill>
                        <w14:solidFill>
                          <w14:schemeClr w14:val="tx1"/>
                        </w14:solidFill>
                      </w14:textFill>
                    </w:rPr>
                  </w:pPr>
                  <w:r>
                    <w:rPr>
                      <w:rFonts w:hint="eastAsia"/>
                      <w:bCs/>
                      <w:color w:val="000000" w:themeColor="text1"/>
                      <w:sz w:val="21"/>
                      <w:szCs w:val="21"/>
                      <w:highlight w:val="none"/>
                      <w:vertAlign w:val="baseline"/>
                      <w:lang w:val="en-US" w:eastAsia="zh-CN"/>
                      <w14:textFill>
                        <w14:solidFill>
                          <w14:schemeClr w14:val="tx1"/>
                        </w14:solidFill>
                      </w14:textFill>
                    </w:rPr>
                    <w:t>序号</w:t>
                  </w:r>
                </w:p>
              </w:tc>
              <w:tc>
                <w:tcPr>
                  <w:tcW w:w="889" w:type="dxa"/>
                  <w:noWrap w:val="0"/>
                  <w:vAlign w:val="center"/>
                </w:tcPr>
                <w:p w14:paraId="125C28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eastAsia="宋体"/>
                      <w:bCs/>
                      <w:color w:val="000000" w:themeColor="text1"/>
                      <w:sz w:val="21"/>
                      <w:szCs w:val="21"/>
                      <w:highlight w:val="none"/>
                      <w:vertAlign w:val="baseline"/>
                      <w:lang w:val="en-US" w:eastAsia="zh-CN"/>
                      <w14:textFill>
                        <w14:solidFill>
                          <w14:schemeClr w14:val="tx1"/>
                        </w14:solidFill>
                      </w14:textFill>
                    </w:rPr>
                  </w:pPr>
                  <w:r>
                    <w:rPr>
                      <w:rFonts w:hint="eastAsia"/>
                      <w:bCs/>
                      <w:color w:val="000000" w:themeColor="text1"/>
                      <w:sz w:val="21"/>
                      <w:szCs w:val="21"/>
                      <w:highlight w:val="none"/>
                      <w:vertAlign w:val="baseline"/>
                      <w:lang w:val="en-US" w:eastAsia="zh-CN"/>
                      <w14:textFill>
                        <w14:solidFill>
                          <w14:schemeClr w14:val="tx1"/>
                        </w14:solidFill>
                      </w14:textFill>
                    </w:rPr>
                    <w:t>危险单元</w:t>
                  </w:r>
                </w:p>
              </w:tc>
              <w:tc>
                <w:tcPr>
                  <w:tcW w:w="1192" w:type="dxa"/>
                  <w:noWrap w:val="0"/>
                  <w:vAlign w:val="center"/>
                </w:tcPr>
                <w:p w14:paraId="28538D0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eastAsia="宋体"/>
                      <w:bCs/>
                      <w:color w:val="000000" w:themeColor="text1"/>
                      <w:sz w:val="21"/>
                      <w:szCs w:val="21"/>
                      <w:highlight w:val="none"/>
                      <w:vertAlign w:val="baseline"/>
                      <w:lang w:val="en-US" w:eastAsia="zh-CN"/>
                      <w14:textFill>
                        <w14:solidFill>
                          <w14:schemeClr w14:val="tx1"/>
                        </w14:solidFill>
                      </w14:textFill>
                    </w:rPr>
                  </w:pPr>
                  <w:r>
                    <w:rPr>
                      <w:rFonts w:hint="eastAsia"/>
                      <w:bCs/>
                      <w:color w:val="000000" w:themeColor="text1"/>
                      <w:sz w:val="21"/>
                      <w:szCs w:val="21"/>
                      <w:highlight w:val="none"/>
                      <w:vertAlign w:val="baseline"/>
                      <w:lang w:val="en-US" w:eastAsia="zh-CN"/>
                      <w14:textFill>
                        <w14:solidFill>
                          <w14:schemeClr w14:val="tx1"/>
                        </w14:solidFill>
                      </w14:textFill>
                    </w:rPr>
                    <w:t>风险源</w:t>
                  </w:r>
                </w:p>
              </w:tc>
              <w:tc>
                <w:tcPr>
                  <w:tcW w:w="1100" w:type="dxa"/>
                  <w:noWrap w:val="0"/>
                  <w:vAlign w:val="center"/>
                </w:tcPr>
                <w:p w14:paraId="16AC50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eastAsia="宋体"/>
                      <w:bCs/>
                      <w:color w:val="000000" w:themeColor="text1"/>
                      <w:sz w:val="21"/>
                      <w:szCs w:val="21"/>
                      <w:highlight w:val="none"/>
                      <w:vertAlign w:val="baseline"/>
                      <w:lang w:val="en-US" w:eastAsia="zh-CN"/>
                      <w14:textFill>
                        <w14:solidFill>
                          <w14:schemeClr w14:val="tx1"/>
                        </w14:solidFill>
                      </w14:textFill>
                    </w:rPr>
                  </w:pPr>
                  <w:r>
                    <w:rPr>
                      <w:rFonts w:hint="eastAsia"/>
                      <w:bCs/>
                      <w:color w:val="000000" w:themeColor="text1"/>
                      <w:sz w:val="21"/>
                      <w:szCs w:val="21"/>
                      <w:highlight w:val="none"/>
                      <w:vertAlign w:val="baseline"/>
                      <w:lang w:val="en-US" w:eastAsia="zh-CN"/>
                      <w14:textFill>
                        <w14:solidFill>
                          <w14:schemeClr w14:val="tx1"/>
                        </w14:solidFill>
                      </w14:textFill>
                    </w:rPr>
                    <w:t>主要危险物质</w:t>
                  </w:r>
                </w:p>
              </w:tc>
              <w:tc>
                <w:tcPr>
                  <w:tcW w:w="2307" w:type="dxa"/>
                  <w:noWrap w:val="0"/>
                  <w:vAlign w:val="center"/>
                </w:tcPr>
                <w:p w14:paraId="2CD37E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eastAsia="宋体"/>
                      <w:bCs/>
                      <w:color w:val="000000" w:themeColor="text1"/>
                      <w:sz w:val="21"/>
                      <w:szCs w:val="21"/>
                      <w:highlight w:val="none"/>
                      <w:vertAlign w:val="baseline"/>
                      <w:lang w:val="en-US" w:eastAsia="zh-CN"/>
                      <w14:textFill>
                        <w14:solidFill>
                          <w14:schemeClr w14:val="tx1"/>
                        </w14:solidFill>
                      </w14:textFill>
                    </w:rPr>
                  </w:pPr>
                  <w:r>
                    <w:rPr>
                      <w:rFonts w:hint="eastAsia"/>
                      <w:bCs/>
                      <w:color w:val="000000" w:themeColor="text1"/>
                      <w:sz w:val="21"/>
                      <w:szCs w:val="21"/>
                      <w:highlight w:val="none"/>
                      <w:vertAlign w:val="baseline"/>
                      <w:lang w:val="en-US" w:eastAsia="zh-CN"/>
                      <w14:textFill>
                        <w14:solidFill>
                          <w14:schemeClr w14:val="tx1"/>
                        </w14:solidFill>
                      </w14:textFill>
                    </w:rPr>
                    <w:t>环境风险类型</w:t>
                  </w:r>
                </w:p>
              </w:tc>
              <w:tc>
                <w:tcPr>
                  <w:tcW w:w="1190" w:type="dxa"/>
                  <w:noWrap w:val="0"/>
                  <w:vAlign w:val="center"/>
                </w:tcPr>
                <w:p w14:paraId="4B4427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eastAsia="宋体"/>
                      <w:bCs/>
                      <w:color w:val="000000" w:themeColor="text1"/>
                      <w:sz w:val="21"/>
                      <w:szCs w:val="21"/>
                      <w:highlight w:val="none"/>
                      <w:vertAlign w:val="baseline"/>
                      <w:lang w:val="en-US" w:eastAsia="zh-CN"/>
                      <w14:textFill>
                        <w14:solidFill>
                          <w14:schemeClr w14:val="tx1"/>
                        </w14:solidFill>
                      </w14:textFill>
                    </w:rPr>
                  </w:pPr>
                  <w:r>
                    <w:rPr>
                      <w:rFonts w:hint="eastAsia"/>
                      <w:bCs/>
                      <w:color w:val="000000" w:themeColor="text1"/>
                      <w:sz w:val="21"/>
                      <w:szCs w:val="21"/>
                      <w:highlight w:val="none"/>
                      <w:vertAlign w:val="baseline"/>
                      <w:lang w:val="en-US" w:eastAsia="zh-CN"/>
                      <w14:textFill>
                        <w14:solidFill>
                          <w14:schemeClr w14:val="tx1"/>
                        </w14:solidFill>
                      </w14:textFill>
                    </w:rPr>
                    <w:t>环境影响途径</w:t>
                  </w:r>
                </w:p>
              </w:tc>
              <w:tc>
                <w:tcPr>
                  <w:tcW w:w="1190" w:type="dxa"/>
                  <w:noWrap w:val="0"/>
                  <w:vAlign w:val="center"/>
                </w:tcPr>
                <w:p w14:paraId="15E9287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eastAsia="宋体"/>
                      <w:bCs/>
                      <w:color w:val="000000" w:themeColor="text1"/>
                      <w:sz w:val="21"/>
                      <w:szCs w:val="21"/>
                      <w:highlight w:val="none"/>
                      <w:vertAlign w:val="baseline"/>
                      <w:lang w:val="en-US" w:eastAsia="zh-CN"/>
                      <w14:textFill>
                        <w14:solidFill>
                          <w14:schemeClr w14:val="tx1"/>
                        </w14:solidFill>
                      </w14:textFill>
                    </w:rPr>
                  </w:pPr>
                  <w:r>
                    <w:rPr>
                      <w:rFonts w:hint="eastAsia"/>
                      <w:bCs/>
                      <w:color w:val="000000" w:themeColor="text1"/>
                      <w:sz w:val="21"/>
                      <w:szCs w:val="21"/>
                      <w:highlight w:val="none"/>
                      <w:vertAlign w:val="baseline"/>
                      <w:lang w:val="en-US" w:eastAsia="zh-CN"/>
                      <w14:textFill>
                        <w14:solidFill>
                          <w14:schemeClr w14:val="tx1"/>
                        </w14:solidFill>
                      </w14:textFill>
                    </w:rPr>
                    <w:t>可能受影响的环境敏感目标</w:t>
                  </w:r>
                </w:p>
              </w:tc>
            </w:tr>
            <w:tr w14:paraId="390EC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noWrap w:val="0"/>
                  <w:vAlign w:val="center"/>
                </w:tcPr>
                <w:p w14:paraId="2580F3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bCs/>
                      <w:color w:val="000000" w:themeColor="text1"/>
                      <w:sz w:val="21"/>
                      <w:szCs w:val="21"/>
                      <w:highlight w:val="none"/>
                      <w:vertAlign w:val="baseline"/>
                      <w:lang w:val="en-US" w:eastAsia="zh-CN"/>
                      <w14:textFill>
                        <w14:solidFill>
                          <w14:schemeClr w14:val="tx1"/>
                        </w14:solidFill>
                      </w14:textFill>
                    </w:rPr>
                  </w:pPr>
                  <w:r>
                    <w:rPr>
                      <w:rFonts w:hint="eastAsia"/>
                      <w:bCs/>
                      <w:color w:val="000000" w:themeColor="text1"/>
                      <w:sz w:val="21"/>
                      <w:szCs w:val="21"/>
                      <w:highlight w:val="none"/>
                      <w:vertAlign w:val="baseline"/>
                      <w:lang w:val="en-US" w:eastAsia="zh-CN"/>
                      <w14:textFill>
                        <w14:solidFill>
                          <w14:schemeClr w14:val="tx1"/>
                        </w14:solidFill>
                      </w14:textFill>
                    </w:rPr>
                    <w:t>1</w:t>
                  </w:r>
                </w:p>
              </w:tc>
              <w:tc>
                <w:tcPr>
                  <w:tcW w:w="889" w:type="dxa"/>
                  <w:vMerge w:val="restart"/>
                  <w:noWrap w:val="0"/>
                  <w:vAlign w:val="center"/>
                </w:tcPr>
                <w:p w14:paraId="2D5A167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000000" w:themeColor="text1"/>
                      <w:sz w:val="21"/>
                      <w:szCs w:val="21"/>
                      <w:highlight w:val="none"/>
                      <w:vertAlign w:val="baseline"/>
                      <w:lang w:val="en-US" w:eastAsia="zh-CN"/>
                      <w14:textFill>
                        <w14:solidFill>
                          <w14:schemeClr w14:val="tx1"/>
                        </w14:solidFill>
                      </w14:textFill>
                    </w:rPr>
                  </w:pPr>
                  <w:r>
                    <w:rPr>
                      <w:rFonts w:hint="eastAsia"/>
                      <w:bCs/>
                      <w:color w:val="000000" w:themeColor="text1"/>
                      <w:sz w:val="21"/>
                      <w:szCs w:val="21"/>
                      <w:highlight w:val="none"/>
                      <w:vertAlign w:val="baseline"/>
                      <w:lang w:val="en-US" w:eastAsia="zh-CN"/>
                      <w14:textFill>
                        <w14:solidFill>
                          <w14:schemeClr w14:val="tx1"/>
                        </w14:solidFill>
                      </w14:textFill>
                    </w:rPr>
                    <w:t>储存</w:t>
                  </w:r>
                </w:p>
                <w:p w14:paraId="320FFF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000000" w:themeColor="text1"/>
                      <w:sz w:val="21"/>
                      <w:szCs w:val="21"/>
                      <w:highlight w:val="none"/>
                      <w:vertAlign w:val="baseline"/>
                      <w:lang w:val="en-US" w:eastAsia="zh-CN"/>
                      <w14:textFill>
                        <w14:solidFill>
                          <w14:schemeClr w14:val="tx1"/>
                        </w14:solidFill>
                      </w14:textFill>
                    </w:rPr>
                  </w:pPr>
                  <w:r>
                    <w:rPr>
                      <w:rFonts w:hint="eastAsia"/>
                      <w:bCs/>
                      <w:color w:val="000000" w:themeColor="text1"/>
                      <w:sz w:val="21"/>
                      <w:szCs w:val="21"/>
                      <w:highlight w:val="none"/>
                      <w:vertAlign w:val="baseline"/>
                      <w:lang w:val="en-US" w:eastAsia="zh-CN"/>
                      <w14:textFill>
                        <w14:solidFill>
                          <w14:schemeClr w14:val="tx1"/>
                        </w14:solidFill>
                      </w14:textFill>
                    </w:rPr>
                    <w:t>单元</w:t>
                  </w:r>
                </w:p>
              </w:tc>
              <w:tc>
                <w:tcPr>
                  <w:tcW w:w="1192" w:type="dxa"/>
                  <w:shd w:val="clear" w:color="auto" w:fill="auto"/>
                  <w:noWrap w:val="0"/>
                  <w:vAlign w:val="center"/>
                </w:tcPr>
                <w:p w14:paraId="619B66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highlight w:val="none"/>
                      <w:vertAlign w:val="baseline"/>
                      <w:lang w:val="en-US" w:eastAsia="zh-CN" w:bidi="ar-SA"/>
                      <w14:textFill>
                        <w14:solidFill>
                          <w14:schemeClr w14:val="tx1"/>
                        </w14:solidFill>
                      </w14:textFill>
                    </w:rPr>
                    <w:t>原材料区</w:t>
                  </w:r>
                </w:p>
              </w:tc>
              <w:tc>
                <w:tcPr>
                  <w:tcW w:w="1100" w:type="dxa"/>
                  <w:shd w:val="clear" w:color="auto" w:fill="auto"/>
                  <w:noWrap w:val="0"/>
                  <w:vAlign w:val="center"/>
                </w:tcPr>
                <w:p w14:paraId="35C87F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Cs/>
                      <w:color w:val="000000" w:themeColor="text1"/>
                      <w:kern w:val="2"/>
                      <w:sz w:val="21"/>
                      <w:szCs w:val="21"/>
                      <w:highlight w:val="none"/>
                      <w:vertAlign w:val="baseline"/>
                      <w:lang w:val="en-US" w:eastAsia="zh-CN" w:bidi="ar-SA"/>
                      <w14:textFill>
                        <w14:solidFill>
                          <w14:schemeClr w14:val="tx1"/>
                        </w14:solidFill>
                      </w14:textFill>
                    </w:rPr>
                    <w:t>机油、润滑油</w:t>
                  </w:r>
                </w:p>
              </w:tc>
              <w:tc>
                <w:tcPr>
                  <w:tcW w:w="2307" w:type="dxa"/>
                  <w:shd w:val="clear" w:color="auto" w:fill="auto"/>
                  <w:noWrap w:val="0"/>
                  <w:vAlign w:val="center"/>
                </w:tcPr>
                <w:p w14:paraId="1C2B19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2"/>
                      <w:sz w:val="21"/>
                      <w:szCs w:val="21"/>
                      <w:highlight w:val="none"/>
                      <w:vertAlign w:val="baseline"/>
                      <w:lang w:val="en-US" w:eastAsia="zh-CN" w:bidi="ar-SA"/>
                      <w14:textFill>
                        <w14:solidFill>
                          <w14:schemeClr w14:val="tx1"/>
                        </w14:solidFill>
                      </w14:textFill>
                    </w:rPr>
                  </w:pPr>
                  <w:r>
                    <w:rPr>
                      <w:rFonts w:hint="eastAsia"/>
                      <w:bCs/>
                      <w:color w:val="000000" w:themeColor="text1"/>
                      <w:sz w:val="21"/>
                      <w:szCs w:val="21"/>
                      <w:highlight w:val="none"/>
                      <w:vertAlign w:val="baseline"/>
                      <w:lang w:val="en-US" w:eastAsia="zh-CN"/>
                      <w14:textFill>
                        <w14:solidFill>
                          <w14:schemeClr w14:val="tx1"/>
                        </w14:solidFill>
                      </w14:textFill>
                    </w:rPr>
                    <w:t>泄露；火灾导致的伴生/次生污染排放</w:t>
                  </w:r>
                </w:p>
              </w:tc>
              <w:tc>
                <w:tcPr>
                  <w:tcW w:w="1190" w:type="dxa"/>
                  <w:shd w:val="clear" w:color="auto" w:fill="auto"/>
                  <w:noWrap w:val="0"/>
                  <w:vAlign w:val="center"/>
                </w:tcPr>
                <w:p w14:paraId="46D666F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bCs/>
                      <w:color w:val="000000" w:themeColor="text1"/>
                      <w:kern w:val="2"/>
                      <w:sz w:val="21"/>
                      <w:szCs w:val="21"/>
                      <w:highlight w:val="none"/>
                      <w:vertAlign w:val="baseline"/>
                      <w:lang w:val="en-US" w:eastAsia="zh-CN" w:bidi="ar-SA"/>
                      <w14:textFill>
                        <w14:solidFill>
                          <w14:schemeClr w14:val="tx1"/>
                        </w14:solidFill>
                      </w14:textFill>
                    </w:rPr>
                  </w:pPr>
                  <w:r>
                    <w:rPr>
                      <w:rFonts w:hint="eastAsia"/>
                      <w:bCs/>
                      <w:color w:val="000000" w:themeColor="text1"/>
                      <w:sz w:val="21"/>
                      <w:szCs w:val="21"/>
                      <w:highlight w:val="none"/>
                      <w:vertAlign w:val="baseline"/>
                      <w:lang w:val="en-US" w:eastAsia="zh-CN"/>
                      <w14:textFill>
                        <w14:solidFill>
                          <w14:schemeClr w14:val="tx1"/>
                        </w14:solidFill>
                      </w14:textFill>
                    </w:rPr>
                    <w:t>大气、地下水、土壤</w:t>
                  </w:r>
                </w:p>
              </w:tc>
              <w:tc>
                <w:tcPr>
                  <w:tcW w:w="1190" w:type="dxa"/>
                  <w:vMerge w:val="restart"/>
                  <w:noWrap w:val="0"/>
                  <w:vAlign w:val="center"/>
                </w:tcPr>
                <w:p w14:paraId="459CF0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bCs/>
                      <w:color w:val="000000" w:themeColor="text1"/>
                      <w:sz w:val="21"/>
                      <w:szCs w:val="21"/>
                      <w:highlight w:val="none"/>
                      <w:vertAlign w:val="baseline"/>
                      <w:lang w:val="en-US" w:eastAsia="zh-CN"/>
                      <w14:textFill>
                        <w14:solidFill>
                          <w14:schemeClr w14:val="tx1"/>
                        </w14:solidFill>
                      </w14:textFill>
                    </w:rPr>
                  </w:pPr>
                  <w:r>
                    <w:rPr>
                      <w:rFonts w:hint="eastAsia"/>
                      <w:bCs/>
                      <w:color w:val="000000" w:themeColor="text1"/>
                      <w:sz w:val="21"/>
                      <w:szCs w:val="21"/>
                      <w:highlight w:val="none"/>
                      <w:vertAlign w:val="baseline"/>
                      <w:lang w:val="en-US" w:eastAsia="zh-CN"/>
                      <w14:textFill>
                        <w14:solidFill>
                          <w14:schemeClr w14:val="tx1"/>
                        </w14:solidFill>
                      </w14:textFill>
                    </w:rPr>
                    <w:t>周边环境</w:t>
                  </w:r>
                </w:p>
              </w:tc>
            </w:tr>
            <w:tr w14:paraId="3EDB8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noWrap w:val="0"/>
                  <w:vAlign w:val="center"/>
                </w:tcPr>
                <w:p w14:paraId="3AF94E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bCs/>
                      <w:color w:val="000000" w:themeColor="text1"/>
                      <w:sz w:val="21"/>
                      <w:szCs w:val="21"/>
                      <w:highlight w:val="none"/>
                      <w:vertAlign w:val="baseline"/>
                      <w:lang w:val="en-US" w:eastAsia="zh-CN"/>
                      <w14:textFill>
                        <w14:solidFill>
                          <w14:schemeClr w14:val="tx1"/>
                        </w14:solidFill>
                      </w14:textFill>
                    </w:rPr>
                  </w:pPr>
                  <w:r>
                    <w:rPr>
                      <w:rFonts w:hint="eastAsia"/>
                      <w:bCs/>
                      <w:color w:val="000000" w:themeColor="text1"/>
                      <w:sz w:val="21"/>
                      <w:szCs w:val="21"/>
                      <w:highlight w:val="none"/>
                      <w:vertAlign w:val="baseline"/>
                      <w:lang w:val="en-US" w:eastAsia="zh-CN"/>
                      <w14:textFill>
                        <w14:solidFill>
                          <w14:schemeClr w14:val="tx1"/>
                        </w14:solidFill>
                      </w14:textFill>
                    </w:rPr>
                    <w:t>2</w:t>
                  </w:r>
                </w:p>
              </w:tc>
              <w:tc>
                <w:tcPr>
                  <w:tcW w:w="889" w:type="dxa"/>
                  <w:vMerge w:val="continue"/>
                  <w:noWrap w:val="0"/>
                  <w:vAlign w:val="center"/>
                </w:tcPr>
                <w:p w14:paraId="3499F4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000000" w:themeColor="text1"/>
                      <w:sz w:val="21"/>
                      <w:szCs w:val="21"/>
                      <w:highlight w:val="none"/>
                      <w:vertAlign w:val="baseline"/>
                      <w:lang w:val="en-US" w:eastAsia="zh-CN"/>
                      <w14:textFill>
                        <w14:solidFill>
                          <w14:schemeClr w14:val="tx1"/>
                        </w14:solidFill>
                      </w14:textFill>
                    </w:rPr>
                  </w:pPr>
                </w:p>
              </w:tc>
              <w:tc>
                <w:tcPr>
                  <w:tcW w:w="1192" w:type="dxa"/>
                  <w:shd w:val="clear" w:color="auto" w:fill="auto"/>
                  <w:noWrap w:val="0"/>
                  <w:vAlign w:val="center"/>
                </w:tcPr>
                <w:p w14:paraId="5A4E1B3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bCs/>
                      <w:color w:val="000000" w:themeColor="text1"/>
                      <w:sz w:val="21"/>
                      <w:szCs w:val="21"/>
                      <w:highlight w:val="none"/>
                      <w:vertAlign w:val="baseline"/>
                      <w:lang w:val="en-US" w:eastAsia="zh-CN"/>
                      <w14:textFill>
                        <w14:solidFill>
                          <w14:schemeClr w14:val="tx1"/>
                        </w14:solidFill>
                      </w14:textFill>
                    </w:rPr>
                    <w:t>危废间</w:t>
                  </w:r>
                </w:p>
              </w:tc>
              <w:tc>
                <w:tcPr>
                  <w:tcW w:w="1100" w:type="dxa"/>
                  <w:shd w:val="clear" w:color="auto" w:fill="auto"/>
                  <w:noWrap w:val="0"/>
                  <w:vAlign w:val="center"/>
                </w:tcPr>
                <w:p w14:paraId="696A0D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2"/>
                      <w:sz w:val="21"/>
                      <w:szCs w:val="21"/>
                      <w:highlight w:val="none"/>
                      <w:vertAlign w:val="baseline"/>
                      <w:lang w:val="en-US" w:eastAsia="zh-CN" w:bidi="ar-SA"/>
                      <w14:textFill>
                        <w14:solidFill>
                          <w14:schemeClr w14:val="tx1"/>
                        </w14:solidFill>
                      </w14:textFill>
                    </w:rPr>
                  </w:pPr>
                  <w:r>
                    <w:rPr>
                      <w:rFonts w:hint="eastAsia"/>
                      <w:bCs/>
                      <w:color w:val="000000" w:themeColor="text1"/>
                      <w:sz w:val="21"/>
                      <w:szCs w:val="21"/>
                      <w:highlight w:val="none"/>
                      <w:vertAlign w:val="baseline"/>
                      <w:lang w:val="en-US" w:eastAsia="zh-CN"/>
                      <w14:textFill>
                        <w14:solidFill>
                          <w14:schemeClr w14:val="tx1"/>
                        </w14:solidFill>
                      </w14:textFill>
                    </w:rPr>
                    <w:t>危险废物</w:t>
                  </w:r>
                </w:p>
              </w:tc>
              <w:tc>
                <w:tcPr>
                  <w:tcW w:w="2307" w:type="dxa"/>
                  <w:shd w:val="clear" w:color="auto" w:fill="auto"/>
                  <w:noWrap w:val="0"/>
                  <w:vAlign w:val="center"/>
                </w:tcPr>
                <w:p w14:paraId="780C14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000000" w:themeColor="text1"/>
                      <w:kern w:val="2"/>
                      <w:sz w:val="21"/>
                      <w:szCs w:val="21"/>
                      <w:highlight w:val="none"/>
                      <w:vertAlign w:val="baseline"/>
                      <w:lang w:val="en-US" w:eastAsia="zh-CN" w:bidi="ar-SA"/>
                      <w14:textFill>
                        <w14:solidFill>
                          <w14:schemeClr w14:val="tx1"/>
                        </w14:solidFill>
                      </w14:textFill>
                    </w:rPr>
                  </w:pPr>
                  <w:r>
                    <w:rPr>
                      <w:rFonts w:hint="eastAsia"/>
                      <w:bCs/>
                      <w:color w:val="000000" w:themeColor="text1"/>
                      <w:sz w:val="21"/>
                      <w:szCs w:val="21"/>
                      <w:highlight w:val="none"/>
                      <w:vertAlign w:val="baseline"/>
                      <w:lang w:val="en-US" w:eastAsia="zh-CN"/>
                      <w14:textFill>
                        <w14:solidFill>
                          <w14:schemeClr w14:val="tx1"/>
                        </w14:solidFill>
                      </w14:textFill>
                    </w:rPr>
                    <w:t>泄露；火灾导致的伴生/次生污染排放</w:t>
                  </w:r>
                </w:p>
              </w:tc>
              <w:tc>
                <w:tcPr>
                  <w:tcW w:w="1190" w:type="dxa"/>
                  <w:shd w:val="clear" w:color="auto" w:fill="auto"/>
                  <w:noWrap w:val="0"/>
                  <w:vAlign w:val="center"/>
                </w:tcPr>
                <w:p w14:paraId="3DFF8ED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bCs/>
                      <w:color w:val="000000" w:themeColor="text1"/>
                      <w:kern w:val="2"/>
                      <w:sz w:val="21"/>
                      <w:szCs w:val="21"/>
                      <w:highlight w:val="none"/>
                      <w:vertAlign w:val="baseline"/>
                      <w:lang w:val="en-US" w:eastAsia="zh-CN" w:bidi="ar-SA"/>
                      <w14:textFill>
                        <w14:solidFill>
                          <w14:schemeClr w14:val="tx1"/>
                        </w14:solidFill>
                      </w14:textFill>
                    </w:rPr>
                  </w:pPr>
                  <w:r>
                    <w:rPr>
                      <w:rFonts w:hint="eastAsia"/>
                      <w:bCs/>
                      <w:color w:val="000000" w:themeColor="text1"/>
                      <w:sz w:val="21"/>
                      <w:szCs w:val="21"/>
                      <w:highlight w:val="none"/>
                      <w:vertAlign w:val="baseline"/>
                      <w:lang w:val="en-US" w:eastAsia="zh-CN"/>
                      <w14:textFill>
                        <w14:solidFill>
                          <w14:schemeClr w14:val="tx1"/>
                        </w14:solidFill>
                      </w14:textFill>
                    </w:rPr>
                    <w:t>大气、地下水、土壤</w:t>
                  </w:r>
                </w:p>
              </w:tc>
              <w:tc>
                <w:tcPr>
                  <w:tcW w:w="1190" w:type="dxa"/>
                  <w:vMerge w:val="continue"/>
                  <w:noWrap w:val="0"/>
                  <w:vAlign w:val="center"/>
                </w:tcPr>
                <w:p w14:paraId="757FDCB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bCs/>
                      <w:color w:val="000000" w:themeColor="text1"/>
                      <w:sz w:val="21"/>
                      <w:szCs w:val="21"/>
                      <w:highlight w:val="none"/>
                      <w:vertAlign w:val="baseline"/>
                      <w:lang w:val="en-US" w:eastAsia="zh-CN"/>
                      <w14:textFill>
                        <w14:solidFill>
                          <w14:schemeClr w14:val="tx1"/>
                        </w14:solidFill>
                      </w14:textFill>
                    </w:rPr>
                  </w:pPr>
                </w:p>
              </w:tc>
            </w:tr>
          </w:tbl>
          <w:p w14:paraId="5E17F0F1">
            <w:pPr>
              <w:keepNext w:val="0"/>
              <w:keepLines w:val="0"/>
              <w:suppressLineNumbers w:val="0"/>
              <w:adjustRightInd w:val="0"/>
              <w:spacing w:before="0" w:beforeAutospacing="0" w:after="0" w:afterAutospacing="0" w:line="360" w:lineRule="auto"/>
              <w:ind w:left="0" w:right="0" w:firstLine="480" w:firstLineChars="200"/>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4"/>
                <w:highlight w:val="none"/>
                <w14:textFill>
                  <w14:solidFill>
                    <w14:schemeClr w14:val="tx1"/>
                  </w14:solidFill>
                </w14:textFill>
              </w:rPr>
              <w:t>围绕危险物质的运输、储存及使用过程存在风险进行管理，</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采取相应的防范措施。</w:t>
            </w:r>
          </w:p>
          <w:p w14:paraId="13FD92EA">
            <w:pPr>
              <w:keepNext w:val="0"/>
              <w:keepLines w:val="0"/>
              <w:suppressLineNumbers w:val="0"/>
              <w:adjustRightInd w:val="0"/>
              <w:snapToGrid w:val="0"/>
              <w:spacing w:before="0" w:beforeAutospacing="0" w:after="0" w:afterAutospacing="0" w:line="360" w:lineRule="auto"/>
              <w:ind w:left="0" w:right="0" w:firstLine="480" w:firstLineChars="200"/>
              <w:rPr>
                <w:rFonts w:hint="eastAsia"/>
                <w:b w:val="0"/>
                <w:bCs/>
                <w:color w:val="000000" w:themeColor="text1"/>
                <w:sz w:val="24"/>
                <w:highlight w:val="none"/>
                <w14:textFill>
                  <w14:solidFill>
                    <w14:schemeClr w14:val="tx1"/>
                  </w14:solidFill>
                </w14:textFill>
              </w:rPr>
            </w:pPr>
            <w:r>
              <w:rPr>
                <w:rFonts w:hint="eastAsia"/>
                <w:b w:val="0"/>
                <w:bCs/>
                <w:color w:val="000000" w:themeColor="text1"/>
                <w:sz w:val="24"/>
                <w:highlight w:val="none"/>
                <w14:textFill>
                  <w14:solidFill>
                    <w14:schemeClr w14:val="tx1"/>
                  </w14:solidFill>
                </w14:textFill>
              </w:rPr>
              <w:t>（1）生产运行过程中过程中的火灾防范措施</w:t>
            </w:r>
          </w:p>
          <w:p w14:paraId="4C3E32FE">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pPr>
            <w:r>
              <w:rPr>
                <w:rFonts w:hint="eastAsia"/>
                <w:bCs/>
                <w:color w:val="000000" w:themeColor="text1"/>
                <w:sz w:val="24"/>
                <w:highlight w:val="none"/>
                <w14:textFill>
                  <w14:solidFill>
                    <w14:schemeClr w14:val="tx1"/>
                  </w14:solidFill>
                </w14:textFill>
              </w:rPr>
              <w:t>①加强</w:t>
            </w:r>
            <w:r>
              <w:rPr>
                <w:rFonts w:hint="eastAsia"/>
                <w:bCs/>
                <w:color w:val="000000" w:themeColor="text1"/>
                <w:sz w:val="24"/>
                <w:highlight w:val="none"/>
                <w:lang w:val="en-US" w:eastAsia="zh-CN"/>
                <w14:textFill>
                  <w14:solidFill>
                    <w14:schemeClr w14:val="tx1"/>
                  </w14:solidFill>
                </w14:textFill>
              </w:rPr>
              <w:t>危废</w:t>
            </w:r>
            <w:r>
              <w:rPr>
                <w:rFonts w:hint="eastAsia"/>
                <w:bCs/>
                <w:color w:val="000000" w:themeColor="text1"/>
                <w:sz w:val="24"/>
                <w:highlight w:val="none"/>
                <w14:textFill>
                  <w14:solidFill>
                    <w14:schemeClr w14:val="tx1"/>
                  </w14:solidFill>
                </w14:textFill>
              </w:rPr>
              <w:t>的储存</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管理，严格执行《危险废物贮存污染控制标准》（GB18597-2023）相关规定要求。</w:t>
            </w:r>
          </w:p>
          <w:p w14:paraId="335447EA">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bCs/>
                <w:color w:val="000000" w:themeColor="text1"/>
                <w:sz w:val="24"/>
                <w:highlight w:val="none"/>
                <w14:textFill>
                  <w14:solidFill>
                    <w14:schemeClr w14:val="tx1"/>
                  </w14:solidFill>
                </w14:textFill>
              </w:rPr>
            </w:pPr>
            <w:r>
              <w:rPr>
                <w:rFonts w:hint="eastAsia" w:ascii="Times New Roman" w:hAnsi="Times New Roman" w:eastAsia="宋体" w:cs="Times New Roman"/>
                <w:bCs/>
                <w:color w:val="000000" w:themeColor="text1"/>
                <w:sz w:val="24"/>
                <w:highlight w:val="none"/>
                <w14:textFill>
                  <w14:solidFill>
                    <w14:schemeClr w14:val="tx1"/>
                  </w14:solidFill>
                </w14:textFill>
              </w:rPr>
              <w:t>②</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机油、润滑油</w:t>
            </w:r>
            <w:r>
              <w:rPr>
                <w:rFonts w:hint="eastAsia" w:ascii="Times New Roman" w:hAnsi="Times New Roman" w:eastAsia="宋体" w:cs="Times New Roman"/>
                <w:bCs/>
                <w:color w:val="000000" w:themeColor="text1"/>
                <w:sz w:val="24"/>
                <w:highlight w:val="none"/>
                <w14:textFill>
                  <w14:solidFill>
                    <w14:schemeClr w14:val="tx1"/>
                  </w14:solidFill>
                </w14:textFill>
              </w:rPr>
              <w:t>存放在通风良好、干燥无火源、远离热源、不易受损的地方</w:t>
            </w:r>
            <w:r>
              <w:rPr>
                <w:rFonts w:hint="eastAsia" w:ascii="Times New Roman" w:hAnsi="Times New Roman" w:eastAsia="宋体" w:cs="Times New Roman"/>
                <w:bCs/>
                <w:color w:val="000000" w:themeColor="text1"/>
                <w:sz w:val="24"/>
                <w:highlight w:val="none"/>
                <w:lang w:eastAsia="zh-CN"/>
                <w14:textFill>
                  <w14:solidFill>
                    <w14:schemeClr w14:val="tx1"/>
                  </w14:solidFill>
                </w14:textFill>
              </w:rPr>
              <w:t>，</w:t>
            </w:r>
            <w:r>
              <w:rPr>
                <w:rFonts w:hint="eastAsia" w:ascii="Times New Roman" w:hAnsi="Times New Roman" w:eastAsia="宋体" w:cs="Times New Roman"/>
                <w:bCs/>
                <w:color w:val="000000" w:themeColor="text1"/>
                <w:sz w:val="24"/>
                <w:highlight w:val="none"/>
                <w14:textFill>
                  <w14:solidFill>
                    <w14:schemeClr w14:val="tx1"/>
                  </w14:solidFill>
                </w14:textFill>
              </w:rPr>
              <w:t>不能与易燃易爆、氧化物或有毒物质放在一起</w:t>
            </w:r>
            <w:r>
              <w:rPr>
                <w:rFonts w:hint="eastAsia" w:ascii="Times New Roman" w:hAnsi="Times New Roman" w:eastAsia="宋体" w:cs="Times New Roman"/>
                <w:bCs/>
                <w:color w:val="000000" w:themeColor="text1"/>
                <w:sz w:val="24"/>
                <w:highlight w:val="none"/>
                <w:lang w:eastAsia="zh-CN"/>
                <w14:textFill>
                  <w14:solidFill>
                    <w14:schemeClr w14:val="tx1"/>
                  </w14:solidFill>
                </w14:textFill>
              </w:rPr>
              <w:t>，</w:t>
            </w:r>
            <w:r>
              <w:rPr>
                <w:rFonts w:hint="eastAsia" w:ascii="Times New Roman" w:hAnsi="Times New Roman" w:eastAsia="宋体" w:cs="Times New Roman"/>
                <w:bCs/>
                <w:color w:val="000000" w:themeColor="text1"/>
                <w:sz w:val="24"/>
                <w:highlight w:val="none"/>
                <w14:textFill>
                  <w14:solidFill>
                    <w14:schemeClr w14:val="tx1"/>
                  </w14:solidFill>
                </w14:textFill>
              </w:rPr>
              <w:t>存放区域应贴有明显的名称和安全提醒标识牌</w:t>
            </w:r>
            <w:r>
              <w:rPr>
                <w:rFonts w:hint="eastAsia" w:cs="Times New Roman"/>
                <w:bCs/>
                <w:color w:val="000000" w:themeColor="text1"/>
                <w:sz w:val="24"/>
                <w:highlight w:val="none"/>
                <w:lang w:eastAsia="zh-CN"/>
                <w14:textFill>
                  <w14:solidFill>
                    <w14:schemeClr w14:val="tx1"/>
                  </w14:solidFill>
                </w14:textFill>
              </w:rPr>
              <w:t>，</w:t>
            </w:r>
            <w:r>
              <w:rPr>
                <w:rFonts w:hint="eastAsia" w:cs="Times New Roman"/>
                <w:bCs/>
                <w:color w:val="000000" w:themeColor="text1"/>
                <w:sz w:val="24"/>
                <w:highlight w:val="none"/>
                <w:lang w:val="en-US" w:eastAsia="zh-CN"/>
                <w14:textFill>
                  <w14:solidFill>
                    <w14:schemeClr w14:val="tx1"/>
                  </w14:solidFill>
                </w14:textFill>
              </w:rPr>
              <w:t>根据安全应急管理相关要求</w:t>
            </w:r>
            <w:r>
              <w:rPr>
                <w:rFonts w:hint="eastAsia" w:ascii="Times New Roman" w:hAnsi="Times New Roman" w:eastAsia="宋体" w:cs="Times New Roman"/>
                <w:bCs/>
                <w:color w:val="000000" w:themeColor="text1"/>
                <w:sz w:val="24"/>
                <w:highlight w:val="none"/>
                <w14:textFill>
                  <w14:solidFill>
                    <w14:schemeClr w14:val="tx1"/>
                  </w14:solidFill>
                </w14:textFill>
              </w:rPr>
              <w:t>。</w:t>
            </w:r>
          </w:p>
          <w:p w14:paraId="3669FD83">
            <w:pPr>
              <w:keepNext w:val="0"/>
              <w:keepLines w:val="0"/>
              <w:suppressLineNumbers w:val="0"/>
              <w:adjustRightInd w:val="0"/>
              <w:snapToGrid w:val="0"/>
              <w:spacing w:before="0" w:beforeAutospacing="0" w:after="0" w:afterAutospacing="0" w:line="360" w:lineRule="auto"/>
              <w:ind w:left="0" w:right="0" w:firstLine="480" w:firstLineChars="200"/>
              <w:rPr>
                <w:rFonts w:hint="eastAsia"/>
                <w:b w:val="0"/>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③落实责任制，</w:t>
            </w:r>
            <w:r>
              <w:rPr>
                <w:rFonts w:hint="eastAsia"/>
                <w:bCs/>
                <w:color w:val="000000" w:themeColor="text1"/>
                <w:sz w:val="24"/>
                <w:highlight w:val="none"/>
                <w:lang w:val="en-US" w:eastAsia="zh-CN"/>
                <w14:textFill>
                  <w14:solidFill>
                    <w14:schemeClr w14:val="tx1"/>
                  </w14:solidFill>
                </w14:textFill>
              </w:rPr>
              <w:t>危废间</w:t>
            </w:r>
            <w:r>
              <w:rPr>
                <w:rFonts w:hint="eastAsia"/>
                <w:bCs/>
                <w:color w:val="000000" w:themeColor="text1"/>
                <w:sz w:val="24"/>
                <w:highlight w:val="none"/>
                <w14:textFill>
                  <w14:solidFill>
                    <w14:schemeClr w14:val="tx1"/>
                  </w14:solidFill>
                </w14:textFill>
              </w:rPr>
              <w:t>分设负责人看管</w:t>
            </w:r>
            <w:r>
              <w:rPr>
                <w:rFonts w:hint="eastAsia"/>
                <w:bCs/>
                <w:color w:val="000000" w:themeColor="text1"/>
                <w:sz w:val="24"/>
                <w:highlight w:val="none"/>
                <w:lang w:val="en-US" w:eastAsia="zh-CN"/>
                <w14:textFill>
                  <w14:solidFill>
                    <w14:schemeClr w14:val="tx1"/>
                  </w14:solidFill>
                </w14:textFill>
              </w:rPr>
              <w:t>巡查</w:t>
            </w:r>
            <w:r>
              <w:rPr>
                <w:rFonts w:hint="eastAsia"/>
                <w:bCs/>
                <w:color w:val="000000" w:themeColor="text1"/>
                <w:sz w:val="24"/>
                <w:highlight w:val="none"/>
                <w14:textFill>
                  <w14:solidFill>
                    <w14:schemeClr w14:val="tx1"/>
                  </w14:solidFill>
                </w14:textFill>
              </w:rPr>
              <w:t>，确保隐患</w:t>
            </w:r>
            <w:r>
              <w:rPr>
                <w:rFonts w:hint="eastAsia"/>
                <w:bCs/>
                <w:color w:val="000000" w:themeColor="text1"/>
                <w:sz w:val="24"/>
                <w:highlight w:val="none"/>
                <w:lang w:val="en-US" w:eastAsia="zh-CN"/>
                <w14:textFill>
                  <w14:solidFill>
                    <w14:schemeClr w14:val="tx1"/>
                  </w14:solidFill>
                </w14:textFill>
              </w:rPr>
              <w:t>及时发现。</w:t>
            </w:r>
          </w:p>
          <w:p w14:paraId="647E612A">
            <w:pPr>
              <w:keepNext w:val="0"/>
              <w:keepLines w:val="0"/>
              <w:suppressLineNumbers w:val="0"/>
              <w:adjustRightInd w:val="0"/>
              <w:snapToGrid w:val="0"/>
              <w:spacing w:before="0" w:beforeAutospacing="0" w:after="0" w:afterAutospacing="0" w:line="360" w:lineRule="auto"/>
              <w:ind w:left="0" w:right="0" w:firstLine="480" w:firstLineChars="200"/>
              <w:rPr>
                <w:rFonts w:hint="eastAsia"/>
                <w:b w:val="0"/>
                <w:bCs/>
                <w:color w:val="000000" w:themeColor="text1"/>
                <w:sz w:val="24"/>
                <w:highlight w:val="none"/>
                <w14:textFill>
                  <w14:solidFill>
                    <w14:schemeClr w14:val="tx1"/>
                  </w14:solidFill>
                </w14:textFill>
              </w:rPr>
            </w:pPr>
            <w:r>
              <w:rPr>
                <w:rFonts w:hint="eastAsia"/>
                <w:b w:val="0"/>
                <w:bCs/>
                <w:color w:val="000000" w:themeColor="text1"/>
                <w:sz w:val="24"/>
                <w:highlight w:val="none"/>
                <w14:textFill>
                  <w14:solidFill>
                    <w14:schemeClr w14:val="tx1"/>
                  </w14:solidFill>
                </w14:textFill>
              </w:rPr>
              <w:t>（2）</w:t>
            </w:r>
            <w:r>
              <w:rPr>
                <w:rFonts w:hint="eastAsia"/>
                <w:b w:val="0"/>
                <w:bCs/>
                <w:color w:val="000000" w:themeColor="text1"/>
                <w:sz w:val="24"/>
                <w:highlight w:val="none"/>
                <w:lang w:val="en-US" w:eastAsia="zh-CN"/>
                <w14:textFill>
                  <w14:solidFill>
                    <w14:schemeClr w14:val="tx1"/>
                  </w14:solidFill>
                </w14:textFill>
              </w:rPr>
              <w:t>火灾</w:t>
            </w:r>
            <w:r>
              <w:rPr>
                <w:rFonts w:hint="eastAsia"/>
                <w:b w:val="0"/>
                <w:bCs/>
                <w:color w:val="000000" w:themeColor="text1"/>
                <w:sz w:val="24"/>
                <w:highlight w:val="none"/>
                <w14:textFill>
                  <w14:solidFill>
                    <w14:schemeClr w14:val="tx1"/>
                  </w14:solidFill>
                </w14:textFill>
              </w:rPr>
              <w:t>有毒</w:t>
            </w:r>
            <w:r>
              <w:rPr>
                <w:rFonts w:hint="eastAsia"/>
                <w:b w:val="0"/>
                <w:bCs/>
                <w:color w:val="000000" w:themeColor="text1"/>
                <w:sz w:val="24"/>
                <w:highlight w:val="none"/>
                <w:lang w:val="en-US" w:eastAsia="zh-CN"/>
                <w14:textFill>
                  <w14:solidFill>
                    <w14:schemeClr w14:val="tx1"/>
                  </w14:solidFill>
                </w14:textFill>
              </w:rPr>
              <w:t>有害</w:t>
            </w:r>
            <w:r>
              <w:rPr>
                <w:rFonts w:hint="eastAsia"/>
                <w:b w:val="0"/>
                <w:bCs/>
                <w:color w:val="000000" w:themeColor="text1"/>
                <w:sz w:val="24"/>
                <w:highlight w:val="none"/>
                <w14:textFill>
                  <w14:solidFill>
                    <w14:schemeClr w14:val="tx1"/>
                  </w14:solidFill>
                </w14:textFill>
              </w:rPr>
              <w:t>气体的防范措施</w:t>
            </w:r>
          </w:p>
          <w:p w14:paraId="4919320A">
            <w:pPr>
              <w:keepNext w:val="0"/>
              <w:keepLines w:val="0"/>
              <w:suppressLineNumbers w:val="0"/>
              <w:adjustRightInd w:val="0"/>
              <w:snapToGrid w:val="0"/>
              <w:spacing w:before="0" w:beforeAutospacing="0" w:after="0" w:afterAutospacing="0" w:line="360" w:lineRule="auto"/>
              <w:ind w:left="0" w:right="0" w:firstLine="480" w:firstLineChars="200"/>
              <w:rPr>
                <w:rFonts w:hint="eastAsia"/>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①加强安全教育培训和宣传</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14:textFill>
                  <w14:solidFill>
                    <w14:schemeClr w14:val="tx1"/>
                  </w14:solidFill>
                </w14:textFill>
              </w:rPr>
              <w:t>加强对从业人员的专题教育，进一步提高企业管理者、操作人员的安全意识防范知识和应急救援的水平。</w:t>
            </w:r>
          </w:p>
          <w:p w14:paraId="677F558A">
            <w:pPr>
              <w:keepNext w:val="0"/>
              <w:keepLines w:val="0"/>
              <w:suppressLineNumbers w:val="0"/>
              <w:adjustRightInd w:val="0"/>
              <w:snapToGrid w:val="0"/>
              <w:spacing w:before="0" w:beforeAutospacing="0" w:after="0" w:afterAutospacing="0" w:line="360" w:lineRule="auto"/>
              <w:ind w:left="0" w:right="0" w:firstLine="480" w:firstLineChars="200"/>
              <w:rPr>
                <w:rFonts w:hint="eastAsia"/>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②加大安全生产的投入</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14:textFill>
                  <w14:solidFill>
                    <w14:schemeClr w14:val="tx1"/>
                  </w14:solidFill>
                </w14:textFill>
              </w:rPr>
              <w:t>在强化安全教育、提高安全意识的同时，在可能</w:t>
            </w:r>
            <w:r>
              <w:rPr>
                <w:rFonts w:hint="eastAsia"/>
                <w:bCs/>
                <w:color w:val="000000" w:themeColor="text1"/>
                <w:sz w:val="24"/>
                <w:highlight w:val="none"/>
                <w:lang w:val="en-US" w:eastAsia="zh-CN"/>
                <w14:textFill>
                  <w14:solidFill>
                    <w14:schemeClr w14:val="tx1"/>
                  </w14:solidFill>
                </w14:textFill>
              </w:rPr>
              <w:t>产生火灾的场所</w:t>
            </w:r>
            <w:r>
              <w:rPr>
                <w:rFonts w:hint="eastAsia"/>
                <w:bCs/>
                <w:color w:val="000000" w:themeColor="text1"/>
                <w:sz w:val="24"/>
                <w:highlight w:val="none"/>
                <w14:textFill>
                  <w14:solidFill>
                    <w14:schemeClr w14:val="tx1"/>
                  </w14:solidFill>
                </w14:textFill>
              </w:rPr>
              <w:t>设置</w:t>
            </w:r>
            <w:r>
              <w:rPr>
                <w:rFonts w:hint="eastAsia"/>
                <w:bCs/>
                <w:color w:val="000000" w:themeColor="text1"/>
                <w:sz w:val="24"/>
                <w:highlight w:val="none"/>
                <w:lang w:val="en-US" w:eastAsia="zh-CN"/>
                <w14:textFill>
                  <w14:solidFill>
                    <w14:schemeClr w14:val="tx1"/>
                  </w14:solidFill>
                </w14:textFill>
              </w:rPr>
              <w:t>火灾</w:t>
            </w:r>
            <w:r>
              <w:rPr>
                <w:rFonts w:hint="eastAsia"/>
                <w:bCs/>
                <w:color w:val="000000" w:themeColor="text1"/>
                <w:sz w:val="24"/>
                <w:highlight w:val="none"/>
                <w14:textFill>
                  <w14:solidFill>
                    <w14:schemeClr w14:val="tx1"/>
                  </w14:solidFill>
                </w14:textFill>
              </w:rPr>
              <w:t>报警仪</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14:textFill>
                  <w14:solidFill>
                    <w14:schemeClr w14:val="tx1"/>
                  </w14:solidFill>
                </w14:textFill>
              </w:rPr>
              <w:t>配备</w:t>
            </w:r>
            <w:r>
              <w:rPr>
                <w:rFonts w:hint="eastAsia"/>
                <w:bCs/>
                <w:color w:val="000000" w:themeColor="text1"/>
                <w:sz w:val="24"/>
                <w:highlight w:val="none"/>
                <w:lang w:val="en-US" w:eastAsia="zh-CN"/>
                <w14:textFill>
                  <w14:solidFill>
                    <w14:schemeClr w14:val="tx1"/>
                  </w14:solidFill>
                </w14:textFill>
              </w:rPr>
              <w:t>灭火器、防毒面具</w:t>
            </w:r>
            <w:r>
              <w:rPr>
                <w:rFonts w:hint="eastAsia"/>
                <w:bCs/>
                <w:color w:val="000000" w:themeColor="text1"/>
                <w:sz w:val="24"/>
                <w:highlight w:val="none"/>
                <w14:textFill>
                  <w14:solidFill>
                    <w14:schemeClr w14:val="tx1"/>
                  </w14:solidFill>
                </w14:textFill>
              </w:rPr>
              <w:t>、救护带、有害气体检测仪器等</w:t>
            </w:r>
            <w:r>
              <w:rPr>
                <w:rFonts w:hint="eastAsia"/>
                <w:bCs/>
                <w:color w:val="000000" w:themeColor="text1"/>
                <w:sz w:val="24"/>
                <w:highlight w:val="none"/>
                <w:lang w:val="en-US" w:eastAsia="zh-CN"/>
                <w14:textFill>
                  <w14:solidFill>
                    <w14:schemeClr w14:val="tx1"/>
                  </w14:solidFill>
                </w14:textFill>
              </w:rPr>
              <w:t>应急物资</w:t>
            </w:r>
            <w:r>
              <w:rPr>
                <w:rFonts w:hint="eastAsia"/>
                <w:bCs/>
                <w:color w:val="000000" w:themeColor="text1"/>
                <w:sz w:val="24"/>
                <w:highlight w:val="none"/>
                <w14:textFill>
                  <w14:solidFill>
                    <w14:schemeClr w14:val="tx1"/>
                  </w14:solidFill>
                </w14:textFill>
              </w:rPr>
              <w:t>。</w:t>
            </w:r>
          </w:p>
          <w:p w14:paraId="16A9C022">
            <w:pPr>
              <w:keepNext w:val="0"/>
              <w:keepLines w:val="0"/>
              <w:suppressLineNumbers w:val="0"/>
              <w:adjustRightInd w:val="0"/>
              <w:snapToGrid w:val="0"/>
              <w:spacing w:before="0" w:beforeAutospacing="0" w:after="0" w:afterAutospacing="0" w:line="360" w:lineRule="auto"/>
              <w:ind w:left="0" w:right="0" w:firstLine="480" w:firstLineChars="200"/>
              <w:rPr>
                <w:rFonts w:hint="eastAsia"/>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③建立健全</w:t>
            </w:r>
            <w:r>
              <w:rPr>
                <w:rFonts w:hint="eastAsia"/>
                <w:bCs/>
                <w:color w:val="000000" w:themeColor="text1"/>
                <w:sz w:val="24"/>
                <w:highlight w:val="none"/>
                <w:lang w:val="en-US" w:eastAsia="zh-CN"/>
                <w14:textFill>
                  <w14:solidFill>
                    <w14:schemeClr w14:val="tx1"/>
                  </w14:solidFill>
                </w14:textFill>
              </w:rPr>
              <w:t>火灾</w:t>
            </w:r>
            <w:r>
              <w:rPr>
                <w:rFonts w:hint="eastAsia"/>
                <w:bCs/>
                <w:color w:val="000000" w:themeColor="text1"/>
                <w:sz w:val="24"/>
                <w:highlight w:val="none"/>
                <w14:textFill>
                  <w14:solidFill>
                    <w14:schemeClr w14:val="tx1"/>
                  </w14:solidFill>
                </w14:textFill>
              </w:rPr>
              <w:t>事故应急救援预案</w:t>
            </w:r>
            <w:r>
              <w:rPr>
                <w:rFonts w:hint="eastAsia"/>
                <w:bCs/>
                <w:color w:val="000000" w:themeColor="text1"/>
                <w:sz w:val="24"/>
                <w:highlight w:val="none"/>
                <w:lang w:eastAsia="zh-CN"/>
                <w14:textFill>
                  <w14:solidFill>
                    <w14:schemeClr w14:val="tx1"/>
                  </w14:solidFill>
                </w14:textFill>
              </w:rPr>
              <w:t>，</w:t>
            </w:r>
            <w:r>
              <w:rPr>
                <w:rFonts w:hint="eastAsia"/>
                <w:bCs/>
                <w:color w:val="000000" w:themeColor="text1"/>
                <w:sz w:val="24"/>
                <w:highlight w:val="none"/>
                <w14:textFill>
                  <w14:solidFill>
                    <w14:schemeClr w14:val="tx1"/>
                  </w14:solidFill>
                </w14:textFill>
              </w:rPr>
              <w:t>落实针对性的应急救援组织、救援人员、救援器材，并定期组织演练。</w:t>
            </w:r>
          </w:p>
          <w:p w14:paraId="50C96F08">
            <w:pPr>
              <w:keepNext w:val="0"/>
              <w:keepLines w:val="0"/>
              <w:suppressLineNumbers w:val="0"/>
              <w:adjustRightInd w:val="0"/>
              <w:snapToGrid w:val="0"/>
              <w:spacing w:before="0" w:beforeAutospacing="0" w:after="0" w:afterAutospacing="0" w:line="360" w:lineRule="auto"/>
              <w:ind w:left="0" w:right="0" w:firstLine="480" w:firstLineChars="200"/>
              <w:rPr>
                <w:rFonts w:hint="eastAsia"/>
                <w:b w:val="0"/>
                <w:bCs/>
                <w:color w:val="000000" w:themeColor="text1"/>
                <w:sz w:val="24"/>
                <w:highlight w:val="none"/>
                <w14:textFill>
                  <w14:solidFill>
                    <w14:schemeClr w14:val="tx1"/>
                  </w14:solidFill>
                </w14:textFill>
              </w:rPr>
            </w:pPr>
            <w:r>
              <w:rPr>
                <w:rFonts w:hint="eastAsia"/>
                <w:b w:val="0"/>
                <w:bCs/>
                <w:color w:val="000000" w:themeColor="text1"/>
                <w:sz w:val="24"/>
                <w:highlight w:val="none"/>
                <w14:textFill>
                  <w14:solidFill>
                    <w14:schemeClr w14:val="tx1"/>
                  </w14:solidFill>
                </w14:textFill>
              </w:rPr>
              <w:t>（</w:t>
            </w:r>
            <w:r>
              <w:rPr>
                <w:rFonts w:hint="eastAsia"/>
                <w:b w:val="0"/>
                <w:bCs/>
                <w:color w:val="000000" w:themeColor="text1"/>
                <w:sz w:val="24"/>
                <w:highlight w:val="none"/>
                <w:lang w:val="en-US" w:eastAsia="zh-CN"/>
                <w14:textFill>
                  <w14:solidFill>
                    <w14:schemeClr w14:val="tx1"/>
                  </w14:solidFill>
                </w14:textFill>
              </w:rPr>
              <w:t>3</w:t>
            </w:r>
            <w:r>
              <w:rPr>
                <w:rFonts w:hint="eastAsia"/>
                <w:b w:val="0"/>
                <w:bCs/>
                <w:color w:val="000000" w:themeColor="text1"/>
                <w:sz w:val="24"/>
                <w:highlight w:val="none"/>
                <w14:textFill>
                  <w14:solidFill>
                    <w14:schemeClr w14:val="tx1"/>
                  </w14:solidFill>
                </w14:textFill>
              </w:rPr>
              <w:t>）突发环境</w:t>
            </w:r>
            <w:r>
              <w:rPr>
                <w:rFonts w:hint="eastAsia"/>
                <w:b w:val="0"/>
                <w:bCs/>
                <w:color w:val="000000" w:themeColor="text1"/>
                <w:sz w:val="24"/>
                <w:highlight w:val="none"/>
                <w:lang w:val="en-US" w:eastAsia="zh-CN"/>
                <w14:textFill>
                  <w14:solidFill>
                    <w14:schemeClr w14:val="tx1"/>
                  </w14:solidFill>
                </w14:textFill>
              </w:rPr>
              <w:t>事件</w:t>
            </w:r>
            <w:r>
              <w:rPr>
                <w:rFonts w:hint="eastAsia"/>
                <w:b w:val="0"/>
                <w:bCs/>
                <w:color w:val="000000" w:themeColor="text1"/>
                <w:sz w:val="24"/>
                <w:highlight w:val="none"/>
                <w14:textFill>
                  <w14:solidFill>
                    <w14:schemeClr w14:val="tx1"/>
                  </w14:solidFill>
                </w14:textFill>
              </w:rPr>
              <w:t>应急预案</w:t>
            </w:r>
          </w:p>
          <w:p w14:paraId="0C7103C2">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bCs/>
                <w:color w:val="000000" w:themeColor="text1"/>
                <w:sz w:val="24"/>
                <w:highlight w:val="none"/>
                <w14:textFill>
                  <w14:solidFill>
                    <w14:schemeClr w14:val="tx1"/>
                  </w14:solidFill>
                </w14:textFill>
              </w:rPr>
            </w:pPr>
            <w:r>
              <w:rPr>
                <w:rFonts w:hint="eastAsia"/>
                <w:bCs/>
                <w:color w:val="000000" w:themeColor="text1"/>
                <w:sz w:val="24"/>
                <w:highlight w:val="none"/>
                <w14:textFill>
                  <w14:solidFill>
                    <w14:schemeClr w14:val="tx1"/>
                  </w14:solidFill>
                </w14:textFill>
              </w:rPr>
              <w:t>建设单位应根据有关规定制定企业的环境突发事件应急预案</w:t>
            </w:r>
            <w:r>
              <w:rPr>
                <w:rFonts w:hint="eastAsia"/>
                <w:bCs/>
                <w:color w:val="000000" w:themeColor="text1"/>
                <w:sz w:val="24"/>
                <w:highlight w:val="none"/>
                <w:lang w:val="en-US" w:eastAsia="zh-CN"/>
                <w14:textFill>
                  <w14:solidFill>
                    <w14:schemeClr w14:val="tx1"/>
                  </w14:solidFill>
                </w14:textFill>
              </w:rPr>
              <w:t>并备案</w:t>
            </w:r>
            <w:r>
              <w:rPr>
                <w:rFonts w:hint="eastAsia"/>
                <w:bCs/>
                <w:color w:val="000000" w:themeColor="text1"/>
                <w:sz w:val="24"/>
                <w:highlight w:val="none"/>
                <w14:textFill>
                  <w14:solidFill>
                    <w14:schemeClr w14:val="tx1"/>
                  </w14:solidFill>
                </w14:textFill>
              </w:rPr>
              <w:t>，当出现事故时，要采取紧急的工程应急措施，如有必要，要采取社会应急措施，以控制事故和减少对环境造成的危害。</w:t>
            </w:r>
          </w:p>
          <w:p w14:paraId="12793C32">
            <w:pPr>
              <w:pStyle w:val="47"/>
              <w:keepNext w:val="0"/>
              <w:keepLines w:val="0"/>
              <w:suppressLineNumbers w:val="0"/>
              <w:spacing w:before="0" w:beforeAutospacing="0" w:after="0" w:afterAutospacing="0"/>
              <w:ind w:left="0" w:right="0" w:firstLine="0" w:firstLineChars="0"/>
              <w:jc w:val="center"/>
              <w:rPr>
                <w:rFonts w:hint="default" w:eastAsia="宋体"/>
                <w:b/>
                <w:color w:val="auto"/>
                <w:sz w:val="24"/>
                <w:highlight w:val="none"/>
              </w:rPr>
            </w:pPr>
            <w:r>
              <w:rPr>
                <w:rFonts w:hint="eastAsia" w:eastAsia="宋体"/>
                <w:b/>
                <w:color w:val="auto"/>
                <w:sz w:val="24"/>
                <w:highlight w:val="none"/>
              </w:rPr>
              <w:t>表4-</w:t>
            </w:r>
            <w:r>
              <w:rPr>
                <w:rFonts w:hint="eastAsia" w:eastAsia="宋体"/>
                <w:b/>
                <w:color w:val="auto"/>
                <w:sz w:val="24"/>
                <w:highlight w:val="none"/>
                <w:lang w:val="en-US" w:eastAsia="zh-CN"/>
              </w:rPr>
              <w:t>18</w:t>
            </w:r>
            <w:r>
              <w:rPr>
                <w:rFonts w:hint="eastAsia" w:eastAsia="宋体"/>
                <w:b/>
                <w:color w:val="auto"/>
                <w:sz w:val="24"/>
                <w:highlight w:val="none"/>
              </w:rPr>
              <w:t xml:space="preserve">  建设项目环境风险简单分析内容表</w:t>
            </w:r>
          </w:p>
          <w:tbl>
            <w:tblPr>
              <w:tblStyle w:val="35"/>
              <w:tblW w:w="84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4"/>
              <w:gridCol w:w="1201"/>
              <w:gridCol w:w="1980"/>
              <w:gridCol w:w="1184"/>
              <w:gridCol w:w="927"/>
              <w:gridCol w:w="1347"/>
            </w:tblGrid>
            <w:tr w14:paraId="224AD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dxa"/>
                  <w:noWrap/>
                  <w:vAlign w:val="center"/>
                </w:tcPr>
                <w:p w14:paraId="6F4FD0EA">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建设项目名称</w:t>
                  </w:r>
                </w:p>
              </w:tc>
              <w:tc>
                <w:tcPr>
                  <w:tcW w:w="6747" w:type="dxa"/>
                  <w:gridSpan w:val="5"/>
                  <w:noWrap/>
                  <w:vAlign w:val="center"/>
                </w:tcPr>
                <w:p w14:paraId="06C7ABBB">
                  <w:pPr>
                    <w:pStyle w:val="102"/>
                    <w:keepNext w:val="0"/>
                    <w:keepLines w:val="0"/>
                    <w:suppressLineNumbers w:val="0"/>
                    <w:spacing w:before="0" w:beforeAutospacing="0" w:after="0" w:afterAutospacing="0" w:line="240" w:lineRule="auto"/>
                    <w:ind w:left="0" w:right="0"/>
                    <w:jc w:val="center"/>
                    <w:rPr>
                      <w:rFonts w:hint="eastAsia" w:eastAsia="宋体"/>
                      <w:color w:val="auto"/>
                      <w:sz w:val="21"/>
                      <w:szCs w:val="21"/>
                      <w:highlight w:val="none"/>
                      <w:lang w:eastAsia="zh-CN"/>
                    </w:rPr>
                  </w:pPr>
                  <w:r>
                    <w:rPr>
                      <w:rFonts w:hint="eastAsia"/>
                      <w:color w:val="auto"/>
                      <w:sz w:val="21"/>
                      <w:szCs w:val="21"/>
                      <w:highlight w:val="none"/>
                      <w:lang w:eastAsia="zh-CN"/>
                    </w:rPr>
                    <w:t>秦皇岛万邦零部件加工有限公司</w:t>
                  </w:r>
                </w:p>
              </w:tc>
            </w:tr>
            <w:tr w14:paraId="45758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dxa"/>
                  <w:noWrap/>
                  <w:vAlign w:val="center"/>
                </w:tcPr>
                <w:p w14:paraId="5FED654E">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建设地点</w:t>
                  </w:r>
                </w:p>
              </w:tc>
              <w:tc>
                <w:tcPr>
                  <w:tcW w:w="1220" w:type="dxa"/>
                  <w:noWrap/>
                  <w:vAlign w:val="center"/>
                </w:tcPr>
                <w:p w14:paraId="1AF4C7B4">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河北省</w:t>
                  </w:r>
                </w:p>
              </w:tc>
              <w:tc>
                <w:tcPr>
                  <w:tcW w:w="2013" w:type="dxa"/>
                  <w:noWrap/>
                  <w:vAlign w:val="center"/>
                </w:tcPr>
                <w:p w14:paraId="11044707">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秦皇岛市</w:t>
                  </w:r>
                </w:p>
              </w:tc>
              <w:tc>
                <w:tcPr>
                  <w:tcW w:w="2146" w:type="dxa"/>
                  <w:gridSpan w:val="2"/>
                  <w:noWrap/>
                  <w:vAlign w:val="center"/>
                </w:tcPr>
                <w:p w14:paraId="2EFCD45F">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经济技术开发区</w:t>
                  </w:r>
                </w:p>
              </w:tc>
              <w:tc>
                <w:tcPr>
                  <w:tcW w:w="1368" w:type="dxa"/>
                  <w:noWrap/>
                  <w:vAlign w:val="center"/>
                </w:tcPr>
                <w:p w14:paraId="5EBE833C">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w:t>
                  </w:r>
                </w:p>
              </w:tc>
            </w:tr>
            <w:tr w14:paraId="14093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dxa"/>
                  <w:noWrap/>
                  <w:vAlign w:val="center"/>
                </w:tcPr>
                <w:p w14:paraId="134ECA60">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地理坐标</w:t>
                  </w:r>
                </w:p>
              </w:tc>
              <w:tc>
                <w:tcPr>
                  <w:tcW w:w="1220" w:type="dxa"/>
                  <w:noWrap/>
                  <w:vAlign w:val="center"/>
                </w:tcPr>
                <w:p w14:paraId="3FE3F269">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经度</w:t>
                  </w:r>
                </w:p>
              </w:tc>
              <w:tc>
                <w:tcPr>
                  <w:tcW w:w="2013" w:type="dxa"/>
                  <w:noWrap/>
                  <w:vAlign w:val="center"/>
                </w:tcPr>
                <w:p w14:paraId="4131C1DD">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E119°29′</w:t>
                  </w:r>
                  <w:r>
                    <w:rPr>
                      <w:rFonts w:hint="eastAsia"/>
                      <w:color w:val="auto"/>
                      <w:sz w:val="21"/>
                      <w:szCs w:val="21"/>
                      <w:highlight w:val="none"/>
                      <w:lang w:val="en-US" w:eastAsia="zh-CN"/>
                    </w:rPr>
                    <w:t>22.484</w:t>
                  </w:r>
                  <w:r>
                    <w:rPr>
                      <w:rFonts w:hint="default"/>
                      <w:color w:val="auto"/>
                      <w:sz w:val="21"/>
                      <w:szCs w:val="21"/>
                      <w:highlight w:val="none"/>
                    </w:rPr>
                    <w:t>"</w:t>
                  </w:r>
                </w:p>
              </w:tc>
              <w:tc>
                <w:tcPr>
                  <w:tcW w:w="1202" w:type="dxa"/>
                  <w:noWrap/>
                  <w:vAlign w:val="center"/>
                </w:tcPr>
                <w:p w14:paraId="4832E248">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纬度</w:t>
                  </w:r>
                </w:p>
              </w:tc>
              <w:tc>
                <w:tcPr>
                  <w:tcW w:w="2312" w:type="dxa"/>
                  <w:gridSpan w:val="2"/>
                  <w:noWrap/>
                  <w:vAlign w:val="center"/>
                </w:tcPr>
                <w:p w14:paraId="118E6D43">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N39°55′</w:t>
                  </w:r>
                  <w:r>
                    <w:rPr>
                      <w:rFonts w:hint="eastAsia"/>
                      <w:color w:val="auto"/>
                      <w:sz w:val="21"/>
                      <w:szCs w:val="21"/>
                      <w:highlight w:val="none"/>
                      <w:lang w:val="en-US" w:eastAsia="zh-CN"/>
                    </w:rPr>
                    <w:t>47.625</w:t>
                  </w:r>
                  <w:r>
                    <w:rPr>
                      <w:rFonts w:hint="default"/>
                      <w:color w:val="auto"/>
                      <w:sz w:val="21"/>
                      <w:szCs w:val="21"/>
                      <w:highlight w:val="none"/>
                    </w:rPr>
                    <w:t>"</w:t>
                  </w:r>
                </w:p>
              </w:tc>
            </w:tr>
            <w:tr w14:paraId="3A8BC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dxa"/>
                  <w:noWrap/>
                  <w:vAlign w:val="center"/>
                </w:tcPr>
                <w:p w14:paraId="3275BA8E">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主要危险物质及分布</w:t>
                  </w:r>
                </w:p>
              </w:tc>
              <w:tc>
                <w:tcPr>
                  <w:tcW w:w="6747" w:type="dxa"/>
                  <w:gridSpan w:val="5"/>
                  <w:noWrap/>
                  <w:vAlign w:val="center"/>
                </w:tcPr>
                <w:p w14:paraId="66A4684D">
                  <w:pPr>
                    <w:pStyle w:val="102"/>
                    <w:keepNext w:val="0"/>
                    <w:keepLines w:val="0"/>
                    <w:suppressLineNumbers w:val="0"/>
                    <w:spacing w:before="0" w:beforeAutospacing="0" w:after="0" w:afterAutospacing="0" w:line="240" w:lineRule="auto"/>
                    <w:ind w:left="0" w:right="0"/>
                    <w:rPr>
                      <w:rFonts w:hint="eastAsia"/>
                      <w:color w:val="auto"/>
                      <w:sz w:val="21"/>
                      <w:szCs w:val="21"/>
                      <w:highlight w:val="none"/>
                      <w:lang w:val="en-US" w:eastAsia="zh-CN"/>
                    </w:rPr>
                  </w:pPr>
                  <w:r>
                    <w:rPr>
                      <w:rFonts w:hint="default"/>
                      <w:color w:val="auto"/>
                      <w:sz w:val="21"/>
                      <w:szCs w:val="21"/>
                      <w:highlight w:val="none"/>
                    </w:rPr>
                    <w:t>危险物质：</w:t>
                  </w:r>
                  <w:r>
                    <w:rPr>
                      <w:rFonts w:hint="eastAsia"/>
                      <w:color w:val="auto"/>
                      <w:sz w:val="21"/>
                      <w:szCs w:val="21"/>
                      <w:highlight w:val="none"/>
                      <w:lang w:val="en-US" w:eastAsia="zh-CN"/>
                    </w:rPr>
                    <w:t>废机油、废机油桶、</w:t>
                  </w:r>
                  <w:r>
                    <w:rPr>
                      <w:rFonts w:hint="default"/>
                      <w:color w:val="auto"/>
                      <w:sz w:val="21"/>
                      <w:szCs w:val="21"/>
                      <w:highlight w:val="none"/>
                    </w:rPr>
                    <w:t>废润滑油、</w:t>
                  </w:r>
                  <w:r>
                    <w:rPr>
                      <w:rFonts w:hint="eastAsia"/>
                      <w:color w:val="auto"/>
                      <w:sz w:val="21"/>
                      <w:szCs w:val="21"/>
                      <w:highlight w:val="none"/>
                      <w:lang w:val="en-US" w:eastAsia="zh-CN"/>
                    </w:rPr>
                    <w:t xml:space="preserve">废润滑油桶、废铅酸电池、润滑油、机油  </w:t>
                  </w:r>
                </w:p>
                <w:p w14:paraId="46D80107">
                  <w:pPr>
                    <w:pStyle w:val="102"/>
                    <w:keepNext w:val="0"/>
                    <w:keepLines w:val="0"/>
                    <w:suppressLineNumbers w:val="0"/>
                    <w:spacing w:before="0" w:beforeAutospacing="0" w:after="0" w:afterAutospacing="0" w:line="240" w:lineRule="auto"/>
                    <w:ind w:left="0" w:right="0"/>
                    <w:rPr>
                      <w:rFonts w:hint="default"/>
                      <w:color w:val="auto"/>
                      <w:sz w:val="21"/>
                      <w:szCs w:val="21"/>
                      <w:highlight w:val="none"/>
                      <w:lang w:val="en-US"/>
                    </w:rPr>
                  </w:pPr>
                  <w:r>
                    <w:rPr>
                      <w:rFonts w:hint="eastAsia"/>
                      <w:color w:val="auto"/>
                      <w:sz w:val="21"/>
                      <w:szCs w:val="21"/>
                      <w:highlight w:val="none"/>
                      <w:lang w:val="en-US" w:eastAsia="zh-CN"/>
                    </w:rPr>
                    <w:t>分布：危废间、</w:t>
                  </w:r>
                  <w:r>
                    <w:rPr>
                      <w:rFonts w:hint="eastAsia" w:ascii="Times New Roman"/>
                      <w:color w:val="auto"/>
                      <w:sz w:val="21"/>
                      <w:szCs w:val="21"/>
                      <w:highlight w:val="none"/>
                      <w:lang w:val="en-US" w:eastAsia="zh-CN"/>
                    </w:rPr>
                    <w:t>原材料区</w:t>
                  </w:r>
                </w:p>
              </w:tc>
            </w:tr>
            <w:tr w14:paraId="1E711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dxa"/>
                  <w:noWrap/>
                  <w:vAlign w:val="center"/>
                </w:tcPr>
                <w:p w14:paraId="6EAE224C">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环境影响途径及危害后果</w:t>
                  </w:r>
                </w:p>
              </w:tc>
              <w:tc>
                <w:tcPr>
                  <w:tcW w:w="6747" w:type="dxa"/>
                  <w:gridSpan w:val="5"/>
                  <w:noWrap/>
                  <w:vAlign w:val="center"/>
                </w:tcPr>
                <w:p w14:paraId="478619C1">
                  <w:pPr>
                    <w:pStyle w:val="102"/>
                    <w:keepNext w:val="0"/>
                    <w:keepLines w:val="0"/>
                    <w:suppressLineNumbers w:val="0"/>
                    <w:spacing w:before="0" w:beforeAutospacing="0" w:after="0" w:afterAutospacing="0" w:line="240" w:lineRule="auto"/>
                    <w:ind w:left="0" w:right="0"/>
                    <w:rPr>
                      <w:rFonts w:hint="default"/>
                      <w:color w:val="auto"/>
                      <w:sz w:val="21"/>
                      <w:szCs w:val="21"/>
                      <w:highlight w:val="none"/>
                    </w:rPr>
                  </w:pPr>
                  <w:r>
                    <w:rPr>
                      <w:rFonts w:hint="default"/>
                      <w:color w:val="auto"/>
                      <w:sz w:val="21"/>
                      <w:szCs w:val="21"/>
                      <w:highlight w:val="none"/>
                    </w:rPr>
                    <w:t>影响途径：泄漏、火灾、爆炸。</w:t>
                  </w:r>
                </w:p>
                <w:p w14:paraId="76F5FF7C">
                  <w:pPr>
                    <w:pStyle w:val="102"/>
                    <w:keepNext w:val="0"/>
                    <w:keepLines w:val="0"/>
                    <w:suppressLineNumbers w:val="0"/>
                    <w:spacing w:before="0" w:beforeAutospacing="0" w:after="0" w:afterAutospacing="0" w:line="240" w:lineRule="auto"/>
                    <w:ind w:left="0" w:right="0"/>
                    <w:rPr>
                      <w:rFonts w:hint="eastAsia" w:eastAsia="宋体"/>
                      <w:color w:val="auto"/>
                      <w:sz w:val="21"/>
                      <w:szCs w:val="21"/>
                      <w:highlight w:val="none"/>
                      <w:lang w:eastAsia="zh-CN"/>
                    </w:rPr>
                  </w:pPr>
                  <w:r>
                    <w:rPr>
                      <w:rFonts w:hint="default"/>
                      <w:color w:val="auto"/>
                      <w:sz w:val="21"/>
                      <w:szCs w:val="21"/>
                      <w:highlight w:val="none"/>
                    </w:rPr>
                    <w:t>危害后果：危险废物、油类会对地下水、土壤环境造成污染；火灾爆炸会对人身安全及大气环境造成影响</w:t>
                  </w:r>
                  <w:r>
                    <w:rPr>
                      <w:rFonts w:hint="eastAsia"/>
                      <w:color w:val="auto"/>
                      <w:sz w:val="21"/>
                      <w:szCs w:val="21"/>
                      <w:highlight w:val="none"/>
                      <w:lang w:eastAsia="zh-CN"/>
                    </w:rPr>
                    <w:t>。</w:t>
                  </w:r>
                </w:p>
              </w:tc>
            </w:tr>
            <w:tr w14:paraId="06839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dxa"/>
                  <w:noWrap/>
                  <w:vAlign w:val="center"/>
                </w:tcPr>
                <w:p w14:paraId="7072B5C1">
                  <w:pPr>
                    <w:pStyle w:val="102"/>
                    <w:keepNext w:val="0"/>
                    <w:keepLines w:val="0"/>
                    <w:suppressLineNumbers w:val="0"/>
                    <w:spacing w:before="0" w:beforeAutospacing="0" w:after="0" w:afterAutospacing="0" w:line="240" w:lineRule="auto"/>
                    <w:ind w:left="0" w:right="0"/>
                    <w:jc w:val="center"/>
                    <w:rPr>
                      <w:rFonts w:hint="default"/>
                      <w:color w:val="auto"/>
                      <w:sz w:val="21"/>
                      <w:szCs w:val="21"/>
                      <w:highlight w:val="none"/>
                    </w:rPr>
                  </w:pPr>
                  <w:r>
                    <w:rPr>
                      <w:rFonts w:hint="default"/>
                      <w:color w:val="auto"/>
                      <w:sz w:val="21"/>
                      <w:szCs w:val="21"/>
                      <w:highlight w:val="none"/>
                    </w:rPr>
                    <w:t>风险防范措施要求</w:t>
                  </w:r>
                </w:p>
              </w:tc>
              <w:tc>
                <w:tcPr>
                  <w:tcW w:w="6747" w:type="dxa"/>
                  <w:gridSpan w:val="5"/>
                  <w:noWrap/>
                  <w:vAlign w:val="center"/>
                </w:tcPr>
                <w:p w14:paraId="76A688F4">
                  <w:pPr>
                    <w:pStyle w:val="14"/>
                    <w:keepNext w:val="0"/>
                    <w:keepLines w:val="0"/>
                    <w:suppressLineNumbers w:val="0"/>
                    <w:adjustRightInd w:val="0"/>
                    <w:snapToGrid w:val="0"/>
                    <w:spacing w:before="0" w:beforeAutospacing="0" w:after="0" w:afterAutospacing="0"/>
                    <w:ind w:left="0" w:leftChars="0" w:right="0"/>
                    <w:rPr>
                      <w:rFonts w:hint="default"/>
                      <w:color w:val="auto"/>
                      <w:spacing w:val="-2"/>
                      <w:sz w:val="21"/>
                      <w:szCs w:val="21"/>
                      <w:highlight w:val="none"/>
                    </w:rPr>
                  </w:pPr>
                  <w:r>
                    <w:rPr>
                      <w:rFonts w:hint="default"/>
                      <w:color w:val="auto"/>
                      <w:spacing w:val="-2"/>
                      <w:sz w:val="21"/>
                      <w:szCs w:val="21"/>
                      <w:highlight w:val="none"/>
                    </w:rPr>
                    <w:t>（1）危废暂存间</w:t>
                  </w:r>
                </w:p>
                <w:p w14:paraId="7BE6BBC2">
                  <w:pPr>
                    <w:pStyle w:val="14"/>
                    <w:keepNext w:val="0"/>
                    <w:keepLines w:val="0"/>
                    <w:suppressLineNumbers w:val="0"/>
                    <w:adjustRightInd w:val="0"/>
                    <w:snapToGrid w:val="0"/>
                    <w:spacing w:before="0" w:beforeAutospacing="0" w:after="0" w:afterAutospacing="0"/>
                    <w:ind w:left="0" w:leftChars="0" w:right="0"/>
                    <w:rPr>
                      <w:rFonts w:hint="default"/>
                      <w:color w:val="auto"/>
                      <w:spacing w:val="-2"/>
                      <w:sz w:val="21"/>
                      <w:szCs w:val="21"/>
                      <w:highlight w:val="none"/>
                    </w:rPr>
                  </w:pPr>
                  <w:r>
                    <w:rPr>
                      <w:rFonts w:hint="default"/>
                      <w:color w:val="auto"/>
                      <w:spacing w:val="-2"/>
                      <w:sz w:val="21"/>
                      <w:szCs w:val="21"/>
                      <w:highlight w:val="none"/>
                    </w:rPr>
                    <w:t>为防止废油泄漏的风险，本项目危险废物暂存间地面进行防腐防渗处理，危废贮存桶下设置防渗托盘，防渗系数≤10</w:t>
                  </w:r>
                  <w:r>
                    <w:rPr>
                      <w:rFonts w:hint="default"/>
                      <w:color w:val="auto"/>
                      <w:spacing w:val="-2"/>
                      <w:sz w:val="21"/>
                      <w:szCs w:val="21"/>
                      <w:highlight w:val="none"/>
                      <w:vertAlign w:val="superscript"/>
                    </w:rPr>
                    <w:t>-10</w:t>
                  </w:r>
                  <w:r>
                    <w:rPr>
                      <w:rFonts w:hint="default"/>
                      <w:color w:val="auto"/>
                      <w:spacing w:val="-2"/>
                      <w:sz w:val="21"/>
                      <w:szCs w:val="21"/>
                      <w:highlight w:val="none"/>
                    </w:rPr>
                    <w:t>cm/s，建筑材料与危险废物性质相容；危险废物暂存间设置为密闭厂房，具有防风、防雨、防晒、防渗、防漏、防冲刷浸泡功能，危险废物暂存间按照《危险废物识别标志设置技术规范》 (HJ1276-2022)设置警示标志。</w:t>
                  </w:r>
                </w:p>
                <w:p w14:paraId="0C746D58">
                  <w:pPr>
                    <w:pStyle w:val="14"/>
                    <w:keepNext w:val="0"/>
                    <w:keepLines w:val="0"/>
                    <w:suppressLineNumbers w:val="0"/>
                    <w:adjustRightInd w:val="0"/>
                    <w:snapToGrid w:val="0"/>
                    <w:spacing w:before="0" w:beforeAutospacing="0" w:after="0" w:afterAutospacing="0"/>
                    <w:ind w:left="0" w:leftChars="0" w:right="0"/>
                    <w:rPr>
                      <w:rFonts w:hint="default"/>
                      <w:color w:val="auto"/>
                      <w:spacing w:val="-2"/>
                      <w:sz w:val="21"/>
                      <w:szCs w:val="21"/>
                      <w:highlight w:val="none"/>
                    </w:rPr>
                  </w:pPr>
                  <w:r>
                    <w:rPr>
                      <w:rFonts w:hint="eastAsia"/>
                      <w:color w:val="auto"/>
                      <w:spacing w:val="-2"/>
                      <w:sz w:val="21"/>
                      <w:szCs w:val="21"/>
                      <w:highlight w:val="none"/>
                      <w:lang w:eastAsia="zh-CN"/>
                    </w:rPr>
                    <w:t>（</w:t>
                  </w:r>
                  <w:r>
                    <w:rPr>
                      <w:rFonts w:hint="eastAsia"/>
                      <w:color w:val="auto"/>
                      <w:spacing w:val="-2"/>
                      <w:sz w:val="21"/>
                      <w:szCs w:val="21"/>
                      <w:highlight w:val="none"/>
                      <w:lang w:val="en-US" w:eastAsia="zh-CN"/>
                    </w:rPr>
                    <w:t>2</w:t>
                  </w:r>
                  <w:r>
                    <w:rPr>
                      <w:rFonts w:hint="eastAsia"/>
                      <w:color w:val="auto"/>
                      <w:spacing w:val="-2"/>
                      <w:sz w:val="21"/>
                      <w:szCs w:val="21"/>
                      <w:highlight w:val="none"/>
                      <w:lang w:eastAsia="zh-CN"/>
                    </w:rPr>
                    <w:t>）</w:t>
                  </w:r>
                  <w:r>
                    <w:rPr>
                      <w:rFonts w:hint="default"/>
                      <w:color w:val="auto"/>
                      <w:spacing w:val="-2"/>
                      <w:sz w:val="21"/>
                      <w:szCs w:val="21"/>
                      <w:highlight w:val="none"/>
                    </w:rPr>
                    <w:t>环境风险防范制度及应急预案</w:t>
                  </w:r>
                </w:p>
                <w:p w14:paraId="60766319">
                  <w:pPr>
                    <w:pStyle w:val="14"/>
                    <w:keepNext w:val="0"/>
                    <w:keepLines w:val="0"/>
                    <w:suppressLineNumbers w:val="0"/>
                    <w:adjustRightInd w:val="0"/>
                    <w:snapToGrid w:val="0"/>
                    <w:spacing w:before="0" w:beforeAutospacing="0" w:after="0" w:afterAutospacing="0"/>
                    <w:ind w:left="0" w:leftChars="0" w:right="0"/>
                    <w:rPr>
                      <w:rFonts w:hint="default"/>
                      <w:color w:val="auto"/>
                      <w:spacing w:val="-2"/>
                      <w:sz w:val="21"/>
                      <w:szCs w:val="21"/>
                      <w:highlight w:val="none"/>
                    </w:rPr>
                  </w:pPr>
                  <w:r>
                    <w:rPr>
                      <w:rFonts w:hint="default"/>
                      <w:color w:val="auto"/>
                      <w:spacing w:val="-2"/>
                      <w:sz w:val="21"/>
                      <w:szCs w:val="21"/>
                      <w:highlight w:val="none"/>
                    </w:rPr>
                    <w:t>本项目针对环境风险事故拟采取多种防范措施，可将风险事故的概率降至较低的水平，但概率不会降为零，一旦发生事故仍需采取应急措施，控制和减少事故危害。因此应</w:t>
                  </w:r>
                  <w:r>
                    <w:rPr>
                      <w:rFonts w:hint="eastAsia"/>
                      <w:color w:val="auto"/>
                      <w:spacing w:val="-2"/>
                      <w:sz w:val="21"/>
                      <w:szCs w:val="21"/>
                      <w:highlight w:val="none"/>
                      <w:lang w:val="en-US" w:eastAsia="zh-CN"/>
                    </w:rPr>
                    <w:t>制定</w:t>
                  </w:r>
                  <w:r>
                    <w:rPr>
                      <w:rFonts w:hint="default"/>
                      <w:color w:val="auto"/>
                      <w:spacing w:val="-2"/>
                      <w:sz w:val="21"/>
                      <w:szCs w:val="21"/>
                      <w:highlight w:val="none"/>
                    </w:rPr>
                    <w:t>相关防范管理制度，制定各项环保制度；对从业人员进行岗位职工教 育与培训，使他们均具备危险意识及如何应对危险的知识，并进行相关泄漏事故的教育；设立应急事故专门记录，建立档案和报告制度，由专门部门或人员负责管理；执行环境风险事故报告制度，一经发现风险事故，立即向企业负责人报告，并由负责人按照事故程度，决定是否上报当地政府或上级有关部门报告，并且不瞒报、漏报，及时组织进行处置。具体负责人员或部门统一指挥对事故现场的应急救援，并立即查明原因，提出对策，及时组织各方面力量处理泄漏事故，控制事故的蔓延和扩大；项目建设单位应成立本厂的突发环境事件应急小组指挥部，责任到人，确保应急小组分工明确，以有效应对突发事件的发生。</w:t>
                  </w:r>
                </w:p>
                <w:p w14:paraId="0AFCCAA7">
                  <w:pPr>
                    <w:pStyle w:val="14"/>
                    <w:keepNext w:val="0"/>
                    <w:keepLines w:val="0"/>
                    <w:suppressLineNumbers w:val="0"/>
                    <w:adjustRightInd w:val="0"/>
                    <w:snapToGrid w:val="0"/>
                    <w:spacing w:before="0" w:beforeAutospacing="0" w:after="0" w:afterAutospacing="0"/>
                    <w:ind w:left="0" w:leftChars="0" w:right="0"/>
                    <w:rPr>
                      <w:rFonts w:hint="default"/>
                      <w:color w:val="auto"/>
                      <w:spacing w:val="-2"/>
                      <w:sz w:val="21"/>
                      <w:szCs w:val="21"/>
                      <w:highlight w:val="none"/>
                    </w:rPr>
                  </w:pPr>
                  <w:r>
                    <w:rPr>
                      <w:rFonts w:hint="default"/>
                      <w:color w:val="auto"/>
                      <w:spacing w:val="-2"/>
                      <w:sz w:val="21"/>
                      <w:szCs w:val="21"/>
                      <w:highlight w:val="none"/>
                    </w:rPr>
                    <w:t>根据《中华人民共和国突发事件应对法》、《企业事业单位突发环境事件应急预案备案管理办法 (试行) 》要求，企业应根据工程生产过程存在的风险事故类型，根据相关要求及时进行应急预案的编制。</w:t>
                  </w:r>
                </w:p>
              </w:tc>
            </w:tr>
          </w:tbl>
          <w:p w14:paraId="42982C1B">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6.4</w:t>
            </w:r>
            <w:r>
              <w:rPr>
                <w:rFonts w:hint="default" w:ascii="Times New Roman" w:hAnsi="Times New Roman" w:eastAsia="宋体" w:cs="Times New Roman"/>
                <w:color w:val="auto"/>
                <w:kern w:val="2"/>
                <w:sz w:val="24"/>
                <w:szCs w:val="24"/>
                <w:highlight w:val="none"/>
                <w:lang w:val="en-US" w:eastAsia="zh-CN" w:bidi="ar-SA"/>
              </w:rPr>
              <w:t>风险应急预案</w:t>
            </w:r>
          </w:p>
          <w:p w14:paraId="43E410ED">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依据“《河北省生态环境厅关于优化企事业单位突发环境事件应急预案备案的指导意见（试行）》(冀环应急[2025]26号)”，实行简化管理。</w:t>
            </w:r>
          </w:p>
          <w:p w14:paraId="3ACF5B4B">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1)组织机构及职责</w:t>
            </w:r>
          </w:p>
          <w:p w14:paraId="2ADA1DFD">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建设单位应设置</w:t>
            </w:r>
            <w:bookmarkStart w:id="15" w:name="_GoBack"/>
            <w:bookmarkEnd w:id="15"/>
            <w:r>
              <w:rPr>
                <w:rFonts w:hint="default" w:ascii="Times New Roman" w:hAnsi="Times New Roman" w:eastAsia="宋体" w:cs="Times New Roman"/>
                <w:color w:val="auto"/>
                <w:kern w:val="2"/>
                <w:sz w:val="24"/>
                <w:szCs w:val="24"/>
                <w:highlight w:val="none"/>
                <w:lang w:val="en-US" w:eastAsia="zh-CN" w:bidi="ar-SA"/>
              </w:rPr>
              <w:t>专门机构负责项目的环境安全。其职责包括：</w:t>
            </w:r>
          </w:p>
          <w:p w14:paraId="106B14EB">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a负责统一协调突发环境事件的应对工作，负责应急统一指挥，同时还负责与外界保持紧密联系，将事态的发展向外部的支持保障机构发出信号，并及时将反馈信息应用于事故应急的领导和指挥当中。</w:t>
            </w:r>
          </w:p>
          <w:p w14:paraId="1D430DD7">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b保证应对事故的各项资源，包括建立企业救援队，并与社会可利用资源建立长期合作关系：当建设单位内部资源不足、不能应对环境事故，需要区域内其他部门增援时出建设单位的环境安全管理部门提出增援请求。</w:t>
            </w:r>
          </w:p>
          <w:p w14:paraId="44CAFB11">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c在事故处理终止或者处理过程中，要向公众及时、准确地发布反映环境安全事故的信息，引导正确的舆论导向，对社会和公众负责。</w:t>
            </w:r>
          </w:p>
          <w:p w14:paraId="48F2F5B5">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2)应急预案内容</w:t>
            </w:r>
          </w:p>
          <w:p w14:paraId="08CE96D1">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a预防预警</w:t>
            </w:r>
          </w:p>
          <w:p w14:paraId="4D78B715">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预防与预警是处理突发环境事件的必要前提</w:t>
            </w:r>
          </w:p>
          <w:p w14:paraId="4E881D46">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根据突发事件的严重性、紧急程度和可能波及的范围，划分预警级别，并根据事态的发展情况和采取措施的效果，提高或者降低应急预警级别。</w:t>
            </w:r>
          </w:p>
          <w:p w14:paraId="0B6E5689">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b应急响应</w:t>
            </w:r>
          </w:p>
          <w:p w14:paraId="2E2BBBD6">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突发环境事件发生后，应立即启动并实施相应应急预案，及时向当地环保局、政府以及相关部门上报；同时，启动建设单位应急专业指挥机构；应急救援力量应立即开展应急救援工作；需要其他应急救援力量支援时，应及时向当地政府提出申请。</w:t>
            </w:r>
          </w:p>
          <w:p w14:paraId="7C89721C">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c应急处理</w:t>
            </w:r>
          </w:p>
          <w:p w14:paraId="591D572D">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对各类环境事故，根据相应的救援方案进行救援的处理，综合分析突发环境事件污染变化趋势，预测并报告突发环境事件的发展情况和污染物的变化情况，作为突发环境事件应急决策的依据。</w:t>
            </w:r>
          </w:p>
          <w:p w14:paraId="62496D1A">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d应急终止</w:t>
            </w:r>
          </w:p>
          <w:p w14:paraId="06A4DA1B">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应急终止须经现场救援指挥部确认，出现场救援指挥部向所属各专业应急救援队伍下达应急终止命令。</w:t>
            </w:r>
          </w:p>
          <w:p w14:paraId="02BA89FB">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应急状态终止后，建设单位应根据上级有关指示和实际情况，继续进行环境监测和评价工作，直至其他补救措施无需继续进行为止。</w:t>
            </w:r>
          </w:p>
          <w:p w14:paraId="46DA9B29">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e信息发布</w:t>
            </w:r>
          </w:p>
          <w:p w14:paraId="472A1943">
            <w:pPr>
              <w:pStyle w:val="10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auto"/>
                <w:sz w:val="24"/>
                <w:highlight w:val="none"/>
              </w:rPr>
            </w:pPr>
            <w:r>
              <w:rPr>
                <w:rFonts w:hint="default" w:ascii="Times New Roman" w:hAnsi="Times New Roman" w:eastAsia="宋体" w:cs="Times New Roman"/>
                <w:color w:val="auto"/>
                <w:kern w:val="2"/>
                <w:sz w:val="24"/>
                <w:szCs w:val="24"/>
                <w:highlight w:val="none"/>
                <w:lang w:val="en-US" w:eastAsia="zh-CN" w:bidi="ar-SA"/>
              </w:rPr>
              <w:t>突发环境事件终止后，要通过报纸、广播、电视和网络等多种媒体方式，及时发布准确、权威的信息，正确引导社会舆论，增强对于环境安全应急措施的透明度。</w:t>
            </w:r>
          </w:p>
          <w:p w14:paraId="3518053E">
            <w:pPr>
              <w:pStyle w:val="6"/>
              <w:keepNext w:val="0"/>
              <w:keepLines w:val="0"/>
              <w:suppressLineNumbers w:val="0"/>
              <w:spacing w:before="0" w:beforeAutospacing="0" w:after="0" w:afterAutospacing="0"/>
              <w:ind w:left="0" w:right="0"/>
              <w:rPr>
                <w:rFonts w:hint="default" w:ascii="Times New Roman" w:hAnsi="Times New Roman"/>
                <w:color w:val="auto"/>
                <w:sz w:val="28"/>
                <w:szCs w:val="28"/>
                <w:highlight w:val="none"/>
              </w:rPr>
            </w:pPr>
            <w:r>
              <w:rPr>
                <w:rFonts w:hint="default" w:ascii="Times New Roman" w:hAnsi="Times New Roman"/>
                <w:color w:val="auto"/>
                <w:sz w:val="28"/>
                <w:szCs w:val="28"/>
                <w:highlight w:val="none"/>
              </w:rPr>
              <w:t>7、排污口规范化及管理规范</w:t>
            </w:r>
          </w:p>
          <w:p w14:paraId="758DF68F">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 xml:space="preserve">（1）落实按证排污责任 </w:t>
            </w:r>
          </w:p>
          <w:p w14:paraId="6238C063">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ascii="Times New Roman" w:hAnsi="Times New Roman" w:cs="Times New Roman"/>
                <w:bCs/>
                <w:color w:val="000000"/>
                <w:sz w:val="24"/>
                <w:highlight w:val="none"/>
              </w:rPr>
              <w:t>根据《排污许可管理条例》和《固定污染源排污许可分类管理名录(2019 年版)》(生态环境部部令第11号)</w:t>
            </w:r>
            <w:r>
              <w:rPr>
                <w:rFonts w:hint="eastAsia" w:ascii="Times New Roman" w:hAnsi="Times New Roman" w:eastAsia="宋体" w:cs="Times New Roman"/>
                <w:bCs/>
                <w:color w:val="000000"/>
                <w:sz w:val="24"/>
                <w:highlight w:val="none"/>
                <w:lang w:eastAsia="zh-CN"/>
              </w:rPr>
              <w:t>，</w:t>
            </w:r>
            <w:r>
              <w:rPr>
                <w:rFonts w:hint="eastAsia" w:ascii="Times New Roman" w:hAnsi="Times New Roman" w:eastAsia="宋体" w:cs="Times New Roman"/>
                <w:bCs/>
                <w:color w:val="000000"/>
                <w:sz w:val="24"/>
                <w:highlight w:val="none"/>
                <w:lang w:val="en-US" w:eastAsia="zh-CN"/>
              </w:rPr>
              <w:t>秦皇岛万邦零部件加工有限公司</w:t>
            </w:r>
            <w:r>
              <w:rPr>
                <w:rFonts w:hint="default" w:ascii="Times New Roman" w:hAnsi="Times New Roman" w:eastAsia="宋体" w:cs="Times New Roman"/>
                <w:b w:val="0"/>
                <w:color w:val="auto"/>
                <w:kern w:val="0"/>
                <w:sz w:val="24"/>
                <w:szCs w:val="27"/>
                <w:highlight w:val="none"/>
                <w:lang w:val="en-US" w:eastAsia="zh-CN" w:bidi="ar-SA"/>
              </w:rPr>
              <w:t>属于名录中“三十三、汽车制造业-71 汽车零部件及配件制造-其他”</w:t>
            </w:r>
            <w:r>
              <w:rPr>
                <w:rFonts w:hint="eastAsia" w:cs="Times New Roman"/>
                <w:b w:val="0"/>
                <w:color w:val="auto"/>
                <w:kern w:val="0"/>
                <w:sz w:val="24"/>
                <w:szCs w:val="27"/>
                <w:highlight w:val="none"/>
                <w:lang w:val="en-US" w:eastAsia="zh-CN" w:bidi="ar-SA"/>
              </w:rPr>
              <w:t>，</w:t>
            </w:r>
            <w:r>
              <w:rPr>
                <w:rFonts w:hint="default" w:ascii="Times New Roman" w:hAnsi="Times New Roman" w:eastAsia="宋体" w:cs="Times New Roman"/>
                <w:bCs/>
                <w:color w:val="000000"/>
                <w:sz w:val="24"/>
                <w:highlight w:val="none"/>
              </w:rPr>
              <w:t>建设单位</w:t>
            </w:r>
            <w:r>
              <w:rPr>
                <w:rFonts w:hint="default" w:ascii="Times New Roman" w:hAnsi="Times New Roman" w:cs="Times New Roman"/>
                <w:bCs/>
                <w:color w:val="000000"/>
                <w:sz w:val="24"/>
                <w:highlight w:val="none"/>
              </w:rPr>
              <w:t>需在发生实际排污行为之前，按照国家环境保护相关法律法规以及排污许可证申请与核发技术规范要求进行排污</w:t>
            </w:r>
            <w:r>
              <w:rPr>
                <w:rFonts w:hint="eastAsia" w:ascii="Times New Roman" w:hAnsi="Times New Roman" w:cs="Times New Roman"/>
                <w:bCs/>
                <w:color w:val="000000"/>
                <w:sz w:val="24"/>
                <w:highlight w:val="none"/>
                <w:lang w:val="en-US" w:eastAsia="zh-CN"/>
              </w:rPr>
              <w:t>许可申请</w:t>
            </w:r>
            <w:r>
              <w:rPr>
                <w:rFonts w:hint="default" w:ascii="Times New Roman" w:hAnsi="Times New Roman" w:cs="Times New Roman"/>
                <w:bCs/>
                <w:color w:val="000000"/>
                <w:sz w:val="24"/>
                <w:highlight w:val="none"/>
              </w:rPr>
              <w:t>，</w:t>
            </w:r>
            <w:r>
              <w:rPr>
                <w:rFonts w:hint="eastAsia" w:ascii="Times New Roman" w:hAnsi="Times New Roman" w:cs="Times New Roman"/>
                <w:bCs/>
                <w:color w:val="000000"/>
                <w:sz w:val="24"/>
                <w:highlight w:val="none"/>
                <w:lang w:val="en-US" w:eastAsia="zh-CN"/>
              </w:rPr>
              <w:t>为简化管理，</w:t>
            </w:r>
            <w:r>
              <w:rPr>
                <w:rFonts w:hint="default" w:ascii="Times New Roman" w:hAnsi="Times New Roman" w:cs="Times New Roman"/>
                <w:bCs/>
                <w:color w:val="000000"/>
                <w:sz w:val="24"/>
                <w:highlight w:val="none"/>
              </w:rPr>
              <w:t>不得无证排污或不按证排污</w:t>
            </w:r>
            <w:r>
              <w:rPr>
                <w:rFonts w:hint="default"/>
                <w:color w:val="auto"/>
                <w:sz w:val="24"/>
                <w:highlight w:val="none"/>
              </w:rPr>
              <w:t>。</w:t>
            </w:r>
          </w:p>
          <w:p w14:paraId="36397A4B">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（2）实行自行监测</w:t>
            </w:r>
          </w:p>
          <w:p w14:paraId="56157167">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依法开展自行监测，安装或使用监测设备应符合国家有关环境监测、计量认证规定和技术规范，保障数据合法有效，保证设备正常运行，妥善保存原始记录，建立准确完整的环境管理台账。</w:t>
            </w:r>
          </w:p>
          <w:p w14:paraId="0FAC5450">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（3）污水排放口、噪声排放源图形标志</w:t>
            </w:r>
          </w:p>
          <w:p w14:paraId="612B3702">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污水排放口、噪声排放源图形符号分为提示图形符号和警告图形符号两种，图形符号的设置按《环境保护图形标志  排放口（源）》（GB15562.1-1995）执行。</w:t>
            </w:r>
          </w:p>
          <w:p w14:paraId="51EA3F89">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（4）固体废物贮存（处置）场图形标志</w:t>
            </w:r>
          </w:p>
          <w:p w14:paraId="2294559F">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固体废物贮存（处置）场图形符号分为提示图像符号和警告图像符号两种，图形符号的设置按《环境保护图形标志  固体废物贮存（处置）场》（GB15562.2-1995）执行。</w:t>
            </w:r>
          </w:p>
          <w:p w14:paraId="2FA568FD">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危险废物标志应按照《危险废物识别标志设置技术规范》（HJ1276-2022）文件相关要求进行设置。</w:t>
            </w:r>
          </w:p>
          <w:p w14:paraId="77B97C89">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以上标志见下表。</w:t>
            </w:r>
          </w:p>
          <w:p w14:paraId="21EB90AD">
            <w:pPr>
              <w:pStyle w:val="47"/>
              <w:keepNext w:val="0"/>
              <w:keepLines w:val="0"/>
              <w:suppressLineNumbers w:val="0"/>
              <w:spacing w:before="0" w:beforeAutospacing="0" w:after="0" w:afterAutospacing="0"/>
              <w:ind w:left="0" w:right="0" w:firstLine="0" w:firstLineChars="0"/>
              <w:jc w:val="center"/>
              <w:rPr>
                <w:rFonts w:hint="default" w:eastAsia="宋体"/>
                <w:b/>
                <w:bCs w:val="0"/>
                <w:color w:val="auto"/>
                <w:sz w:val="24"/>
                <w:highlight w:val="none"/>
              </w:rPr>
            </w:pPr>
            <w:r>
              <w:rPr>
                <w:rFonts w:hint="default" w:eastAsia="宋体"/>
                <w:b/>
                <w:bCs w:val="0"/>
                <w:color w:val="auto"/>
                <w:sz w:val="24"/>
                <w:highlight w:val="none"/>
              </w:rPr>
              <w:t>表4-</w:t>
            </w:r>
            <w:r>
              <w:rPr>
                <w:rFonts w:hint="eastAsia" w:eastAsia="宋体"/>
                <w:b/>
                <w:bCs w:val="0"/>
                <w:color w:val="auto"/>
                <w:sz w:val="24"/>
                <w:highlight w:val="none"/>
                <w:lang w:val="en-US" w:eastAsia="zh-CN"/>
              </w:rPr>
              <w:t>19</w:t>
            </w:r>
            <w:r>
              <w:rPr>
                <w:rFonts w:hint="default" w:eastAsia="宋体"/>
                <w:b/>
                <w:bCs w:val="0"/>
                <w:color w:val="auto"/>
                <w:sz w:val="24"/>
                <w:highlight w:val="none"/>
              </w:rPr>
              <w:t xml:space="preserve">  排污口图形标志</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95"/>
              <w:gridCol w:w="1788"/>
              <w:gridCol w:w="2107"/>
              <w:gridCol w:w="860"/>
              <w:gridCol w:w="1951"/>
              <w:gridCol w:w="1122"/>
            </w:tblGrid>
            <w:tr w14:paraId="46D02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06" w:type="dxa"/>
                  <w:vAlign w:val="center"/>
                </w:tcPr>
                <w:p w14:paraId="651A0EE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序号</w:t>
                  </w:r>
                </w:p>
              </w:tc>
              <w:tc>
                <w:tcPr>
                  <w:tcW w:w="1833" w:type="dxa"/>
                  <w:vAlign w:val="center"/>
                </w:tcPr>
                <w:p w14:paraId="33BA3D0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提示图像符号</w:t>
                  </w:r>
                </w:p>
              </w:tc>
              <w:tc>
                <w:tcPr>
                  <w:tcW w:w="2160" w:type="dxa"/>
                  <w:vAlign w:val="center"/>
                </w:tcPr>
                <w:p w14:paraId="0AC54870">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警告图像符号</w:t>
                  </w:r>
                </w:p>
              </w:tc>
              <w:tc>
                <w:tcPr>
                  <w:tcW w:w="881" w:type="dxa"/>
                  <w:vAlign w:val="center"/>
                </w:tcPr>
                <w:p w14:paraId="4D7897F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名称</w:t>
                  </w:r>
                </w:p>
              </w:tc>
              <w:tc>
                <w:tcPr>
                  <w:tcW w:w="2000" w:type="dxa"/>
                  <w:vAlign w:val="center"/>
                </w:tcPr>
                <w:p w14:paraId="266A260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功能</w:t>
                  </w:r>
                </w:p>
              </w:tc>
              <w:tc>
                <w:tcPr>
                  <w:tcW w:w="1150" w:type="dxa"/>
                  <w:vAlign w:val="center"/>
                </w:tcPr>
                <w:p w14:paraId="514107A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备注</w:t>
                  </w:r>
                </w:p>
              </w:tc>
            </w:tr>
            <w:tr w14:paraId="6DB6D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34" w:hRule="atLeast"/>
                <w:jc w:val="center"/>
              </w:trPr>
              <w:tc>
                <w:tcPr>
                  <w:tcW w:w="506" w:type="dxa"/>
                  <w:shd w:val="clear" w:color="auto" w:fill="auto"/>
                  <w:vAlign w:val="center"/>
                </w:tcPr>
                <w:p w14:paraId="540F3A7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1</w:t>
                  </w:r>
                </w:p>
              </w:tc>
              <w:tc>
                <w:tcPr>
                  <w:tcW w:w="1833" w:type="dxa"/>
                  <w:vAlign w:val="center"/>
                </w:tcPr>
                <w:p w14:paraId="6BBCF769">
                  <w:pPr>
                    <w:pStyle w:val="3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eastAsia="宋体"/>
                      <w:color w:val="auto"/>
                      <w:sz w:val="21"/>
                      <w:szCs w:val="21"/>
                      <w:highlight w:val="none"/>
                      <w:lang w:eastAsia="zh-CN"/>
                    </w:rPr>
                  </w:pPr>
                  <w:r>
                    <w:rPr>
                      <w:rFonts w:hint="eastAsia" w:ascii="Times New Roman" w:eastAsia="宋体"/>
                      <w:color w:val="auto"/>
                      <w:sz w:val="21"/>
                      <w:szCs w:val="21"/>
                      <w:highlight w:val="none"/>
                      <w:lang w:eastAsia="zh-CN"/>
                    </w:rPr>
                    <w:drawing>
                      <wp:inline distT="0" distB="0" distL="114300" distR="114300">
                        <wp:extent cx="704850" cy="672465"/>
                        <wp:effectExtent l="0" t="0" r="0" b="13335"/>
                        <wp:docPr id="5" name="图片 5" descr="1753781118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753781118056"/>
                                <pic:cNvPicPr>
                                  <a:picLocks noChangeAspect="1"/>
                                </pic:cNvPicPr>
                              </pic:nvPicPr>
                              <pic:blipFill>
                                <a:blip r:embed="rId125"/>
                                <a:stretch>
                                  <a:fillRect/>
                                </a:stretch>
                              </pic:blipFill>
                              <pic:spPr>
                                <a:xfrm>
                                  <a:off x="0" y="0"/>
                                  <a:ext cx="704850" cy="672465"/>
                                </a:xfrm>
                                <a:prstGeom prst="rect">
                                  <a:avLst/>
                                </a:prstGeom>
                              </pic:spPr>
                            </pic:pic>
                          </a:graphicData>
                        </a:graphic>
                      </wp:inline>
                    </w:drawing>
                  </w:r>
                </w:p>
              </w:tc>
              <w:tc>
                <w:tcPr>
                  <w:tcW w:w="2160" w:type="dxa"/>
                  <w:vAlign w:val="center"/>
                </w:tcPr>
                <w:p w14:paraId="2AD5CCBB">
                  <w:pPr>
                    <w:pStyle w:val="31"/>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w:t>
                  </w:r>
                </w:p>
              </w:tc>
              <w:tc>
                <w:tcPr>
                  <w:tcW w:w="881" w:type="dxa"/>
                  <w:vAlign w:val="center"/>
                </w:tcPr>
                <w:p w14:paraId="13BD5D5F">
                  <w:pPr>
                    <w:pStyle w:val="31"/>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color w:val="auto"/>
                      <w:sz w:val="21"/>
                      <w:szCs w:val="21"/>
                      <w:highlight w:val="none"/>
                    </w:rPr>
                  </w:pPr>
                  <w:r>
                    <w:rPr>
                      <w:rFonts w:hint="eastAsia" w:ascii="Times New Roman" w:cs="Times New Roman"/>
                      <w:color w:val="auto"/>
                      <w:kern w:val="0"/>
                      <w:sz w:val="21"/>
                      <w:szCs w:val="20"/>
                      <w:highlight w:val="none"/>
                      <w:lang w:val="en-US" w:eastAsia="zh-CN" w:bidi="ar"/>
                    </w:rPr>
                    <w:t>雨水</w:t>
                  </w:r>
                  <w:r>
                    <w:rPr>
                      <w:rFonts w:hint="eastAsia" w:ascii="Times New Roman" w:hAnsi="宋体" w:eastAsia="宋体" w:cs="Times New Roman"/>
                      <w:color w:val="auto"/>
                      <w:kern w:val="0"/>
                      <w:sz w:val="21"/>
                      <w:szCs w:val="20"/>
                      <w:highlight w:val="none"/>
                      <w:lang w:val="en-US" w:eastAsia="zh-CN" w:bidi="ar"/>
                    </w:rPr>
                    <w:t>排放口</w:t>
                  </w:r>
                </w:p>
              </w:tc>
              <w:tc>
                <w:tcPr>
                  <w:tcW w:w="2000" w:type="dxa"/>
                  <w:vAlign w:val="center"/>
                </w:tcPr>
                <w:p w14:paraId="5862C456">
                  <w:pPr>
                    <w:pStyle w:val="31"/>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color w:val="auto"/>
                      <w:sz w:val="21"/>
                      <w:szCs w:val="21"/>
                      <w:highlight w:val="none"/>
                    </w:rPr>
                  </w:pPr>
                  <w:r>
                    <w:rPr>
                      <w:rFonts w:hint="eastAsia" w:ascii="Times New Roman" w:hAnsi="宋体" w:eastAsia="宋体" w:cs="Times New Roman"/>
                      <w:color w:val="auto"/>
                      <w:kern w:val="0"/>
                      <w:sz w:val="21"/>
                      <w:szCs w:val="20"/>
                      <w:highlight w:val="none"/>
                      <w:lang w:val="en-US" w:eastAsia="zh-CN" w:bidi="ar"/>
                    </w:rPr>
                    <w:t>表示</w:t>
                  </w:r>
                  <w:r>
                    <w:rPr>
                      <w:rFonts w:hint="eastAsia" w:ascii="Times New Roman" w:cs="Times New Roman"/>
                      <w:color w:val="auto"/>
                      <w:kern w:val="0"/>
                      <w:sz w:val="21"/>
                      <w:szCs w:val="20"/>
                      <w:highlight w:val="none"/>
                      <w:lang w:val="en-US" w:eastAsia="zh-CN" w:bidi="ar"/>
                    </w:rPr>
                    <w:t>雨水</w:t>
                  </w:r>
                  <w:r>
                    <w:rPr>
                      <w:rFonts w:hint="eastAsia" w:ascii="Times New Roman" w:hAnsi="宋体" w:eastAsia="宋体" w:cs="Times New Roman"/>
                      <w:color w:val="auto"/>
                      <w:kern w:val="0"/>
                      <w:sz w:val="21"/>
                      <w:szCs w:val="20"/>
                      <w:highlight w:val="none"/>
                      <w:lang w:val="en-US" w:eastAsia="zh-CN" w:bidi="ar"/>
                    </w:rPr>
                    <w:t>排放</w:t>
                  </w:r>
                  <w:r>
                    <w:rPr>
                      <w:rFonts w:hint="default" w:ascii="Times New Roman"/>
                      <w:color w:val="auto"/>
                      <w:sz w:val="21"/>
                      <w:szCs w:val="21"/>
                      <w:highlight w:val="none"/>
                    </w:rPr>
                    <w:t>向外环境排放</w:t>
                  </w:r>
                </w:p>
              </w:tc>
              <w:tc>
                <w:tcPr>
                  <w:tcW w:w="1150" w:type="dxa"/>
                  <w:vAlign w:val="center"/>
                </w:tcPr>
                <w:p w14:paraId="6F18342E">
                  <w:pPr>
                    <w:pStyle w:val="31"/>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color w:val="auto"/>
                      <w:sz w:val="21"/>
                      <w:szCs w:val="21"/>
                      <w:highlight w:val="none"/>
                    </w:rPr>
                  </w:pPr>
                  <w:r>
                    <w:rPr>
                      <w:rFonts w:hint="eastAsia" w:ascii="Times New Roman" w:cs="Times New Roman"/>
                      <w:color w:val="auto"/>
                      <w:kern w:val="0"/>
                      <w:sz w:val="21"/>
                      <w:szCs w:val="20"/>
                      <w:highlight w:val="none"/>
                      <w:lang w:val="en-US" w:eastAsia="zh-CN" w:bidi="ar"/>
                    </w:rPr>
                    <w:t>雨水</w:t>
                  </w:r>
                </w:p>
              </w:tc>
            </w:tr>
            <w:tr w14:paraId="3030D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59" w:hRule="atLeast"/>
                <w:jc w:val="center"/>
              </w:trPr>
              <w:tc>
                <w:tcPr>
                  <w:tcW w:w="506" w:type="dxa"/>
                  <w:shd w:val="clear" w:color="auto" w:fill="auto"/>
                  <w:vAlign w:val="center"/>
                </w:tcPr>
                <w:p w14:paraId="3BB619D7">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2</w:t>
                  </w:r>
                </w:p>
              </w:tc>
              <w:tc>
                <w:tcPr>
                  <w:tcW w:w="1833" w:type="dxa"/>
                  <w:vAlign w:val="center"/>
                </w:tcPr>
                <w:p w14:paraId="540A2E2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drawing>
                      <wp:inline distT="0" distB="0" distL="114300" distR="114300">
                        <wp:extent cx="756285" cy="728980"/>
                        <wp:effectExtent l="0" t="0" r="5715" b="13970"/>
                        <wp:docPr id="3" name="图片 5" descr="U0{UD9N%{Y(14MBW0YHN~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descr="U0{UD9N%{Y(14MBW0YHN~_A"/>
                                <pic:cNvPicPr>
                                  <a:picLocks noChangeAspect="1"/>
                                </pic:cNvPicPr>
                              </pic:nvPicPr>
                              <pic:blipFill>
                                <a:blip r:embed="rId126"/>
                                <a:srcRect r="51134" b="-7512"/>
                                <a:stretch>
                                  <a:fillRect/>
                                </a:stretch>
                              </pic:blipFill>
                              <pic:spPr>
                                <a:xfrm>
                                  <a:off x="0" y="0"/>
                                  <a:ext cx="756285" cy="728980"/>
                                </a:xfrm>
                                <a:prstGeom prst="rect">
                                  <a:avLst/>
                                </a:prstGeom>
                                <a:noFill/>
                                <a:ln>
                                  <a:noFill/>
                                </a:ln>
                              </pic:spPr>
                            </pic:pic>
                          </a:graphicData>
                        </a:graphic>
                      </wp:inline>
                    </w:drawing>
                  </w:r>
                </w:p>
              </w:tc>
              <w:tc>
                <w:tcPr>
                  <w:tcW w:w="2160" w:type="dxa"/>
                  <w:vAlign w:val="center"/>
                </w:tcPr>
                <w:p w14:paraId="2598D72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drawing>
                      <wp:inline distT="0" distB="0" distL="114300" distR="114300">
                        <wp:extent cx="716280" cy="668020"/>
                        <wp:effectExtent l="0" t="0" r="7620" b="17780"/>
                        <wp:docPr id="13" name="图片 6" descr="U0{UD9N%{Y(14MBW0YHN~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descr="U0{UD9N%{Y(14MBW0YHN~_A"/>
                                <pic:cNvPicPr>
                                  <a:picLocks noChangeAspect="1"/>
                                </pic:cNvPicPr>
                              </pic:nvPicPr>
                              <pic:blipFill>
                                <a:blip r:embed="rId126"/>
                                <a:srcRect l="51781" t="5074"/>
                                <a:stretch>
                                  <a:fillRect/>
                                </a:stretch>
                              </pic:blipFill>
                              <pic:spPr>
                                <a:xfrm>
                                  <a:off x="0" y="0"/>
                                  <a:ext cx="716280" cy="668020"/>
                                </a:xfrm>
                                <a:prstGeom prst="rect">
                                  <a:avLst/>
                                </a:prstGeom>
                                <a:noFill/>
                                <a:ln>
                                  <a:noFill/>
                                </a:ln>
                              </pic:spPr>
                            </pic:pic>
                          </a:graphicData>
                        </a:graphic>
                      </wp:inline>
                    </w:drawing>
                  </w:r>
                </w:p>
              </w:tc>
              <w:tc>
                <w:tcPr>
                  <w:tcW w:w="881" w:type="dxa"/>
                  <w:vAlign w:val="center"/>
                </w:tcPr>
                <w:p w14:paraId="73838062">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污水排放口</w:t>
                  </w:r>
                </w:p>
              </w:tc>
              <w:tc>
                <w:tcPr>
                  <w:tcW w:w="2000" w:type="dxa"/>
                  <w:vAlign w:val="center"/>
                </w:tcPr>
                <w:p w14:paraId="16E121C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表示污水向水体排放</w:t>
                  </w:r>
                </w:p>
              </w:tc>
              <w:tc>
                <w:tcPr>
                  <w:tcW w:w="1150" w:type="dxa"/>
                  <w:vAlign w:val="center"/>
                </w:tcPr>
                <w:p w14:paraId="55DA3BB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lang w:eastAsia="zh-CN"/>
                    </w:rPr>
                    <w:t>生产废水、</w:t>
                  </w:r>
                  <w:r>
                    <w:rPr>
                      <w:rFonts w:hint="default" w:ascii="Times New Roman"/>
                      <w:color w:val="auto"/>
                      <w:sz w:val="21"/>
                      <w:szCs w:val="21"/>
                      <w:highlight w:val="none"/>
                    </w:rPr>
                    <w:t>生活污水</w:t>
                  </w:r>
                </w:p>
              </w:tc>
            </w:tr>
            <w:tr w14:paraId="23437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21" w:hRule="atLeast"/>
                <w:jc w:val="center"/>
              </w:trPr>
              <w:tc>
                <w:tcPr>
                  <w:tcW w:w="506" w:type="dxa"/>
                  <w:shd w:val="clear" w:color="auto" w:fill="auto"/>
                  <w:vAlign w:val="center"/>
                </w:tcPr>
                <w:p w14:paraId="5BF784B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3</w:t>
                  </w:r>
                </w:p>
              </w:tc>
              <w:tc>
                <w:tcPr>
                  <w:tcW w:w="1833" w:type="dxa"/>
                  <w:vAlign w:val="center"/>
                </w:tcPr>
                <w:p w14:paraId="41AAE5E0">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fldChar w:fldCharType="begin"/>
                  </w:r>
                  <w:r>
                    <w:rPr>
                      <w:rFonts w:hint="default" w:ascii="Times New Roman"/>
                      <w:color w:val="auto"/>
                      <w:sz w:val="21"/>
                      <w:szCs w:val="21"/>
                      <w:highlight w:val="none"/>
                    </w:rPr>
                    <w:instrText xml:space="preserve"> INCLUDEPICTURE "http://www.biaozhi.net/enews/UploadFiles/smallImg/785.gif" \* MERGEFORMATINET </w:instrText>
                  </w:r>
                  <w:r>
                    <w:rPr>
                      <w:rFonts w:hint="default" w:ascii="Times New Roman"/>
                      <w:color w:val="auto"/>
                      <w:sz w:val="21"/>
                      <w:szCs w:val="21"/>
                      <w:highlight w:val="none"/>
                    </w:rPr>
                    <w:fldChar w:fldCharType="separate"/>
                  </w:r>
                  <w:r>
                    <w:rPr>
                      <w:rFonts w:hint="default" w:ascii="Times New Roman"/>
                      <w:color w:val="auto"/>
                      <w:sz w:val="21"/>
                      <w:szCs w:val="21"/>
                      <w:highlight w:val="none"/>
                    </w:rPr>
                    <w:drawing>
                      <wp:inline distT="0" distB="0" distL="114300" distR="114300">
                        <wp:extent cx="708660" cy="648970"/>
                        <wp:effectExtent l="0" t="0" r="15240" b="17780"/>
                        <wp:docPr id="14" name="图片 7"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descr="点击看大图及详细资料"/>
                                <pic:cNvPicPr>
                                  <a:picLocks noChangeAspect="1"/>
                                </pic:cNvPicPr>
                              </pic:nvPicPr>
                              <pic:blipFill>
                                <a:blip r:embed="rId127"/>
                                <a:stretch>
                                  <a:fillRect/>
                                </a:stretch>
                              </pic:blipFill>
                              <pic:spPr>
                                <a:xfrm>
                                  <a:off x="0" y="0"/>
                                  <a:ext cx="708660" cy="648970"/>
                                </a:xfrm>
                                <a:prstGeom prst="rect">
                                  <a:avLst/>
                                </a:prstGeom>
                                <a:noFill/>
                                <a:ln>
                                  <a:noFill/>
                                </a:ln>
                              </pic:spPr>
                            </pic:pic>
                          </a:graphicData>
                        </a:graphic>
                      </wp:inline>
                    </w:drawing>
                  </w:r>
                  <w:r>
                    <w:rPr>
                      <w:rFonts w:hint="default" w:ascii="Times New Roman"/>
                      <w:color w:val="auto"/>
                      <w:sz w:val="21"/>
                      <w:szCs w:val="21"/>
                      <w:highlight w:val="none"/>
                    </w:rPr>
                    <w:fldChar w:fldCharType="end"/>
                  </w:r>
                </w:p>
              </w:tc>
              <w:tc>
                <w:tcPr>
                  <w:tcW w:w="2160" w:type="dxa"/>
                  <w:vAlign w:val="center"/>
                </w:tcPr>
                <w:p w14:paraId="54419F36">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drawing>
                      <wp:inline distT="0" distB="0" distL="114300" distR="114300">
                        <wp:extent cx="940435" cy="825500"/>
                        <wp:effectExtent l="0" t="0" r="12065" b="12700"/>
                        <wp:docPr id="1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8"/>
                                <pic:cNvPicPr>
                                  <a:picLocks noChangeAspect="1"/>
                                </pic:cNvPicPr>
                              </pic:nvPicPr>
                              <pic:blipFill>
                                <a:blip r:embed="rId128"/>
                                <a:stretch>
                                  <a:fillRect/>
                                </a:stretch>
                              </pic:blipFill>
                              <pic:spPr>
                                <a:xfrm>
                                  <a:off x="0" y="0"/>
                                  <a:ext cx="940435" cy="825500"/>
                                </a:xfrm>
                                <a:prstGeom prst="rect">
                                  <a:avLst/>
                                </a:prstGeom>
                                <a:noFill/>
                                <a:ln>
                                  <a:noFill/>
                                </a:ln>
                              </pic:spPr>
                            </pic:pic>
                          </a:graphicData>
                        </a:graphic>
                      </wp:inline>
                    </w:drawing>
                  </w:r>
                </w:p>
              </w:tc>
              <w:tc>
                <w:tcPr>
                  <w:tcW w:w="881" w:type="dxa"/>
                  <w:vAlign w:val="center"/>
                </w:tcPr>
                <w:p w14:paraId="7485B67A">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噪声源</w:t>
                  </w:r>
                </w:p>
              </w:tc>
              <w:tc>
                <w:tcPr>
                  <w:tcW w:w="2000" w:type="dxa"/>
                  <w:vAlign w:val="center"/>
                </w:tcPr>
                <w:p w14:paraId="48B65AA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表示噪声向外环境排放</w:t>
                  </w:r>
                </w:p>
              </w:tc>
              <w:tc>
                <w:tcPr>
                  <w:tcW w:w="1150" w:type="dxa"/>
                  <w:vAlign w:val="center"/>
                </w:tcPr>
                <w:p w14:paraId="16C1C8D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噪声排放</w:t>
                  </w:r>
                </w:p>
              </w:tc>
            </w:tr>
            <w:tr w14:paraId="2592A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90" w:hRule="atLeast"/>
                <w:jc w:val="center"/>
              </w:trPr>
              <w:tc>
                <w:tcPr>
                  <w:tcW w:w="506" w:type="dxa"/>
                  <w:shd w:val="clear" w:color="auto" w:fill="auto"/>
                  <w:vAlign w:val="center"/>
                </w:tcPr>
                <w:p w14:paraId="6F74D61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4</w:t>
                  </w:r>
                </w:p>
              </w:tc>
              <w:tc>
                <w:tcPr>
                  <w:tcW w:w="1833" w:type="dxa"/>
                  <w:vAlign w:val="center"/>
                </w:tcPr>
                <w:p w14:paraId="70454FF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drawing>
                      <wp:inline distT="0" distB="0" distL="114300" distR="114300">
                        <wp:extent cx="747395" cy="711835"/>
                        <wp:effectExtent l="0" t="0" r="14605" b="12065"/>
                        <wp:docPr id="16"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4"/>
                                <pic:cNvPicPr>
                                  <a:picLocks noChangeAspect="1"/>
                                </pic:cNvPicPr>
                              </pic:nvPicPr>
                              <pic:blipFill>
                                <a:blip r:embed="rId129"/>
                                <a:srcRect l="41331" t="-1521"/>
                                <a:stretch>
                                  <a:fillRect/>
                                </a:stretch>
                              </pic:blipFill>
                              <pic:spPr>
                                <a:xfrm>
                                  <a:off x="0" y="0"/>
                                  <a:ext cx="747395" cy="711835"/>
                                </a:xfrm>
                                <a:prstGeom prst="rect">
                                  <a:avLst/>
                                </a:prstGeom>
                                <a:noFill/>
                                <a:ln>
                                  <a:noFill/>
                                </a:ln>
                              </pic:spPr>
                            </pic:pic>
                          </a:graphicData>
                        </a:graphic>
                      </wp:inline>
                    </w:drawing>
                  </w:r>
                </w:p>
              </w:tc>
              <w:tc>
                <w:tcPr>
                  <w:tcW w:w="2160" w:type="dxa"/>
                  <w:vAlign w:val="center"/>
                </w:tcPr>
                <w:p w14:paraId="2E1AD35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drawing>
                      <wp:inline distT="0" distB="0" distL="114300" distR="114300">
                        <wp:extent cx="906145" cy="772160"/>
                        <wp:effectExtent l="0" t="0" r="8255" b="8890"/>
                        <wp:docPr id="10"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5"/>
                                <pic:cNvPicPr>
                                  <a:picLocks noChangeAspect="1"/>
                                </pic:cNvPicPr>
                              </pic:nvPicPr>
                              <pic:blipFill>
                                <a:blip r:embed="rId130"/>
                                <a:stretch>
                                  <a:fillRect/>
                                </a:stretch>
                              </pic:blipFill>
                              <pic:spPr>
                                <a:xfrm>
                                  <a:off x="0" y="0"/>
                                  <a:ext cx="906145" cy="772160"/>
                                </a:xfrm>
                                <a:prstGeom prst="rect">
                                  <a:avLst/>
                                </a:prstGeom>
                                <a:noFill/>
                                <a:ln>
                                  <a:noFill/>
                                </a:ln>
                              </pic:spPr>
                            </pic:pic>
                          </a:graphicData>
                        </a:graphic>
                      </wp:inline>
                    </w:drawing>
                  </w:r>
                </w:p>
              </w:tc>
              <w:tc>
                <w:tcPr>
                  <w:tcW w:w="881" w:type="dxa"/>
                  <w:vAlign w:val="center"/>
                </w:tcPr>
                <w:p w14:paraId="562B55A6">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一般工业固体废物</w:t>
                  </w:r>
                </w:p>
              </w:tc>
              <w:tc>
                <w:tcPr>
                  <w:tcW w:w="2000" w:type="dxa"/>
                  <w:vAlign w:val="center"/>
                </w:tcPr>
                <w:p w14:paraId="5781AA5A">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一般工业固体废物储存区</w:t>
                  </w:r>
                </w:p>
              </w:tc>
              <w:tc>
                <w:tcPr>
                  <w:tcW w:w="1150" w:type="dxa"/>
                  <w:vAlign w:val="center"/>
                </w:tcPr>
                <w:p w14:paraId="247131D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固体废物</w:t>
                  </w:r>
                </w:p>
              </w:tc>
            </w:tr>
            <w:tr w14:paraId="0F273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06" w:type="dxa"/>
                  <w:vAlign w:val="center"/>
                </w:tcPr>
                <w:p w14:paraId="05ECC47D">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5</w:t>
                  </w:r>
                </w:p>
              </w:tc>
              <w:tc>
                <w:tcPr>
                  <w:tcW w:w="1833" w:type="dxa"/>
                  <w:vAlign w:val="center"/>
                </w:tcPr>
                <w:p w14:paraId="673AA2C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w:t>
                  </w:r>
                </w:p>
              </w:tc>
              <w:tc>
                <w:tcPr>
                  <w:tcW w:w="2160" w:type="dxa"/>
                  <w:vAlign w:val="center"/>
                </w:tcPr>
                <w:p w14:paraId="4F84D04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drawing>
                      <wp:inline distT="0" distB="0" distL="114300" distR="114300">
                        <wp:extent cx="1263015" cy="706120"/>
                        <wp:effectExtent l="0" t="0" r="13335" b="17780"/>
                        <wp:docPr id="36" name="图片 36" descr="1693796159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693796159637"/>
                                <pic:cNvPicPr>
                                  <a:picLocks noChangeAspect="1"/>
                                </pic:cNvPicPr>
                              </pic:nvPicPr>
                              <pic:blipFill>
                                <a:blip r:embed="rId131"/>
                                <a:stretch>
                                  <a:fillRect/>
                                </a:stretch>
                              </pic:blipFill>
                              <pic:spPr>
                                <a:xfrm>
                                  <a:off x="0" y="0"/>
                                  <a:ext cx="1263015" cy="706120"/>
                                </a:xfrm>
                                <a:prstGeom prst="rect">
                                  <a:avLst/>
                                </a:prstGeom>
                              </pic:spPr>
                            </pic:pic>
                          </a:graphicData>
                        </a:graphic>
                      </wp:inline>
                    </w:drawing>
                  </w:r>
                </w:p>
              </w:tc>
              <w:tc>
                <w:tcPr>
                  <w:tcW w:w="881" w:type="dxa"/>
                  <w:vAlign w:val="center"/>
                </w:tcPr>
                <w:p w14:paraId="35369E37">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危险废物</w:t>
                  </w:r>
                </w:p>
              </w:tc>
              <w:tc>
                <w:tcPr>
                  <w:tcW w:w="2000" w:type="dxa"/>
                  <w:vAlign w:val="center"/>
                </w:tcPr>
                <w:p w14:paraId="0B6071D6">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危废暂存间</w:t>
                  </w:r>
                </w:p>
              </w:tc>
              <w:tc>
                <w:tcPr>
                  <w:tcW w:w="1150" w:type="dxa"/>
                  <w:vAlign w:val="center"/>
                </w:tcPr>
                <w:p w14:paraId="0DFBC7A8">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default" w:ascii="Times New Roman"/>
                      <w:color w:val="auto"/>
                      <w:sz w:val="21"/>
                      <w:szCs w:val="21"/>
                      <w:highlight w:val="none"/>
                    </w:rPr>
                    <w:t>--</w:t>
                  </w:r>
                </w:p>
              </w:tc>
            </w:tr>
          </w:tbl>
          <w:p w14:paraId="6DBFA042">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w:t>
            </w:r>
            <w:r>
              <w:rPr>
                <w:rFonts w:hint="eastAsia"/>
                <w:color w:val="auto"/>
                <w:sz w:val="24"/>
                <w:highlight w:val="none"/>
              </w:rPr>
              <w:t>5</w:t>
            </w:r>
            <w:r>
              <w:rPr>
                <w:rFonts w:hint="default"/>
                <w:color w:val="auto"/>
                <w:sz w:val="24"/>
                <w:highlight w:val="none"/>
              </w:rPr>
              <w:t>）排污口立标</w:t>
            </w:r>
          </w:p>
          <w:p w14:paraId="6B73EA1A">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A、污染物排放口的环保图形标志牌应设置在靠近采样点，并设在醒目处。</w:t>
            </w:r>
          </w:p>
          <w:p w14:paraId="58E8D776">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B、重点排污单位的污染物排放口以设置立式标志牌为主，一般排污单位的污染物排放口，可根据情况设置立式或平面固定式标志牌。</w:t>
            </w:r>
          </w:p>
          <w:p w14:paraId="779EB8FC">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w:t>
            </w:r>
            <w:r>
              <w:rPr>
                <w:rFonts w:hint="eastAsia"/>
                <w:color w:val="auto"/>
                <w:sz w:val="24"/>
                <w:highlight w:val="none"/>
              </w:rPr>
              <w:t>7</w:t>
            </w:r>
            <w:r>
              <w:rPr>
                <w:rFonts w:hint="default"/>
                <w:color w:val="auto"/>
                <w:sz w:val="24"/>
                <w:highlight w:val="none"/>
              </w:rPr>
              <w:t>）排污口管理</w:t>
            </w:r>
          </w:p>
          <w:p w14:paraId="1F2B83B3">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fldChar w:fldCharType="begin"/>
            </w:r>
            <w:r>
              <w:rPr>
                <w:rFonts w:hint="default"/>
                <w:color w:val="auto"/>
                <w:sz w:val="24"/>
                <w:highlight w:val="none"/>
              </w:rPr>
              <w:instrText xml:space="preserve"> = 1 \* GB3 </w:instrText>
            </w:r>
            <w:r>
              <w:rPr>
                <w:rFonts w:hint="default"/>
                <w:color w:val="auto"/>
                <w:sz w:val="24"/>
                <w:highlight w:val="none"/>
              </w:rPr>
              <w:fldChar w:fldCharType="separate"/>
            </w:r>
            <w:r>
              <w:rPr>
                <w:rFonts w:hint="default"/>
                <w:color w:val="auto"/>
                <w:sz w:val="24"/>
                <w:highlight w:val="none"/>
              </w:rPr>
              <w:t>①</w:t>
            </w:r>
            <w:r>
              <w:rPr>
                <w:rFonts w:hint="default"/>
                <w:color w:val="auto"/>
                <w:sz w:val="24"/>
                <w:highlight w:val="none"/>
              </w:rPr>
              <w:fldChar w:fldCharType="end"/>
            </w:r>
            <w:r>
              <w:rPr>
                <w:rFonts w:hint="default"/>
                <w:color w:val="auto"/>
                <w:sz w:val="24"/>
                <w:highlight w:val="none"/>
              </w:rPr>
              <w:t>管理原则</w:t>
            </w:r>
          </w:p>
          <w:p w14:paraId="63683015">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排污口是企业污染物进入环境、污染环境的通道，强化排污口的管理是实施污染物总量控制的基础工作之一，也是区域环境管理逐步实现污染物排放科学化、定量化的重要手段。与本项目有关的具体管理原则如下：</w:t>
            </w:r>
          </w:p>
          <w:p w14:paraId="2F098F77">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A、项目污染物的排放口必须规范化。</w:t>
            </w:r>
          </w:p>
          <w:p w14:paraId="1CD1890C">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B、如实向环保管理部门申报排污口数量、位置及所排放的主要污染物种类、数量、浓度、排放去向等情况。</w:t>
            </w:r>
          </w:p>
          <w:p w14:paraId="2D834968">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C、固废堆存时，应设置专用堆放场地，并有防扬散、防流失、对有毒有害固废堆放场地采取防渗漏措施。</w:t>
            </w:r>
          </w:p>
          <w:p w14:paraId="20A3EF87">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fldChar w:fldCharType="begin"/>
            </w:r>
            <w:r>
              <w:rPr>
                <w:rFonts w:hint="default"/>
                <w:color w:val="auto"/>
                <w:sz w:val="24"/>
                <w:highlight w:val="none"/>
              </w:rPr>
              <w:instrText xml:space="preserve"> = 2 \* GB3 </w:instrText>
            </w:r>
            <w:r>
              <w:rPr>
                <w:rFonts w:hint="default"/>
                <w:color w:val="auto"/>
                <w:sz w:val="24"/>
                <w:highlight w:val="none"/>
              </w:rPr>
              <w:fldChar w:fldCharType="separate"/>
            </w:r>
            <w:r>
              <w:rPr>
                <w:rFonts w:hint="default"/>
                <w:color w:val="auto"/>
                <w:sz w:val="24"/>
                <w:highlight w:val="none"/>
              </w:rPr>
              <w:t>②</w:t>
            </w:r>
            <w:r>
              <w:rPr>
                <w:rFonts w:hint="default"/>
                <w:color w:val="auto"/>
                <w:sz w:val="24"/>
                <w:highlight w:val="none"/>
              </w:rPr>
              <w:fldChar w:fldCharType="end"/>
            </w:r>
            <w:r>
              <w:rPr>
                <w:rFonts w:hint="default"/>
                <w:color w:val="auto"/>
                <w:sz w:val="24"/>
                <w:highlight w:val="none"/>
              </w:rPr>
              <w:t>排放源建档</w:t>
            </w:r>
          </w:p>
          <w:p w14:paraId="4C28D23A">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A、应使用国家统一印刷的《中华人民共和国规范化排污口标志登记证》，并按要求填写有关内容。</w:t>
            </w:r>
          </w:p>
          <w:p w14:paraId="5515E026">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B、根据排污口管理内容要求，项目建成投产后，应将主要污染物种类、数量、浓度、排放去向、达标情况及设施运行情况记录于档案。</w:t>
            </w:r>
          </w:p>
          <w:p w14:paraId="4344ECEB">
            <w:pPr>
              <w:keepNext w:val="0"/>
              <w:keepLines w:val="0"/>
              <w:suppressLineNumbers w:val="0"/>
              <w:adjustRightInd w:val="0"/>
              <w:snapToGrid w:val="0"/>
              <w:spacing w:before="0" w:beforeAutospacing="0" w:after="0" w:afterAutospacing="0" w:line="360" w:lineRule="auto"/>
              <w:ind w:left="0" w:right="0"/>
              <w:jc w:val="left"/>
              <w:rPr>
                <w:rFonts w:hint="default"/>
                <w:b/>
                <w:bCs/>
                <w:color w:val="auto"/>
                <w:sz w:val="28"/>
                <w:szCs w:val="28"/>
                <w:highlight w:val="none"/>
              </w:rPr>
            </w:pPr>
            <w:r>
              <w:rPr>
                <w:rFonts w:hint="eastAsia"/>
                <w:b/>
                <w:bCs/>
                <w:color w:val="auto"/>
                <w:sz w:val="28"/>
                <w:szCs w:val="28"/>
                <w:highlight w:val="none"/>
              </w:rPr>
              <w:t>8、</w:t>
            </w:r>
            <w:r>
              <w:rPr>
                <w:rFonts w:hint="default"/>
                <w:b/>
                <w:bCs/>
                <w:color w:val="auto"/>
                <w:sz w:val="28"/>
                <w:szCs w:val="28"/>
                <w:highlight w:val="none"/>
              </w:rPr>
              <w:t>清洁生产</w:t>
            </w:r>
          </w:p>
          <w:p w14:paraId="4641C86A">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本行业无国家及地方出具的</w:t>
            </w:r>
            <w:r>
              <w:rPr>
                <w:rFonts w:hint="default"/>
                <w:color w:val="auto"/>
                <w:sz w:val="24"/>
                <w:highlight w:val="none"/>
              </w:rPr>
              <w:fldChar w:fldCharType="begin"/>
            </w:r>
            <w:r>
              <w:rPr>
                <w:rFonts w:hint="default"/>
                <w:color w:val="auto"/>
                <w:sz w:val="24"/>
                <w:highlight w:val="none"/>
              </w:rPr>
              <w:instrText xml:space="preserve"> HYPERLINK "https://www.eiacloud.com/hpyzs/lawsRegulations/searchDetail?id=136705e409bd4e21ac60f7a9f688a564&amp;modelName=%E9%A6%96%E9%A1%B5" \t "https://www.eiacloud.com/hpyzs/lawsRegulations/_blank" </w:instrText>
            </w:r>
            <w:r>
              <w:rPr>
                <w:rFonts w:hint="default"/>
                <w:color w:val="auto"/>
                <w:sz w:val="24"/>
                <w:highlight w:val="none"/>
              </w:rPr>
              <w:fldChar w:fldCharType="separate"/>
            </w:r>
            <w:r>
              <w:rPr>
                <w:rFonts w:hint="default"/>
                <w:color w:val="auto"/>
                <w:sz w:val="24"/>
                <w:highlight w:val="none"/>
              </w:rPr>
              <w:t>行业清洁生产评价指标体系</w:t>
            </w:r>
            <w:r>
              <w:rPr>
                <w:rFonts w:hint="default"/>
                <w:color w:val="auto"/>
                <w:sz w:val="24"/>
                <w:highlight w:val="none"/>
              </w:rPr>
              <w:fldChar w:fldCharType="end"/>
            </w:r>
            <w:r>
              <w:rPr>
                <w:rFonts w:hint="default"/>
                <w:color w:val="auto"/>
                <w:sz w:val="24"/>
                <w:highlight w:val="none"/>
              </w:rPr>
              <w:t>，本次环评从设备选取、生产工艺、污染物排放等方面进行分析：</w:t>
            </w:r>
          </w:p>
          <w:p w14:paraId="64B26A90">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（1）本项目生产加工工艺为同类项目生产厂家普遍采用，技术成熟、可靠；设备均选用国内先进水平装备。</w:t>
            </w:r>
          </w:p>
          <w:p w14:paraId="2BAF1145">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（2）原材料的选取及产品在使用过程符合清洁生产对原材料和产品指标的要求，能源使用电能，为清洁能源。</w:t>
            </w:r>
          </w:p>
          <w:p w14:paraId="763660AD">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（3）本项目选用噪音低、振动小的设备。</w:t>
            </w:r>
          </w:p>
          <w:p w14:paraId="1F27BA2C">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（4）产生的</w:t>
            </w:r>
            <w:r>
              <w:rPr>
                <w:rFonts w:hint="eastAsia"/>
                <w:color w:val="auto"/>
                <w:sz w:val="24"/>
                <w:highlight w:val="none"/>
                <w:lang w:eastAsia="zh-CN"/>
              </w:rPr>
              <w:t>固废</w:t>
            </w:r>
            <w:r>
              <w:rPr>
                <w:rFonts w:hint="default"/>
                <w:color w:val="auto"/>
                <w:sz w:val="24"/>
                <w:highlight w:val="none"/>
              </w:rPr>
              <w:t>、生活垃圾均得到有效处</w:t>
            </w:r>
            <w:r>
              <w:rPr>
                <w:rFonts w:hint="eastAsia"/>
                <w:color w:val="auto"/>
                <w:sz w:val="24"/>
                <w:highlight w:val="none"/>
                <w:lang w:eastAsia="zh-CN"/>
              </w:rPr>
              <w:t>理</w:t>
            </w:r>
            <w:r>
              <w:rPr>
                <w:rFonts w:hint="default"/>
                <w:color w:val="auto"/>
                <w:sz w:val="24"/>
                <w:highlight w:val="none"/>
              </w:rPr>
              <w:t>，实现了物料的资源化、无害化。</w:t>
            </w:r>
          </w:p>
          <w:p w14:paraId="521DDE0F">
            <w:pPr>
              <w:keepNext w:val="0"/>
              <w:keepLines w:val="0"/>
              <w:suppressLineNumbers w:val="0"/>
              <w:spacing w:before="0" w:beforeAutospacing="0" w:after="0" w:afterAutospacing="0" w:line="360" w:lineRule="auto"/>
              <w:ind w:left="0" w:right="0" w:firstLine="480" w:firstLineChars="200"/>
              <w:jc w:val="left"/>
              <w:rPr>
                <w:rFonts w:hint="default"/>
                <w:b/>
                <w:bCs/>
                <w:snapToGrid w:val="0"/>
                <w:color w:val="auto"/>
                <w:sz w:val="24"/>
                <w:highlight w:val="none"/>
              </w:rPr>
            </w:pPr>
            <w:r>
              <w:rPr>
                <w:rFonts w:hint="default"/>
                <w:color w:val="auto"/>
                <w:sz w:val="24"/>
                <w:highlight w:val="none"/>
              </w:rPr>
              <w:t>综上，本项目清洁生产水平处于国内先进水平。</w:t>
            </w:r>
          </w:p>
          <w:p w14:paraId="5EDCC881">
            <w:pPr>
              <w:keepNext w:val="0"/>
              <w:keepLines w:val="0"/>
              <w:suppressLineNumbers w:val="0"/>
              <w:adjustRightInd w:val="0"/>
              <w:snapToGrid w:val="0"/>
              <w:spacing w:before="0" w:beforeAutospacing="0" w:after="0" w:afterAutospacing="0" w:line="360" w:lineRule="auto"/>
              <w:ind w:left="0" w:right="0"/>
              <w:jc w:val="left"/>
              <w:rPr>
                <w:rFonts w:hint="default"/>
                <w:b/>
                <w:bCs/>
                <w:color w:val="auto"/>
                <w:sz w:val="28"/>
                <w:szCs w:val="28"/>
                <w:highlight w:val="none"/>
              </w:rPr>
            </w:pPr>
            <w:r>
              <w:rPr>
                <w:rFonts w:hint="eastAsia"/>
                <w:b/>
                <w:bCs/>
                <w:color w:val="auto"/>
                <w:sz w:val="28"/>
                <w:szCs w:val="28"/>
                <w:highlight w:val="none"/>
              </w:rPr>
              <w:t>9、</w:t>
            </w:r>
            <w:r>
              <w:rPr>
                <w:rFonts w:hint="default"/>
                <w:b/>
                <w:bCs/>
                <w:color w:val="auto"/>
                <w:sz w:val="28"/>
                <w:szCs w:val="28"/>
                <w:highlight w:val="none"/>
              </w:rPr>
              <w:t>碳排放影响分析</w:t>
            </w:r>
          </w:p>
          <w:p w14:paraId="5704DBA6">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snapToGrid w:val="0"/>
                <w:color w:val="auto"/>
                <w:sz w:val="24"/>
                <w:highlight w:val="none"/>
              </w:rPr>
            </w:pPr>
            <w:bookmarkStart w:id="9" w:name="_Toc465954898"/>
            <w:r>
              <w:rPr>
                <w:rFonts w:hint="default"/>
                <w:snapToGrid w:val="0"/>
                <w:color w:val="auto"/>
                <w:sz w:val="24"/>
                <w:highlight w:val="none"/>
              </w:rPr>
              <w:t>根据《秦皇岛市深入打好污染防治攻坚战实施方案》（秦皇岛市委、市政府2022年7月9日发布）</w:t>
            </w:r>
            <w:bookmarkEnd w:id="9"/>
            <w:r>
              <w:rPr>
                <w:rFonts w:hint="default"/>
                <w:snapToGrid w:val="0"/>
                <w:color w:val="auto"/>
                <w:sz w:val="24"/>
                <w:highlight w:val="none"/>
              </w:rPr>
              <w:t>相关要求，开展碳排放影响评价。</w:t>
            </w:r>
          </w:p>
          <w:p w14:paraId="706B4086">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snapToGrid w:val="0"/>
                <w:color w:val="auto"/>
                <w:sz w:val="24"/>
                <w:highlight w:val="none"/>
              </w:rPr>
            </w:pPr>
            <w:r>
              <w:rPr>
                <w:rFonts w:hint="default"/>
                <w:snapToGrid w:val="0"/>
                <w:color w:val="auto"/>
                <w:sz w:val="24"/>
                <w:highlight w:val="none"/>
              </w:rPr>
              <w:t>根据项目特点，碳排放核算范围包括购入电力产生的二氧化碳排放。</w:t>
            </w:r>
          </w:p>
          <w:p w14:paraId="5D9750FC">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color w:val="auto"/>
                <w:sz w:val="24"/>
                <w:highlight w:val="none"/>
              </w:rPr>
            </w:pPr>
            <w:r>
              <w:rPr>
                <w:rFonts w:hint="default"/>
                <w:bCs/>
                <w:color w:val="auto"/>
                <w:kern w:val="0"/>
                <w:sz w:val="24"/>
                <w:highlight w:val="none"/>
              </w:rPr>
              <w:t>（1）</w:t>
            </w:r>
            <w:r>
              <w:rPr>
                <w:rFonts w:hint="default"/>
                <w:color w:val="auto"/>
                <w:sz w:val="24"/>
                <w:highlight w:val="none"/>
              </w:rPr>
              <w:t>购入电力</w:t>
            </w:r>
          </w:p>
          <w:p w14:paraId="110ABA94">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bCs/>
                <w:color w:val="auto"/>
                <w:kern w:val="0"/>
                <w:sz w:val="24"/>
                <w:highlight w:val="none"/>
              </w:rPr>
            </w:pPr>
            <w:r>
              <w:rPr>
                <w:rFonts w:hint="default"/>
                <w:bCs/>
                <w:color w:val="auto"/>
                <w:kern w:val="0"/>
                <w:sz w:val="24"/>
                <w:highlight w:val="none"/>
              </w:rPr>
              <w:t>对于购入电力产生的二氧化碳排放，采用下式计算。</w:t>
            </w:r>
          </w:p>
          <w:p w14:paraId="63A469E0">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bCs/>
                <w:color w:val="auto"/>
                <w:kern w:val="0"/>
                <w:sz w:val="24"/>
                <w:highlight w:val="none"/>
              </w:rPr>
            </w:pPr>
            <w:r>
              <w:rPr>
                <w:rFonts w:hint="default"/>
                <w:bCs/>
                <w:color w:val="auto"/>
                <w:kern w:val="0"/>
                <w:sz w:val="24"/>
                <w:highlight w:val="none"/>
              </w:rPr>
              <w:t>E</w:t>
            </w:r>
            <w:r>
              <w:rPr>
                <w:rFonts w:hint="default"/>
                <w:bCs/>
                <w:color w:val="auto"/>
                <w:kern w:val="0"/>
                <w:sz w:val="24"/>
                <w:highlight w:val="none"/>
                <w:vertAlign w:val="subscript"/>
              </w:rPr>
              <w:t>电和热</w:t>
            </w:r>
            <w:r>
              <w:rPr>
                <w:rFonts w:hint="default"/>
                <w:bCs/>
                <w:color w:val="auto"/>
                <w:kern w:val="0"/>
                <w:sz w:val="24"/>
                <w:highlight w:val="none"/>
              </w:rPr>
              <w:t>=AD</w:t>
            </w:r>
            <w:r>
              <w:rPr>
                <w:rFonts w:hint="default"/>
                <w:bCs/>
                <w:color w:val="auto"/>
                <w:kern w:val="0"/>
                <w:sz w:val="24"/>
                <w:highlight w:val="none"/>
                <w:vertAlign w:val="subscript"/>
              </w:rPr>
              <w:t>电</w:t>
            </w:r>
            <w:r>
              <w:rPr>
                <w:rFonts w:hint="default"/>
                <w:bCs/>
                <w:color w:val="auto"/>
                <w:kern w:val="0"/>
                <w:sz w:val="24"/>
                <w:highlight w:val="none"/>
              </w:rPr>
              <w:t>×EF</w:t>
            </w:r>
            <w:r>
              <w:rPr>
                <w:rFonts w:hint="default"/>
                <w:bCs/>
                <w:color w:val="auto"/>
                <w:kern w:val="0"/>
                <w:sz w:val="24"/>
                <w:highlight w:val="none"/>
                <w:vertAlign w:val="subscript"/>
              </w:rPr>
              <w:t>电</w:t>
            </w:r>
          </w:p>
          <w:p w14:paraId="357E935D">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bCs/>
                <w:color w:val="auto"/>
                <w:kern w:val="0"/>
                <w:sz w:val="24"/>
                <w:highlight w:val="none"/>
              </w:rPr>
            </w:pPr>
            <w:r>
              <w:rPr>
                <w:rFonts w:hint="default"/>
                <w:bCs/>
                <w:color w:val="auto"/>
                <w:kern w:val="0"/>
                <w:sz w:val="24"/>
                <w:highlight w:val="none"/>
              </w:rPr>
              <w:t>式中：E</w:t>
            </w:r>
            <w:r>
              <w:rPr>
                <w:rFonts w:hint="default"/>
                <w:bCs/>
                <w:color w:val="auto"/>
                <w:kern w:val="0"/>
                <w:sz w:val="24"/>
                <w:highlight w:val="none"/>
                <w:vertAlign w:val="subscript"/>
              </w:rPr>
              <w:t>电</w:t>
            </w:r>
            <w:r>
              <w:rPr>
                <w:rFonts w:hint="default"/>
                <w:bCs/>
                <w:color w:val="auto"/>
                <w:kern w:val="0"/>
                <w:sz w:val="24"/>
                <w:highlight w:val="none"/>
              </w:rPr>
              <w:t>—购入使用电力产生的排放量，单位为吨二氧化碳（tCO</w:t>
            </w:r>
            <w:r>
              <w:rPr>
                <w:rFonts w:hint="default"/>
                <w:bCs/>
                <w:color w:val="auto"/>
                <w:kern w:val="0"/>
                <w:sz w:val="24"/>
                <w:highlight w:val="none"/>
                <w:vertAlign w:val="subscript"/>
              </w:rPr>
              <w:t>2</w:t>
            </w:r>
            <w:r>
              <w:rPr>
                <w:rFonts w:hint="default"/>
                <w:bCs/>
                <w:color w:val="auto"/>
                <w:kern w:val="0"/>
                <w:sz w:val="24"/>
                <w:highlight w:val="none"/>
              </w:rPr>
              <w:t>）；</w:t>
            </w:r>
          </w:p>
          <w:p w14:paraId="53E81A38">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bCs/>
                <w:color w:val="auto"/>
                <w:kern w:val="0"/>
                <w:sz w:val="24"/>
                <w:highlight w:val="none"/>
              </w:rPr>
            </w:pPr>
            <w:r>
              <w:rPr>
                <w:rFonts w:hint="default"/>
                <w:bCs/>
                <w:color w:val="auto"/>
                <w:kern w:val="0"/>
                <w:sz w:val="24"/>
                <w:highlight w:val="none"/>
              </w:rPr>
              <w:t>AD</w:t>
            </w:r>
            <w:r>
              <w:rPr>
                <w:rFonts w:hint="default"/>
                <w:bCs/>
                <w:color w:val="auto"/>
                <w:kern w:val="0"/>
                <w:sz w:val="24"/>
                <w:highlight w:val="none"/>
                <w:vertAlign w:val="subscript"/>
              </w:rPr>
              <w:t>电</w:t>
            </w:r>
            <w:r>
              <w:rPr>
                <w:rFonts w:hint="default"/>
                <w:bCs/>
                <w:color w:val="auto"/>
                <w:kern w:val="0"/>
                <w:sz w:val="24"/>
                <w:highlight w:val="none"/>
              </w:rPr>
              <w:t>—购入使用电量，单位为兆瓦时（MWh）；</w:t>
            </w:r>
          </w:p>
          <w:p w14:paraId="0A42C278">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bCs/>
                <w:color w:val="auto"/>
                <w:kern w:val="0"/>
                <w:sz w:val="24"/>
                <w:highlight w:val="none"/>
              </w:rPr>
            </w:pPr>
            <w:r>
              <w:rPr>
                <w:rFonts w:hint="default"/>
                <w:bCs/>
                <w:color w:val="auto"/>
                <w:kern w:val="0"/>
                <w:sz w:val="24"/>
                <w:highlight w:val="none"/>
              </w:rPr>
              <w:t>EF</w:t>
            </w:r>
            <w:r>
              <w:rPr>
                <w:rFonts w:hint="default"/>
                <w:bCs/>
                <w:color w:val="auto"/>
                <w:kern w:val="0"/>
                <w:sz w:val="24"/>
                <w:highlight w:val="none"/>
                <w:vertAlign w:val="subscript"/>
              </w:rPr>
              <w:t>电</w:t>
            </w:r>
            <w:r>
              <w:rPr>
                <w:rFonts w:hint="default"/>
                <w:bCs/>
                <w:color w:val="auto"/>
                <w:kern w:val="0"/>
                <w:sz w:val="24"/>
                <w:highlight w:val="none"/>
              </w:rPr>
              <w:t>—电网排放因子，单位为吨二氧化碳/兆瓦时（tCO</w:t>
            </w:r>
            <w:r>
              <w:rPr>
                <w:rFonts w:hint="default"/>
                <w:bCs/>
                <w:color w:val="auto"/>
                <w:kern w:val="0"/>
                <w:sz w:val="24"/>
                <w:highlight w:val="none"/>
                <w:vertAlign w:val="subscript"/>
              </w:rPr>
              <w:t>2</w:t>
            </w:r>
            <w:r>
              <w:rPr>
                <w:rFonts w:hint="default"/>
                <w:bCs/>
                <w:color w:val="auto"/>
                <w:kern w:val="0"/>
                <w:sz w:val="24"/>
                <w:highlight w:val="none"/>
              </w:rPr>
              <w:t>/MWh）；</w:t>
            </w:r>
          </w:p>
          <w:p w14:paraId="3E2B2D31">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bCs/>
                <w:color w:val="auto"/>
                <w:kern w:val="0"/>
                <w:sz w:val="24"/>
                <w:highlight w:val="none"/>
              </w:rPr>
            </w:pPr>
            <w:r>
              <w:rPr>
                <w:rFonts w:hint="default"/>
                <w:color w:val="auto"/>
                <w:sz w:val="24"/>
                <w:highlight w:val="none"/>
              </w:rPr>
              <w:t>项目购入电力</w:t>
            </w:r>
            <w:r>
              <w:rPr>
                <w:rFonts w:hint="eastAsia"/>
                <w:color w:val="auto"/>
                <w:sz w:val="24"/>
                <w:highlight w:val="none"/>
                <w:lang w:val="en-US" w:eastAsia="zh-CN"/>
              </w:rPr>
              <w:t>40</w:t>
            </w:r>
            <w:r>
              <w:rPr>
                <w:rFonts w:hint="default"/>
                <w:color w:val="auto"/>
                <w:sz w:val="24"/>
                <w:highlight w:val="none"/>
              </w:rPr>
              <w:t>万</w:t>
            </w:r>
            <w:r>
              <w:rPr>
                <w:rFonts w:hint="default"/>
                <w:bCs/>
                <w:color w:val="auto"/>
                <w:kern w:val="0"/>
                <w:sz w:val="24"/>
                <w:highlight w:val="none"/>
              </w:rPr>
              <w:t>kW·h，二氧化碳排放量计算见下表。</w:t>
            </w:r>
          </w:p>
          <w:p w14:paraId="1971821A">
            <w:pPr>
              <w:keepNext w:val="0"/>
              <w:keepLines w:val="0"/>
              <w:suppressLineNumbers w:val="0"/>
              <w:adjustRightInd w:val="0"/>
              <w:snapToGrid w:val="0"/>
              <w:spacing w:before="0" w:beforeAutospacing="0" w:after="0" w:afterAutospacing="0"/>
              <w:ind w:left="0" w:right="0"/>
              <w:jc w:val="center"/>
              <w:rPr>
                <w:rFonts w:hint="default"/>
                <w:b/>
                <w:color w:val="auto"/>
                <w:kern w:val="0"/>
                <w:sz w:val="24"/>
                <w:highlight w:val="none"/>
              </w:rPr>
            </w:pPr>
            <w:r>
              <w:rPr>
                <w:rFonts w:hint="default"/>
                <w:b/>
                <w:color w:val="auto"/>
                <w:kern w:val="0"/>
                <w:sz w:val="24"/>
                <w:highlight w:val="none"/>
              </w:rPr>
              <w:t>表</w:t>
            </w:r>
            <w:r>
              <w:rPr>
                <w:rFonts w:hint="eastAsia"/>
                <w:b/>
                <w:color w:val="auto"/>
                <w:kern w:val="0"/>
                <w:sz w:val="24"/>
                <w:highlight w:val="none"/>
              </w:rPr>
              <w:t>4-</w:t>
            </w:r>
            <w:r>
              <w:rPr>
                <w:rFonts w:hint="eastAsia"/>
                <w:b/>
                <w:color w:val="auto"/>
                <w:kern w:val="0"/>
                <w:sz w:val="24"/>
                <w:highlight w:val="none"/>
                <w:lang w:val="en-US" w:eastAsia="zh-CN"/>
              </w:rPr>
              <w:t>20</w:t>
            </w:r>
            <w:r>
              <w:rPr>
                <w:rFonts w:hint="eastAsia"/>
                <w:b/>
                <w:color w:val="auto"/>
                <w:kern w:val="0"/>
                <w:sz w:val="24"/>
                <w:highlight w:val="none"/>
              </w:rPr>
              <w:t xml:space="preserve">  </w:t>
            </w:r>
            <w:r>
              <w:rPr>
                <w:rFonts w:hint="default"/>
                <w:b/>
                <w:color w:val="auto"/>
                <w:kern w:val="0"/>
                <w:sz w:val="24"/>
                <w:highlight w:val="none"/>
              </w:rPr>
              <w:t>项目购入电力二氧化碳排放量计算表</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2776"/>
              <w:gridCol w:w="2775"/>
              <w:gridCol w:w="2772"/>
            </w:tblGrid>
            <w:tr w14:paraId="27AE9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2" w:hRule="atLeast"/>
              </w:trPr>
              <w:tc>
                <w:tcPr>
                  <w:tcW w:w="1668" w:type="pct"/>
                  <w:vAlign w:val="center"/>
                </w:tcPr>
                <w:p w14:paraId="3298D5FF">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bCs/>
                      <w:color w:val="auto"/>
                      <w:kern w:val="0"/>
                      <w:szCs w:val="21"/>
                      <w:highlight w:val="none"/>
                    </w:rPr>
                    <w:t>AD</w:t>
                  </w:r>
                  <w:r>
                    <w:rPr>
                      <w:rFonts w:hint="default"/>
                      <w:bCs/>
                      <w:color w:val="auto"/>
                      <w:kern w:val="0"/>
                      <w:szCs w:val="21"/>
                      <w:highlight w:val="none"/>
                      <w:vertAlign w:val="subscript"/>
                    </w:rPr>
                    <w:t>电</w:t>
                  </w:r>
                  <w:r>
                    <w:rPr>
                      <w:rFonts w:hint="default"/>
                      <w:bCs/>
                      <w:color w:val="auto"/>
                      <w:kern w:val="0"/>
                      <w:szCs w:val="21"/>
                      <w:highlight w:val="none"/>
                    </w:rPr>
                    <w:t>（MWh）</w:t>
                  </w:r>
                </w:p>
              </w:tc>
              <w:tc>
                <w:tcPr>
                  <w:tcW w:w="1667" w:type="pct"/>
                  <w:vAlign w:val="center"/>
                </w:tcPr>
                <w:p w14:paraId="2C56541B">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bCs/>
                      <w:color w:val="auto"/>
                      <w:kern w:val="0"/>
                      <w:szCs w:val="21"/>
                      <w:highlight w:val="none"/>
                    </w:rPr>
                    <w:t>EF</w:t>
                  </w:r>
                  <w:r>
                    <w:rPr>
                      <w:rFonts w:hint="default"/>
                      <w:bCs/>
                      <w:color w:val="auto"/>
                      <w:kern w:val="0"/>
                      <w:szCs w:val="21"/>
                      <w:highlight w:val="none"/>
                      <w:vertAlign w:val="subscript"/>
                    </w:rPr>
                    <w:t>电</w:t>
                  </w:r>
                  <w:r>
                    <w:rPr>
                      <w:rFonts w:hint="default"/>
                      <w:bCs/>
                      <w:color w:val="auto"/>
                      <w:kern w:val="0"/>
                      <w:szCs w:val="21"/>
                      <w:highlight w:val="none"/>
                    </w:rPr>
                    <w:t>（tCO</w:t>
                  </w:r>
                  <w:r>
                    <w:rPr>
                      <w:rFonts w:hint="default"/>
                      <w:bCs/>
                      <w:color w:val="auto"/>
                      <w:kern w:val="0"/>
                      <w:szCs w:val="21"/>
                      <w:highlight w:val="none"/>
                      <w:vertAlign w:val="subscript"/>
                    </w:rPr>
                    <w:t>2/</w:t>
                  </w:r>
                  <w:r>
                    <w:rPr>
                      <w:rFonts w:hint="default"/>
                      <w:bCs/>
                      <w:color w:val="auto"/>
                      <w:kern w:val="0"/>
                      <w:szCs w:val="21"/>
                      <w:highlight w:val="none"/>
                    </w:rPr>
                    <w:t>MWh）</w:t>
                  </w:r>
                </w:p>
              </w:tc>
              <w:tc>
                <w:tcPr>
                  <w:tcW w:w="1665" w:type="pct"/>
                  <w:vAlign w:val="center"/>
                </w:tcPr>
                <w:p w14:paraId="06E559B1">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bCs/>
                      <w:color w:val="auto"/>
                      <w:kern w:val="0"/>
                      <w:szCs w:val="21"/>
                      <w:highlight w:val="none"/>
                    </w:rPr>
                    <w:t>E</w:t>
                  </w:r>
                  <w:r>
                    <w:rPr>
                      <w:rFonts w:hint="default"/>
                      <w:bCs/>
                      <w:color w:val="auto"/>
                      <w:kern w:val="0"/>
                      <w:szCs w:val="21"/>
                      <w:highlight w:val="none"/>
                      <w:vertAlign w:val="subscript"/>
                    </w:rPr>
                    <w:t>电</w:t>
                  </w:r>
                  <w:r>
                    <w:rPr>
                      <w:rFonts w:hint="default"/>
                      <w:bCs/>
                      <w:color w:val="auto"/>
                      <w:kern w:val="0"/>
                      <w:szCs w:val="21"/>
                      <w:highlight w:val="none"/>
                    </w:rPr>
                    <w:t>（t）</w:t>
                  </w:r>
                </w:p>
              </w:tc>
            </w:tr>
            <w:tr w14:paraId="7115E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0" w:hRule="atLeast"/>
              </w:trPr>
              <w:tc>
                <w:tcPr>
                  <w:tcW w:w="1668" w:type="pct"/>
                  <w:vAlign w:val="center"/>
                </w:tcPr>
                <w:p w14:paraId="6F37F37F">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40</w:t>
                  </w:r>
                </w:p>
              </w:tc>
              <w:tc>
                <w:tcPr>
                  <w:tcW w:w="1667" w:type="pct"/>
                  <w:vAlign w:val="center"/>
                </w:tcPr>
                <w:p w14:paraId="508540A7">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lang w:val="en-US" w:eastAsia="zh-CN"/>
                    </w:rPr>
                  </w:pPr>
                  <w:r>
                    <w:rPr>
                      <w:rFonts w:hint="default"/>
                      <w:color w:val="auto"/>
                      <w:szCs w:val="21"/>
                      <w:highlight w:val="none"/>
                    </w:rPr>
                    <w:t>0.</w:t>
                  </w:r>
                  <w:r>
                    <w:rPr>
                      <w:rFonts w:hint="eastAsia"/>
                      <w:color w:val="auto"/>
                      <w:szCs w:val="21"/>
                      <w:highlight w:val="none"/>
                      <w:lang w:val="en-US" w:eastAsia="zh-CN"/>
                    </w:rPr>
                    <w:t>7252</w:t>
                  </w:r>
                </w:p>
              </w:tc>
              <w:tc>
                <w:tcPr>
                  <w:tcW w:w="1665" w:type="pct"/>
                  <w:vAlign w:val="center"/>
                </w:tcPr>
                <w:p w14:paraId="230E27B4">
                  <w:pPr>
                    <w:keepNext w:val="0"/>
                    <w:keepLines w:val="0"/>
                    <w:suppressLineNumbers w:val="0"/>
                    <w:adjustRightInd w:val="0"/>
                    <w:snapToGrid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29.008</w:t>
                  </w:r>
                </w:p>
              </w:tc>
            </w:tr>
          </w:tbl>
          <w:p w14:paraId="6F51C272">
            <w:pPr>
              <w:keepNext w:val="0"/>
              <w:keepLines w:val="0"/>
              <w:suppressLineNumbers w:val="0"/>
              <w:spacing w:before="0" w:beforeAutospacing="0" w:after="0" w:afterAutospacing="0" w:line="360" w:lineRule="auto"/>
              <w:ind w:left="0" w:right="0" w:firstLine="480" w:firstLineChars="200"/>
              <w:rPr>
                <w:rFonts w:hint="default"/>
                <w:bCs/>
                <w:color w:val="auto"/>
                <w:kern w:val="0"/>
                <w:sz w:val="24"/>
                <w:highlight w:val="none"/>
              </w:rPr>
            </w:pPr>
            <w:r>
              <w:rPr>
                <w:rFonts w:hint="default"/>
                <w:bCs/>
                <w:color w:val="auto"/>
                <w:kern w:val="0"/>
                <w:sz w:val="24"/>
                <w:highlight w:val="none"/>
              </w:rPr>
              <w:t>综合上述计算，项目二氧化碳总排放量为</w:t>
            </w:r>
            <w:r>
              <w:rPr>
                <w:rFonts w:hint="eastAsia"/>
                <w:bCs/>
                <w:color w:val="auto"/>
                <w:kern w:val="0"/>
                <w:sz w:val="24"/>
                <w:highlight w:val="none"/>
                <w:lang w:val="en-US" w:eastAsia="zh-CN"/>
              </w:rPr>
              <w:t>29.008</w:t>
            </w:r>
            <w:r>
              <w:rPr>
                <w:rFonts w:hint="default"/>
                <w:bCs/>
                <w:color w:val="auto"/>
                <w:kern w:val="0"/>
                <w:sz w:val="24"/>
                <w:highlight w:val="none"/>
              </w:rPr>
              <w:t>t/a。</w:t>
            </w:r>
          </w:p>
          <w:p w14:paraId="2E9D81AE">
            <w:pPr>
              <w:keepNext w:val="0"/>
              <w:keepLines w:val="0"/>
              <w:suppressLineNumbers w:val="0"/>
              <w:spacing w:before="0" w:beforeAutospacing="0" w:after="0" w:afterAutospacing="0" w:line="360" w:lineRule="auto"/>
              <w:ind w:left="0" w:right="0" w:firstLine="482" w:firstLineChars="200"/>
              <w:jc w:val="left"/>
              <w:rPr>
                <w:rFonts w:hint="default"/>
                <w:b/>
                <w:bCs/>
                <w:color w:val="auto"/>
                <w:kern w:val="0"/>
                <w:sz w:val="24"/>
                <w:highlight w:val="none"/>
              </w:rPr>
            </w:pPr>
            <w:r>
              <w:rPr>
                <w:rFonts w:hint="default"/>
                <w:b/>
                <w:bCs/>
                <w:color w:val="auto"/>
                <w:kern w:val="0"/>
                <w:sz w:val="24"/>
                <w:highlight w:val="none"/>
              </w:rPr>
              <w:t>减污降碳措施如下：</w:t>
            </w:r>
          </w:p>
          <w:p w14:paraId="6B84CA33">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bCs/>
                <w:color w:val="auto"/>
                <w:kern w:val="0"/>
                <w:sz w:val="24"/>
                <w:highlight w:val="none"/>
              </w:rPr>
            </w:pPr>
            <w:r>
              <w:rPr>
                <w:rFonts w:hint="default"/>
                <w:bCs/>
                <w:color w:val="auto"/>
                <w:kern w:val="0"/>
                <w:sz w:val="24"/>
                <w:highlight w:val="none"/>
              </w:rPr>
              <w:t>通过采用先进技术降低物料消耗、减少生产中各种污染物的产生和排放。工艺流程紧凑、合理、顺畅，最大限度地缩短中间环节物流运距，节约投资和运行成本。优化设备布置，缩短物料输送距离，使物料流向符合流程，尽量借用位差，减少重力提升。系统正常运转时，最大限度地提高开机利用率，减少设备空转时间，提高生产效率。投入设备自动化保护装置，减少人工成本，同时保证设备的正常运行、减少事故率。</w:t>
            </w:r>
          </w:p>
          <w:p w14:paraId="604DE622">
            <w:pPr>
              <w:keepNext w:val="0"/>
              <w:keepLines w:val="0"/>
              <w:suppressLineNumbers w:val="0"/>
              <w:spacing w:before="0" w:beforeAutospacing="0" w:after="0" w:afterAutospacing="0" w:line="360" w:lineRule="auto"/>
              <w:ind w:left="0" w:right="0" w:firstLine="480" w:firstLineChars="200"/>
              <w:jc w:val="left"/>
              <w:rPr>
                <w:rFonts w:hint="default"/>
                <w:bCs/>
                <w:color w:val="auto"/>
                <w:kern w:val="0"/>
                <w:sz w:val="24"/>
                <w:highlight w:val="none"/>
              </w:rPr>
            </w:pPr>
            <w:r>
              <w:rPr>
                <w:rFonts w:hint="default"/>
                <w:bCs/>
                <w:color w:val="auto"/>
                <w:kern w:val="0"/>
                <w:sz w:val="24"/>
                <w:highlight w:val="none"/>
              </w:rPr>
              <w:t>项目主要工艺生产设备选型在保证技术先进、性能可靠的前提下，大多数采用节能型设备。主要用能设备选择具备技术先进性、高效性和可靠性、在国内外广泛使用的产品，使各生产系统在优化条件下操作，提高用能水平。从节能、环保角度出发，设计优先选用效率高、能耗低、噪声低的设备。</w:t>
            </w:r>
          </w:p>
          <w:p w14:paraId="27829DDD">
            <w:pPr>
              <w:keepNext w:val="0"/>
              <w:keepLines w:val="0"/>
              <w:suppressLineNumbers w:val="0"/>
              <w:adjustRightInd w:val="0"/>
              <w:snapToGrid w:val="0"/>
              <w:spacing w:before="0" w:beforeAutospacing="0" w:after="0" w:afterAutospacing="0" w:line="360" w:lineRule="auto"/>
              <w:ind w:left="0" w:right="0"/>
              <w:jc w:val="left"/>
              <w:rPr>
                <w:rFonts w:hint="default"/>
                <w:b/>
                <w:bCs/>
                <w:color w:val="auto"/>
                <w:sz w:val="28"/>
                <w:szCs w:val="28"/>
                <w:highlight w:val="none"/>
              </w:rPr>
            </w:pPr>
            <w:r>
              <w:rPr>
                <w:rFonts w:hint="default"/>
                <w:b/>
                <w:bCs/>
                <w:color w:val="auto"/>
                <w:sz w:val="28"/>
                <w:szCs w:val="28"/>
                <w:highlight w:val="none"/>
              </w:rPr>
              <w:t>1</w:t>
            </w:r>
            <w:r>
              <w:rPr>
                <w:rFonts w:hint="eastAsia"/>
                <w:b/>
                <w:bCs/>
                <w:color w:val="auto"/>
                <w:sz w:val="28"/>
                <w:szCs w:val="28"/>
                <w:highlight w:val="none"/>
              </w:rPr>
              <w:t>0</w:t>
            </w:r>
            <w:r>
              <w:rPr>
                <w:rFonts w:hint="default"/>
                <w:b/>
                <w:bCs/>
                <w:color w:val="auto"/>
                <w:sz w:val="28"/>
                <w:szCs w:val="28"/>
                <w:highlight w:val="none"/>
              </w:rPr>
              <w:t>、环境管理</w:t>
            </w:r>
          </w:p>
          <w:p w14:paraId="58EEF642">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 xml:space="preserve">为了贯彻执行有关环境保护法规，及时了解项目及其周围环境质量变化情 况，掌握环境保护措施实施的效果，保证该区域良好的环境质量，建设单位进行相应的环境管理。 </w:t>
            </w:r>
          </w:p>
          <w:p w14:paraId="626A2D0C">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落实国家和地方相关管理制度贯彻落实国家相关法律法规及政策，以国家相关法律法规为依据，建设项目的改造工程设计，应按照环境保护设计规范的要求，并依据经批准的建设项目环境影响报告表，在项目建设阶段、生产运行阶段及服务期满后向当地环境保护部门汇报各阶段的情况。</w:t>
            </w:r>
          </w:p>
          <w:p w14:paraId="1E4F14DB">
            <w:pPr>
              <w:keepNext w:val="0"/>
              <w:keepLines w:val="0"/>
              <w:suppressLineNumbers w:val="0"/>
              <w:spacing w:before="0" w:beforeAutospacing="0" w:after="0" w:afterAutospacing="0" w:line="360" w:lineRule="auto"/>
              <w:ind w:left="0" w:right="0" w:firstLine="480" w:firstLineChars="200"/>
              <w:jc w:val="left"/>
              <w:rPr>
                <w:rFonts w:hint="default" w:eastAsia="宋体"/>
                <w:color w:val="auto"/>
                <w:sz w:val="24"/>
                <w:highlight w:val="none"/>
                <w:lang w:val="en-US" w:eastAsia="zh-CN"/>
              </w:rPr>
            </w:pPr>
            <w:r>
              <w:rPr>
                <w:rFonts w:hint="default"/>
                <w:color w:val="auto"/>
                <w:sz w:val="24"/>
                <w:highlight w:val="none"/>
              </w:rPr>
              <w:t>1）建设项目发生实际排污行为之前，排污单位应当按照国家环境保护相关法律法规以及排污许可证申请与核发技术规范要求进行排污</w:t>
            </w:r>
            <w:r>
              <w:rPr>
                <w:rFonts w:hint="eastAsia"/>
                <w:color w:val="auto"/>
                <w:sz w:val="24"/>
                <w:highlight w:val="none"/>
                <w:lang w:val="en-US" w:eastAsia="zh-CN"/>
              </w:rPr>
              <w:t>许可申请</w:t>
            </w:r>
            <w:r>
              <w:rPr>
                <w:rFonts w:hint="default"/>
                <w:color w:val="auto"/>
                <w:sz w:val="24"/>
                <w:highlight w:val="none"/>
              </w:rPr>
              <w:t>，不得无证排污或不按证排污。</w:t>
            </w:r>
            <w:r>
              <w:rPr>
                <w:rFonts w:hint="eastAsia"/>
                <w:color w:val="auto"/>
                <w:sz w:val="24"/>
                <w:highlight w:val="none"/>
                <w:lang w:val="en-US" w:eastAsia="zh-CN"/>
              </w:rPr>
              <w:t>本项目为</w:t>
            </w:r>
            <w:r>
              <w:rPr>
                <w:rFonts w:hint="eastAsia"/>
                <w:color w:val="auto"/>
                <w:sz w:val="24"/>
                <w:highlight w:val="none"/>
                <w:lang w:eastAsia="zh-CN"/>
              </w:rPr>
              <w:t>三十三</w:t>
            </w:r>
            <w:r>
              <w:rPr>
                <w:rFonts w:hint="default"/>
                <w:color w:val="auto"/>
                <w:sz w:val="24"/>
                <w:highlight w:val="none"/>
              </w:rPr>
              <w:t>、</w:t>
            </w:r>
            <w:r>
              <w:rPr>
                <w:rFonts w:hint="eastAsia"/>
                <w:color w:val="auto"/>
                <w:sz w:val="24"/>
                <w:highlight w:val="none"/>
                <w:lang w:eastAsia="zh-CN"/>
              </w:rPr>
              <w:t>汽车制造业</w:t>
            </w:r>
            <w:r>
              <w:rPr>
                <w:rFonts w:hint="default"/>
                <w:color w:val="auto"/>
                <w:sz w:val="24"/>
                <w:highlight w:val="none"/>
              </w:rPr>
              <w:t xml:space="preserve"> </w:t>
            </w:r>
            <w:r>
              <w:rPr>
                <w:rFonts w:hint="eastAsia"/>
                <w:color w:val="auto"/>
                <w:sz w:val="24"/>
                <w:highlight w:val="none"/>
                <w:lang w:val="en-US" w:eastAsia="zh-CN"/>
              </w:rPr>
              <w:t>36</w:t>
            </w:r>
            <w:r>
              <w:rPr>
                <w:rFonts w:hint="eastAsia"/>
                <w:color w:val="auto"/>
                <w:sz w:val="24"/>
                <w:highlight w:val="none"/>
                <w:lang w:eastAsia="zh-CN"/>
              </w:rPr>
              <w:t>——</w:t>
            </w:r>
            <w:r>
              <w:rPr>
                <w:rFonts w:hint="eastAsia"/>
                <w:color w:val="auto"/>
                <w:sz w:val="24"/>
                <w:highlight w:val="none"/>
                <w:lang w:val="en-US" w:eastAsia="zh-CN"/>
              </w:rPr>
              <w:t>71</w:t>
            </w:r>
            <w:r>
              <w:rPr>
                <w:rFonts w:hint="default"/>
                <w:color w:val="auto"/>
                <w:sz w:val="24"/>
                <w:highlight w:val="none"/>
              </w:rPr>
              <w:t>.</w:t>
            </w:r>
            <w:r>
              <w:rPr>
                <w:rFonts w:hint="eastAsia"/>
                <w:color w:val="auto"/>
                <w:sz w:val="24"/>
                <w:highlight w:val="none"/>
                <w:lang w:eastAsia="zh-CN"/>
              </w:rPr>
              <w:t>汽车零部件及配件制造</w:t>
            </w:r>
            <w:r>
              <w:rPr>
                <w:rFonts w:hint="eastAsia"/>
                <w:color w:val="auto"/>
                <w:sz w:val="24"/>
                <w:highlight w:val="none"/>
                <w:lang w:val="en-US" w:eastAsia="zh-CN"/>
              </w:rPr>
              <w:t>367中的其他类，应为简化管理。</w:t>
            </w:r>
          </w:p>
          <w:p w14:paraId="5ADFD3D3">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2）排污口规范化基本原则：向环境排放污染物的排污口必须规范化；排污口应便于采样与计量监测，便于日常现场监督检查。</w:t>
            </w:r>
          </w:p>
          <w:p w14:paraId="57CE1D51">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排污口的技术要求：排污口位置须合理确定，按环监【1996】470 号文件要求规范化管理；排放污染物的采样点设置应按《污染源监测技术规范》要求布设。</w:t>
            </w:r>
          </w:p>
          <w:p w14:paraId="19479A33">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3）建设项目中防治污染的设施，应当与主体工程同时设计、同时施工、同时投产使用，防治污染的设施应当符合经批准的环境影响评价文件的要求，不得擅自拆除或者闲置。</w:t>
            </w:r>
          </w:p>
          <w:p w14:paraId="6AF34DF9">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4）建设项目竣工后，建设单位需组织查验、监测、记载建设项目环境保护设施的建设和调试情况，建设单位或者委托其他技术机构按照国家有关法律法规、建设项目竣工环境保护验收规范等要求，编制竣工环境保护验收报告。验收报告编制完成后，建设单位应组织成立验收工作组，建设项目配套的环境保护设施进行验收。</w:t>
            </w:r>
          </w:p>
          <w:p w14:paraId="1303332F">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5）环保信息公开内容</w:t>
            </w:r>
          </w:p>
          <w:p w14:paraId="7CCF50F0">
            <w:pPr>
              <w:keepNext w:val="0"/>
              <w:keepLines w:val="0"/>
              <w:suppressLineNumbers w:val="0"/>
              <w:spacing w:before="0" w:beforeAutospacing="0" w:after="0" w:afterAutospacing="0" w:line="360" w:lineRule="auto"/>
              <w:ind w:left="0" w:right="0" w:firstLine="480" w:firstLineChars="200"/>
              <w:jc w:val="left"/>
              <w:rPr>
                <w:rFonts w:hint="default"/>
                <w:b/>
                <w:bCs/>
                <w:color w:val="auto"/>
                <w:sz w:val="24"/>
                <w:highlight w:val="none"/>
              </w:rPr>
            </w:pPr>
            <w:r>
              <w:rPr>
                <w:rFonts w:hint="default"/>
                <w:color w:val="auto"/>
                <w:sz w:val="24"/>
                <w:highlight w:val="none"/>
              </w:rPr>
              <w:t>依据《中华人民共和国政府信息公开条例》、《企业事业单位环境信息公开办法》、《环境信息公开办法(试行）》的相关要求，企业应当及时、准确地公开企业环境信息，本项目环境信息公开的内容如下：</w:t>
            </w:r>
          </w:p>
          <w:p w14:paraId="3860F03D">
            <w:pPr>
              <w:keepNext w:val="0"/>
              <w:keepLines w:val="0"/>
              <w:suppressLineNumbers w:val="0"/>
              <w:spacing w:before="0" w:beforeAutospacing="0" w:after="0" w:afterAutospacing="0"/>
              <w:ind w:left="0" w:right="0"/>
              <w:jc w:val="center"/>
              <w:rPr>
                <w:rFonts w:hint="default"/>
                <w:b/>
                <w:bCs/>
                <w:color w:val="auto"/>
                <w:sz w:val="24"/>
                <w:highlight w:val="none"/>
              </w:rPr>
            </w:pPr>
            <w:r>
              <w:rPr>
                <w:rFonts w:hint="eastAsia"/>
                <w:b/>
                <w:bCs/>
                <w:color w:val="auto"/>
                <w:sz w:val="24"/>
                <w:highlight w:val="none"/>
              </w:rPr>
              <w:t>表4-</w:t>
            </w:r>
            <w:r>
              <w:rPr>
                <w:rFonts w:hint="eastAsia"/>
                <w:b/>
                <w:bCs/>
                <w:color w:val="auto"/>
                <w:sz w:val="24"/>
                <w:highlight w:val="none"/>
                <w:lang w:val="en-US" w:eastAsia="zh-CN"/>
              </w:rPr>
              <w:t>21</w:t>
            </w:r>
            <w:r>
              <w:rPr>
                <w:rFonts w:hint="eastAsia"/>
                <w:b/>
                <w:bCs/>
                <w:color w:val="auto"/>
                <w:sz w:val="24"/>
                <w:highlight w:val="none"/>
              </w:rPr>
              <w:t xml:space="preserve">  环境信息公开一览表</w:t>
            </w:r>
          </w:p>
          <w:tbl>
            <w:tblPr>
              <w:tblStyle w:val="35"/>
              <w:tblW w:w="82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9"/>
              <w:gridCol w:w="7060"/>
            </w:tblGrid>
            <w:tr w14:paraId="66B48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3" w:hRule="atLeast"/>
                <w:jc w:val="center"/>
              </w:trPr>
              <w:tc>
                <w:tcPr>
                  <w:tcW w:w="1219" w:type="dxa"/>
                  <w:vAlign w:val="center"/>
                </w:tcPr>
                <w:p w14:paraId="79ED211C">
                  <w:pPr>
                    <w:pStyle w:val="33"/>
                    <w:keepNext w:val="0"/>
                    <w:keepLines w:val="0"/>
                    <w:suppressLineNumbers w:val="0"/>
                    <w:adjustRightInd w:val="0"/>
                    <w:spacing w:before="0" w:beforeAutospacing="0" w:after="0" w:afterAutospacing="0" w:line="240" w:lineRule="auto"/>
                    <w:ind w:left="0" w:right="0" w:firstLine="0" w:firstLineChars="0"/>
                    <w:jc w:val="center"/>
                    <w:rPr>
                      <w:rFonts w:hint="default"/>
                      <w:color w:val="auto"/>
                      <w:szCs w:val="21"/>
                      <w:highlight w:val="none"/>
                    </w:rPr>
                  </w:pPr>
                  <w:r>
                    <w:rPr>
                      <w:rFonts w:hint="eastAsia"/>
                      <w:color w:val="auto"/>
                      <w:szCs w:val="21"/>
                      <w:highlight w:val="none"/>
                    </w:rPr>
                    <w:t>序号</w:t>
                  </w:r>
                </w:p>
              </w:tc>
              <w:tc>
                <w:tcPr>
                  <w:tcW w:w="7060" w:type="dxa"/>
                  <w:vAlign w:val="center"/>
                </w:tcPr>
                <w:p w14:paraId="191C1DEB">
                  <w:pPr>
                    <w:pStyle w:val="33"/>
                    <w:keepNext w:val="0"/>
                    <w:keepLines w:val="0"/>
                    <w:suppressLineNumbers w:val="0"/>
                    <w:adjustRightInd w:val="0"/>
                    <w:spacing w:before="0" w:beforeAutospacing="0" w:after="0" w:afterAutospacing="0" w:line="240" w:lineRule="auto"/>
                    <w:ind w:left="0" w:right="0" w:firstLine="0" w:firstLineChars="0"/>
                    <w:jc w:val="center"/>
                    <w:rPr>
                      <w:rFonts w:hint="default"/>
                      <w:b/>
                      <w:bCs/>
                      <w:color w:val="auto"/>
                      <w:szCs w:val="21"/>
                      <w:highlight w:val="none"/>
                    </w:rPr>
                  </w:pPr>
                  <w:r>
                    <w:rPr>
                      <w:rFonts w:hint="eastAsia"/>
                      <w:color w:val="auto"/>
                      <w:szCs w:val="21"/>
                      <w:highlight w:val="none"/>
                    </w:rPr>
                    <w:t>信息公开内容</w:t>
                  </w:r>
                </w:p>
              </w:tc>
            </w:tr>
            <w:tr w14:paraId="119B3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1219" w:type="dxa"/>
                  <w:vAlign w:val="center"/>
                </w:tcPr>
                <w:p w14:paraId="367EFE77">
                  <w:pPr>
                    <w:pStyle w:val="33"/>
                    <w:keepNext w:val="0"/>
                    <w:keepLines w:val="0"/>
                    <w:suppressLineNumbers w:val="0"/>
                    <w:adjustRightInd w:val="0"/>
                    <w:spacing w:before="0" w:beforeAutospacing="0" w:after="0" w:afterAutospacing="0" w:line="240" w:lineRule="auto"/>
                    <w:ind w:left="0" w:right="0" w:firstLine="0" w:firstLineChars="0"/>
                    <w:jc w:val="center"/>
                    <w:rPr>
                      <w:rFonts w:hint="default"/>
                      <w:color w:val="auto"/>
                      <w:szCs w:val="21"/>
                      <w:highlight w:val="none"/>
                    </w:rPr>
                  </w:pPr>
                  <w:r>
                    <w:rPr>
                      <w:rFonts w:hint="eastAsia"/>
                      <w:color w:val="auto"/>
                      <w:szCs w:val="21"/>
                      <w:highlight w:val="none"/>
                    </w:rPr>
                    <w:t>1</w:t>
                  </w:r>
                </w:p>
              </w:tc>
              <w:tc>
                <w:tcPr>
                  <w:tcW w:w="7060" w:type="dxa"/>
                  <w:vAlign w:val="center"/>
                </w:tcPr>
                <w:p w14:paraId="40F4FD03">
                  <w:pPr>
                    <w:keepNext w:val="0"/>
                    <w:keepLines w:val="0"/>
                    <w:widowControl/>
                    <w:suppressLineNumbers w:val="0"/>
                    <w:adjustRightInd w:val="0"/>
                    <w:snapToGrid w:val="0"/>
                    <w:spacing w:before="0" w:beforeAutospacing="0" w:after="0" w:afterAutospacing="0"/>
                    <w:ind w:left="0" w:right="0"/>
                    <w:jc w:val="center"/>
                    <w:rPr>
                      <w:rFonts w:hint="default"/>
                      <w:b/>
                      <w:bCs/>
                      <w:color w:val="auto"/>
                      <w:szCs w:val="21"/>
                      <w:highlight w:val="none"/>
                    </w:rPr>
                  </w:pPr>
                  <w:r>
                    <w:rPr>
                      <w:rFonts w:hint="eastAsia" w:ascii="宋体" w:hAnsi="宋体" w:cs="宋体"/>
                      <w:color w:val="auto"/>
                      <w:kern w:val="0"/>
                      <w:szCs w:val="21"/>
                      <w:highlight w:val="none"/>
                      <w:lang w:bidi="ar"/>
                    </w:rPr>
                    <w:t>企业环境保护方针、年度环境保护目标及成效。</w:t>
                  </w:r>
                </w:p>
              </w:tc>
            </w:tr>
            <w:tr w14:paraId="50C3C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1219" w:type="dxa"/>
                  <w:vAlign w:val="center"/>
                </w:tcPr>
                <w:p w14:paraId="0AAD1A6C">
                  <w:pPr>
                    <w:pStyle w:val="33"/>
                    <w:keepNext w:val="0"/>
                    <w:keepLines w:val="0"/>
                    <w:suppressLineNumbers w:val="0"/>
                    <w:adjustRightInd w:val="0"/>
                    <w:spacing w:before="0" w:beforeAutospacing="0" w:after="0" w:afterAutospacing="0" w:line="240" w:lineRule="auto"/>
                    <w:ind w:left="0" w:right="0" w:firstLine="0" w:firstLineChars="0"/>
                    <w:jc w:val="center"/>
                    <w:rPr>
                      <w:rFonts w:hint="default"/>
                      <w:color w:val="auto"/>
                      <w:szCs w:val="21"/>
                      <w:highlight w:val="none"/>
                    </w:rPr>
                  </w:pPr>
                  <w:r>
                    <w:rPr>
                      <w:rFonts w:hint="eastAsia"/>
                      <w:color w:val="auto"/>
                      <w:szCs w:val="21"/>
                      <w:highlight w:val="none"/>
                    </w:rPr>
                    <w:t>2</w:t>
                  </w:r>
                </w:p>
              </w:tc>
              <w:tc>
                <w:tcPr>
                  <w:tcW w:w="7060" w:type="dxa"/>
                  <w:vAlign w:val="center"/>
                </w:tcPr>
                <w:p w14:paraId="2DDB4A72">
                  <w:pPr>
                    <w:keepNext w:val="0"/>
                    <w:keepLines w:val="0"/>
                    <w:widowControl/>
                    <w:suppressLineNumbers w:val="0"/>
                    <w:adjustRightInd w:val="0"/>
                    <w:snapToGrid w:val="0"/>
                    <w:spacing w:before="0" w:beforeAutospacing="0" w:after="0" w:afterAutospacing="0"/>
                    <w:ind w:left="0" w:right="0"/>
                    <w:jc w:val="center"/>
                    <w:rPr>
                      <w:rFonts w:hint="default"/>
                      <w:b/>
                      <w:bCs/>
                      <w:color w:val="auto"/>
                      <w:szCs w:val="21"/>
                      <w:highlight w:val="none"/>
                    </w:rPr>
                  </w:pPr>
                  <w:r>
                    <w:rPr>
                      <w:rFonts w:hint="eastAsia" w:ascii="宋体" w:hAnsi="宋体" w:cs="宋体"/>
                      <w:color w:val="auto"/>
                      <w:kern w:val="0"/>
                      <w:szCs w:val="21"/>
                      <w:highlight w:val="none"/>
                      <w:lang w:bidi="ar"/>
                    </w:rPr>
                    <w:t>企业年度资源消耗总量。</w:t>
                  </w:r>
                </w:p>
              </w:tc>
            </w:tr>
            <w:tr w14:paraId="45266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1219" w:type="dxa"/>
                  <w:vAlign w:val="center"/>
                </w:tcPr>
                <w:p w14:paraId="02AFC2C1">
                  <w:pPr>
                    <w:pStyle w:val="33"/>
                    <w:keepNext w:val="0"/>
                    <w:keepLines w:val="0"/>
                    <w:suppressLineNumbers w:val="0"/>
                    <w:adjustRightInd w:val="0"/>
                    <w:spacing w:before="0" w:beforeAutospacing="0" w:after="0" w:afterAutospacing="0" w:line="240" w:lineRule="auto"/>
                    <w:ind w:left="0" w:right="0" w:firstLine="0" w:firstLineChars="0"/>
                    <w:jc w:val="center"/>
                    <w:rPr>
                      <w:rFonts w:hint="default"/>
                      <w:color w:val="auto"/>
                      <w:szCs w:val="21"/>
                      <w:highlight w:val="none"/>
                    </w:rPr>
                  </w:pPr>
                  <w:r>
                    <w:rPr>
                      <w:rFonts w:hint="eastAsia"/>
                      <w:color w:val="auto"/>
                      <w:szCs w:val="21"/>
                      <w:highlight w:val="none"/>
                    </w:rPr>
                    <w:t>3</w:t>
                  </w:r>
                </w:p>
              </w:tc>
              <w:tc>
                <w:tcPr>
                  <w:tcW w:w="7060" w:type="dxa"/>
                  <w:vAlign w:val="center"/>
                </w:tcPr>
                <w:p w14:paraId="2BCF2761">
                  <w:pPr>
                    <w:keepNext w:val="0"/>
                    <w:keepLines w:val="0"/>
                    <w:widowControl/>
                    <w:suppressLineNumbers w:val="0"/>
                    <w:adjustRightInd w:val="0"/>
                    <w:snapToGrid w:val="0"/>
                    <w:spacing w:before="0" w:beforeAutospacing="0" w:after="0" w:afterAutospacing="0"/>
                    <w:ind w:left="0" w:right="0"/>
                    <w:jc w:val="center"/>
                    <w:rPr>
                      <w:rFonts w:hint="default"/>
                      <w:b/>
                      <w:bCs/>
                      <w:color w:val="auto"/>
                      <w:szCs w:val="21"/>
                      <w:highlight w:val="none"/>
                    </w:rPr>
                  </w:pPr>
                  <w:r>
                    <w:rPr>
                      <w:rFonts w:hint="eastAsia" w:ascii="宋体" w:hAnsi="宋体" w:cs="宋体"/>
                      <w:color w:val="auto"/>
                      <w:kern w:val="0"/>
                      <w:szCs w:val="21"/>
                      <w:highlight w:val="none"/>
                      <w:lang w:bidi="ar"/>
                    </w:rPr>
                    <w:t>企业排放污染物种类、数量、浓度和去向。</w:t>
                  </w:r>
                </w:p>
              </w:tc>
            </w:tr>
            <w:tr w14:paraId="601FB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1219" w:type="dxa"/>
                  <w:vAlign w:val="center"/>
                </w:tcPr>
                <w:p w14:paraId="6E995251">
                  <w:pPr>
                    <w:pStyle w:val="33"/>
                    <w:keepNext w:val="0"/>
                    <w:keepLines w:val="0"/>
                    <w:suppressLineNumbers w:val="0"/>
                    <w:adjustRightInd w:val="0"/>
                    <w:spacing w:before="0" w:beforeAutospacing="0" w:after="0" w:afterAutospacing="0" w:line="240" w:lineRule="auto"/>
                    <w:ind w:left="0" w:right="0" w:firstLine="0" w:firstLineChars="0"/>
                    <w:jc w:val="center"/>
                    <w:rPr>
                      <w:rFonts w:hint="default"/>
                      <w:color w:val="auto"/>
                      <w:szCs w:val="21"/>
                      <w:highlight w:val="none"/>
                    </w:rPr>
                  </w:pPr>
                  <w:r>
                    <w:rPr>
                      <w:rFonts w:hint="eastAsia"/>
                      <w:color w:val="auto"/>
                      <w:szCs w:val="21"/>
                      <w:highlight w:val="none"/>
                    </w:rPr>
                    <w:t>4</w:t>
                  </w:r>
                </w:p>
              </w:tc>
              <w:tc>
                <w:tcPr>
                  <w:tcW w:w="7060" w:type="dxa"/>
                  <w:vAlign w:val="center"/>
                </w:tcPr>
                <w:p w14:paraId="0AF7D129">
                  <w:pPr>
                    <w:keepNext w:val="0"/>
                    <w:keepLines w:val="0"/>
                    <w:widowControl/>
                    <w:suppressLineNumbers w:val="0"/>
                    <w:adjustRightInd w:val="0"/>
                    <w:snapToGrid w:val="0"/>
                    <w:spacing w:before="0" w:beforeAutospacing="0" w:after="0" w:afterAutospacing="0"/>
                    <w:ind w:left="0" w:right="0"/>
                    <w:jc w:val="center"/>
                    <w:rPr>
                      <w:rFonts w:hint="default"/>
                      <w:b/>
                      <w:bCs/>
                      <w:color w:val="auto"/>
                      <w:szCs w:val="21"/>
                      <w:highlight w:val="none"/>
                    </w:rPr>
                  </w:pPr>
                  <w:r>
                    <w:rPr>
                      <w:rFonts w:hint="eastAsia" w:ascii="宋体" w:hAnsi="宋体" w:cs="宋体"/>
                      <w:color w:val="auto"/>
                      <w:kern w:val="0"/>
                      <w:szCs w:val="21"/>
                      <w:highlight w:val="none"/>
                      <w:lang w:bidi="ar"/>
                    </w:rPr>
                    <w:t>企业环保投资和环境技术开发情况</w:t>
                  </w:r>
                </w:p>
              </w:tc>
            </w:tr>
            <w:tr w14:paraId="1E85B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1219" w:type="dxa"/>
                  <w:vAlign w:val="center"/>
                </w:tcPr>
                <w:p w14:paraId="3C8AAEB4">
                  <w:pPr>
                    <w:pStyle w:val="33"/>
                    <w:keepNext w:val="0"/>
                    <w:keepLines w:val="0"/>
                    <w:suppressLineNumbers w:val="0"/>
                    <w:adjustRightInd w:val="0"/>
                    <w:spacing w:before="0" w:beforeAutospacing="0" w:after="0" w:afterAutospacing="0" w:line="240" w:lineRule="auto"/>
                    <w:ind w:left="0" w:right="0" w:firstLine="0" w:firstLineChars="0"/>
                    <w:jc w:val="center"/>
                    <w:rPr>
                      <w:rFonts w:hint="default"/>
                      <w:color w:val="auto"/>
                      <w:szCs w:val="21"/>
                      <w:highlight w:val="none"/>
                    </w:rPr>
                  </w:pPr>
                  <w:r>
                    <w:rPr>
                      <w:rFonts w:hint="eastAsia"/>
                      <w:color w:val="auto"/>
                      <w:szCs w:val="21"/>
                      <w:highlight w:val="none"/>
                    </w:rPr>
                    <w:t>5</w:t>
                  </w:r>
                </w:p>
              </w:tc>
              <w:tc>
                <w:tcPr>
                  <w:tcW w:w="7060" w:type="dxa"/>
                  <w:vAlign w:val="center"/>
                </w:tcPr>
                <w:p w14:paraId="2F5D0496">
                  <w:pPr>
                    <w:keepNext w:val="0"/>
                    <w:keepLines w:val="0"/>
                    <w:widowControl/>
                    <w:suppressLineNumbers w:val="0"/>
                    <w:adjustRightInd w:val="0"/>
                    <w:snapToGrid w:val="0"/>
                    <w:spacing w:before="0" w:beforeAutospacing="0" w:after="0" w:afterAutospacing="0"/>
                    <w:ind w:left="0" w:right="0"/>
                    <w:jc w:val="center"/>
                    <w:rPr>
                      <w:rFonts w:hint="default"/>
                      <w:b/>
                      <w:bCs/>
                      <w:color w:val="auto"/>
                      <w:szCs w:val="21"/>
                      <w:highlight w:val="none"/>
                    </w:rPr>
                  </w:pPr>
                  <w:r>
                    <w:rPr>
                      <w:rFonts w:hint="eastAsia" w:ascii="宋体" w:hAnsi="宋体" w:cs="宋体"/>
                      <w:color w:val="auto"/>
                      <w:kern w:val="0"/>
                      <w:szCs w:val="21"/>
                      <w:highlight w:val="none"/>
                      <w:lang w:bidi="ar"/>
                    </w:rPr>
                    <w:t>企业环保设施的建设和运行情况。</w:t>
                  </w:r>
                </w:p>
              </w:tc>
            </w:tr>
            <w:tr w14:paraId="6BEB6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1219" w:type="dxa"/>
                  <w:vAlign w:val="center"/>
                </w:tcPr>
                <w:p w14:paraId="0AA8B5FB">
                  <w:pPr>
                    <w:pStyle w:val="33"/>
                    <w:keepNext w:val="0"/>
                    <w:keepLines w:val="0"/>
                    <w:suppressLineNumbers w:val="0"/>
                    <w:adjustRightInd w:val="0"/>
                    <w:spacing w:before="0" w:beforeAutospacing="0" w:after="0" w:afterAutospacing="0" w:line="240" w:lineRule="auto"/>
                    <w:ind w:left="0" w:right="0" w:firstLine="0" w:firstLineChars="0"/>
                    <w:jc w:val="center"/>
                    <w:rPr>
                      <w:rFonts w:hint="default"/>
                      <w:color w:val="auto"/>
                      <w:szCs w:val="21"/>
                      <w:highlight w:val="none"/>
                    </w:rPr>
                  </w:pPr>
                  <w:r>
                    <w:rPr>
                      <w:rFonts w:hint="eastAsia"/>
                      <w:color w:val="auto"/>
                      <w:szCs w:val="21"/>
                      <w:highlight w:val="none"/>
                    </w:rPr>
                    <w:t>6</w:t>
                  </w:r>
                </w:p>
              </w:tc>
              <w:tc>
                <w:tcPr>
                  <w:tcW w:w="7060" w:type="dxa"/>
                  <w:vAlign w:val="center"/>
                </w:tcPr>
                <w:p w14:paraId="055A152F">
                  <w:pPr>
                    <w:keepNext w:val="0"/>
                    <w:keepLines w:val="0"/>
                    <w:widowControl/>
                    <w:suppressLineNumbers w:val="0"/>
                    <w:adjustRightInd w:val="0"/>
                    <w:snapToGrid w:val="0"/>
                    <w:spacing w:before="0" w:beforeAutospacing="0" w:after="0" w:afterAutospacing="0"/>
                    <w:ind w:left="0" w:right="0"/>
                    <w:jc w:val="center"/>
                    <w:rPr>
                      <w:rFonts w:hint="default"/>
                      <w:b/>
                      <w:bCs/>
                      <w:color w:val="auto"/>
                      <w:szCs w:val="21"/>
                      <w:highlight w:val="none"/>
                    </w:rPr>
                  </w:pPr>
                  <w:r>
                    <w:rPr>
                      <w:rFonts w:hint="eastAsia" w:ascii="宋体" w:hAnsi="宋体" w:cs="宋体"/>
                      <w:color w:val="auto"/>
                      <w:kern w:val="0"/>
                      <w:szCs w:val="21"/>
                      <w:highlight w:val="none"/>
                      <w:lang w:bidi="ar"/>
                    </w:rPr>
                    <w:t>企业在生产过程中产生的废物的处理、处置情况</w:t>
                  </w:r>
                </w:p>
              </w:tc>
            </w:tr>
            <w:tr w14:paraId="551F4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1219" w:type="dxa"/>
                  <w:vAlign w:val="center"/>
                </w:tcPr>
                <w:p w14:paraId="419AA06D">
                  <w:pPr>
                    <w:pStyle w:val="33"/>
                    <w:keepNext w:val="0"/>
                    <w:keepLines w:val="0"/>
                    <w:suppressLineNumbers w:val="0"/>
                    <w:adjustRightInd w:val="0"/>
                    <w:spacing w:before="0" w:beforeAutospacing="0" w:after="0" w:afterAutospacing="0" w:line="240" w:lineRule="auto"/>
                    <w:ind w:left="0" w:right="0" w:firstLine="0" w:firstLineChars="0"/>
                    <w:jc w:val="center"/>
                    <w:rPr>
                      <w:rFonts w:hint="default"/>
                      <w:color w:val="auto"/>
                      <w:szCs w:val="21"/>
                      <w:highlight w:val="none"/>
                    </w:rPr>
                  </w:pPr>
                  <w:r>
                    <w:rPr>
                      <w:rFonts w:hint="eastAsia"/>
                      <w:color w:val="auto"/>
                      <w:szCs w:val="21"/>
                      <w:highlight w:val="none"/>
                    </w:rPr>
                    <w:t>7</w:t>
                  </w:r>
                </w:p>
              </w:tc>
              <w:tc>
                <w:tcPr>
                  <w:tcW w:w="7060" w:type="dxa"/>
                  <w:vAlign w:val="center"/>
                </w:tcPr>
                <w:p w14:paraId="6409556E">
                  <w:pPr>
                    <w:keepNext w:val="0"/>
                    <w:keepLines w:val="0"/>
                    <w:widowControl/>
                    <w:suppressLineNumbers w:val="0"/>
                    <w:adjustRightInd w:val="0"/>
                    <w:snapToGrid w:val="0"/>
                    <w:spacing w:before="0" w:beforeAutospacing="0" w:after="0" w:afterAutospacing="0"/>
                    <w:ind w:left="0" w:right="0"/>
                    <w:jc w:val="center"/>
                    <w:rPr>
                      <w:rFonts w:hint="default"/>
                      <w:b/>
                      <w:bCs/>
                      <w:color w:val="auto"/>
                      <w:szCs w:val="21"/>
                      <w:highlight w:val="none"/>
                    </w:rPr>
                  </w:pPr>
                  <w:r>
                    <w:rPr>
                      <w:rFonts w:hint="eastAsia" w:ascii="宋体" w:hAnsi="宋体" w:cs="宋体"/>
                      <w:color w:val="auto"/>
                      <w:kern w:val="0"/>
                      <w:szCs w:val="21"/>
                      <w:highlight w:val="none"/>
                      <w:lang w:bidi="ar"/>
                    </w:rPr>
                    <w:t>与环保部门签订的改善环境行为的志愿协议；企业履行社会责任的情况</w:t>
                  </w:r>
                </w:p>
              </w:tc>
            </w:tr>
            <w:tr w14:paraId="43278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19" w:type="dxa"/>
                  <w:vAlign w:val="center"/>
                </w:tcPr>
                <w:p w14:paraId="2B5AB311">
                  <w:pPr>
                    <w:pStyle w:val="33"/>
                    <w:keepNext w:val="0"/>
                    <w:keepLines w:val="0"/>
                    <w:suppressLineNumbers w:val="0"/>
                    <w:adjustRightInd w:val="0"/>
                    <w:spacing w:before="0" w:beforeAutospacing="0" w:after="0" w:afterAutospacing="0" w:line="240" w:lineRule="auto"/>
                    <w:ind w:left="0" w:right="0" w:firstLine="0" w:firstLineChars="0"/>
                    <w:jc w:val="center"/>
                    <w:rPr>
                      <w:rFonts w:hint="default"/>
                      <w:color w:val="auto"/>
                      <w:szCs w:val="21"/>
                      <w:highlight w:val="none"/>
                    </w:rPr>
                  </w:pPr>
                  <w:r>
                    <w:rPr>
                      <w:rFonts w:hint="eastAsia"/>
                      <w:color w:val="auto"/>
                      <w:szCs w:val="21"/>
                      <w:highlight w:val="none"/>
                    </w:rPr>
                    <w:t>8</w:t>
                  </w:r>
                </w:p>
              </w:tc>
              <w:tc>
                <w:tcPr>
                  <w:tcW w:w="7060" w:type="dxa"/>
                  <w:vAlign w:val="center"/>
                </w:tcPr>
                <w:p w14:paraId="51945902">
                  <w:pPr>
                    <w:keepNext w:val="0"/>
                    <w:keepLines w:val="0"/>
                    <w:widowControl/>
                    <w:suppressLineNumbers w:val="0"/>
                    <w:adjustRightInd w:val="0"/>
                    <w:snapToGrid w:val="0"/>
                    <w:spacing w:before="0" w:beforeAutospacing="0" w:after="0" w:afterAutospacing="0"/>
                    <w:ind w:left="0" w:right="0"/>
                    <w:jc w:val="center"/>
                    <w:rPr>
                      <w:rFonts w:hint="default"/>
                      <w:b/>
                      <w:bCs/>
                      <w:color w:val="auto"/>
                      <w:szCs w:val="21"/>
                      <w:highlight w:val="none"/>
                    </w:rPr>
                  </w:pPr>
                  <w:r>
                    <w:rPr>
                      <w:rFonts w:hint="eastAsia" w:ascii="宋体" w:hAnsi="宋体" w:cs="宋体"/>
                      <w:color w:val="auto"/>
                      <w:kern w:val="0"/>
                      <w:szCs w:val="21"/>
                      <w:highlight w:val="none"/>
                      <w:lang w:bidi="ar"/>
                    </w:rPr>
                    <w:t>企业自愿公开的其他环境信息。</w:t>
                  </w:r>
                </w:p>
              </w:tc>
            </w:tr>
          </w:tbl>
          <w:p w14:paraId="5E65A835">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6）环境管理组织机构</w:t>
            </w:r>
          </w:p>
          <w:p w14:paraId="7CF2D689">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设立控制污染、环境的法律负责人和相关的责任人，负责项目整个过程（包括施工期和运行期）的环境保护工作。</w:t>
            </w:r>
          </w:p>
          <w:p w14:paraId="0B1D4B72">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7）环境管理台账要求</w:t>
            </w:r>
          </w:p>
          <w:p w14:paraId="7DE409AF">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 xml:space="preserve">将环保设备的运行情况、环保设备日常检查、环境事件等建立环境管理台账。 </w:t>
            </w:r>
          </w:p>
          <w:p w14:paraId="30548466">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8）环保设备及设施运行及维护费用保障计划</w:t>
            </w:r>
          </w:p>
          <w:p w14:paraId="70699951">
            <w:pPr>
              <w:keepNext w:val="0"/>
              <w:keepLines w:val="0"/>
              <w:suppressLineNumbers w:val="0"/>
              <w:adjustRightInd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项目营运期主要运行费用为人工定期检修维护费等，运行费用较小，处于企 业可接受范围内。</w:t>
            </w:r>
          </w:p>
        </w:tc>
      </w:tr>
    </w:tbl>
    <w:p w14:paraId="0AA234EB">
      <w:pPr>
        <w:adjustRightInd w:val="0"/>
        <w:snapToGrid w:val="0"/>
        <w:spacing w:line="360" w:lineRule="auto"/>
        <w:rPr>
          <w:rFonts w:ascii="宋体" w:cs="宋体"/>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0BD4C03D">
      <w:pPr>
        <w:pStyle w:val="31"/>
        <w:spacing w:before="0" w:beforeAutospacing="0" w:after="0" w:afterAutospacing="0"/>
        <w:jc w:val="center"/>
        <w:outlineLvl w:val="0"/>
        <w:rPr>
          <w:rFonts w:ascii="黑体" w:hAnsi="黑体" w:eastAsia="黑体"/>
          <w:snapToGrid w:val="0"/>
          <w:color w:val="auto"/>
          <w:sz w:val="30"/>
          <w:szCs w:val="30"/>
          <w:highlight w:val="none"/>
        </w:rPr>
      </w:pPr>
      <w:bookmarkStart w:id="10" w:name="_Toc28264"/>
      <w:r>
        <w:rPr>
          <w:rFonts w:hint="eastAsia" w:ascii="黑体" w:hAnsi="黑体" w:eastAsia="黑体"/>
          <w:snapToGrid w:val="0"/>
          <w:color w:val="auto"/>
          <w:sz w:val="30"/>
          <w:szCs w:val="30"/>
          <w:highlight w:val="none"/>
        </w:rPr>
        <w:t>五、</w:t>
      </w:r>
      <w:bookmarkStart w:id="11" w:name="_Hlk54167917"/>
      <w:r>
        <w:rPr>
          <w:rFonts w:hint="eastAsia" w:ascii="黑体" w:hAnsi="黑体" w:eastAsia="黑体"/>
          <w:snapToGrid w:val="0"/>
          <w:color w:val="auto"/>
          <w:sz w:val="30"/>
          <w:szCs w:val="30"/>
          <w:highlight w:val="none"/>
        </w:rPr>
        <w:t>环境保护措施监督检查清单</w:t>
      </w:r>
      <w:bookmarkEnd w:id="10"/>
      <w:bookmarkEnd w:id="11"/>
    </w:p>
    <w:tbl>
      <w:tblPr>
        <w:tblStyle w:val="3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1696"/>
        <w:gridCol w:w="1435"/>
        <w:gridCol w:w="1505"/>
        <w:gridCol w:w="2922"/>
      </w:tblGrid>
      <w:tr w14:paraId="14C183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42" w:type="dxa"/>
            <w:tcBorders>
              <w:tl2br w:val="single" w:color="auto" w:sz="4" w:space="0"/>
            </w:tcBorders>
            <w:vAlign w:val="center"/>
          </w:tcPr>
          <w:p w14:paraId="7BDFA5B8">
            <w:pPr>
              <w:keepNext w:val="0"/>
              <w:keepLines w:val="0"/>
              <w:suppressLineNumbers w:val="0"/>
              <w:adjustRightInd w:val="0"/>
              <w:snapToGrid w:val="0"/>
              <w:spacing w:before="0" w:beforeAutospacing="0" w:after="0" w:afterAutospacing="0"/>
              <w:ind w:left="0" w:right="0"/>
              <w:jc w:val="right"/>
              <w:rPr>
                <w:rFonts w:hint="default"/>
                <w:color w:val="auto"/>
                <w:sz w:val="24"/>
                <w:highlight w:val="none"/>
              </w:rPr>
            </w:pPr>
            <w:r>
              <w:rPr>
                <w:rFonts w:hint="default"/>
                <w:color w:val="auto"/>
                <w:sz w:val="24"/>
                <w:highlight w:val="none"/>
              </w:rPr>
              <w:t>内容</w:t>
            </w:r>
          </w:p>
          <w:p w14:paraId="4DE58193">
            <w:pPr>
              <w:keepNext w:val="0"/>
              <w:keepLines w:val="0"/>
              <w:suppressLineNumbers w:val="0"/>
              <w:adjustRightInd w:val="0"/>
              <w:snapToGrid w:val="0"/>
              <w:spacing w:before="0" w:beforeAutospacing="0" w:after="0" w:afterAutospacing="0"/>
              <w:ind w:left="0" w:right="0"/>
              <w:jc w:val="left"/>
              <w:rPr>
                <w:rFonts w:hint="default"/>
                <w:color w:val="auto"/>
                <w:sz w:val="24"/>
                <w:highlight w:val="none"/>
              </w:rPr>
            </w:pPr>
            <w:r>
              <w:rPr>
                <w:rFonts w:hint="default"/>
                <w:color w:val="auto"/>
                <w:sz w:val="24"/>
                <w:highlight w:val="none"/>
              </w:rPr>
              <w:t>要素</w:t>
            </w:r>
          </w:p>
        </w:tc>
        <w:tc>
          <w:tcPr>
            <w:tcW w:w="1696" w:type="dxa"/>
            <w:vAlign w:val="center"/>
          </w:tcPr>
          <w:p w14:paraId="78A8B672">
            <w:pPr>
              <w:keepNext w:val="0"/>
              <w:keepLines w:val="0"/>
              <w:suppressLineNumbers w:val="0"/>
              <w:adjustRightInd w:val="0"/>
              <w:snapToGrid w:val="0"/>
              <w:spacing w:before="0" w:beforeAutospacing="0" w:after="0" w:afterAutospacing="0"/>
              <w:ind w:left="0" w:right="0"/>
              <w:jc w:val="center"/>
              <w:rPr>
                <w:rFonts w:hint="default"/>
                <w:color w:val="auto"/>
                <w:sz w:val="24"/>
                <w:highlight w:val="none"/>
              </w:rPr>
            </w:pPr>
            <w:r>
              <w:rPr>
                <w:rFonts w:hint="default"/>
                <w:color w:val="auto"/>
                <w:sz w:val="24"/>
                <w:highlight w:val="none"/>
              </w:rPr>
              <w:t>排放口(编号、</w:t>
            </w:r>
          </w:p>
          <w:p w14:paraId="7B6C2FA4">
            <w:pPr>
              <w:keepNext w:val="0"/>
              <w:keepLines w:val="0"/>
              <w:suppressLineNumbers w:val="0"/>
              <w:adjustRightInd w:val="0"/>
              <w:snapToGrid w:val="0"/>
              <w:spacing w:before="0" w:beforeAutospacing="0" w:after="0" w:afterAutospacing="0"/>
              <w:ind w:left="0" w:right="0"/>
              <w:jc w:val="center"/>
              <w:rPr>
                <w:rFonts w:hint="default"/>
                <w:color w:val="auto"/>
                <w:sz w:val="24"/>
                <w:highlight w:val="none"/>
              </w:rPr>
            </w:pPr>
            <w:r>
              <w:rPr>
                <w:rFonts w:hint="default"/>
                <w:color w:val="auto"/>
                <w:sz w:val="24"/>
                <w:highlight w:val="none"/>
              </w:rPr>
              <w:t>名称)/污染源</w:t>
            </w:r>
          </w:p>
        </w:tc>
        <w:tc>
          <w:tcPr>
            <w:tcW w:w="1435" w:type="dxa"/>
            <w:vAlign w:val="center"/>
          </w:tcPr>
          <w:p w14:paraId="006CAD14">
            <w:pPr>
              <w:keepNext w:val="0"/>
              <w:keepLines w:val="0"/>
              <w:suppressLineNumbers w:val="0"/>
              <w:adjustRightInd w:val="0"/>
              <w:snapToGrid w:val="0"/>
              <w:spacing w:before="0" w:beforeAutospacing="0" w:after="0" w:afterAutospacing="0"/>
              <w:ind w:left="0" w:right="0"/>
              <w:jc w:val="center"/>
              <w:rPr>
                <w:rFonts w:hint="default"/>
                <w:color w:val="auto"/>
                <w:sz w:val="24"/>
                <w:highlight w:val="none"/>
              </w:rPr>
            </w:pPr>
            <w:r>
              <w:rPr>
                <w:rFonts w:hint="default"/>
                <w:color w:val="auto"/>
                <w:sz w:val="24"/>
                <w:highlight w:val="none"/>
              </w:rPr>
              <w:t>污染物项目</w:t>
            </w:r>
          </w:p>
        </w:tc>
        <w:tc>
          <w:tcPr>
            <w:tcW w:w="1505" w:type="dxa"/>
            <w:vAlign w:val="center"/>
          </w:tcPr>
          <w:p w14:paraId="64388D8A">
            <w:pPr>
              <w:keepNext w:val="0"/>
              <w:keepLines w:val="0"/>
              <w:suppressLineNumbers w:val="0"/>
              <w:adjustRightInd w:val="0"/>
              <w:snapToGrid w:val="0"/>
              <w:spacing w:before="0" w:beforeAutospacing="0" w:after="0" w:afterAutospacing="0"/>
              <w:ind w:left="0" w:right="0"/>
              <w:jc w:val="center"/>
              <w:rPr>
                <w:rFonts w:hint="default"/>
                <w:color w:val="auto"/>
                <w:sz w:val="24"/>
                <w:highlight w:val="none"/>
              </w:rPr>
            </w:pPr>
            <w:r>
              <w:rPr>
                <w:rFonts w:hint="default"/>
                <w:color w:val="auto"/>
                <w:sz w:val="24"/>
                <w:highlight w:val="none"/>
              </w:rPr>
              <w:t>环境保护措施</w:t>
            </w:r>
          </w:p>
        </w:tc>
        <w:tc>
          <w:tcPr>
            <w:tcW w:w="2922" w:type="dxa"/>
            <w:vAlign w:val="center"/>
          </w:tcPr>
          <w:p w14:paraId="689AC697">
            <w:pPr>
              <w:keepNext w:val="0"/>
              <w:keepLines w:val="0"/>
              <w:suppressLineNumbers w:val="0"/>
              <w:adjustRightInd w:val="0"/>
              <w:snapToGrid w:val="0"/>
              <w:spacing w:before="0" w:beforeAutospacing="0" w:after="0" w:afterAutospacing="0"/>
              <w:ind w:left="0" w:right="0"/>
              <w:jc w:val="center"/>
              <w:rPr>
                <w:rFonts w:hint="default"/>
                <w:color w:val="auto"/>
                <w:sz w:val="24"/>
                <w:highlight w:val="none"/>
              </w:rPr>
            </w:pPr>
            <w:r>
              <w:rPr>
                <w:rFonts w:hint="default"/>
                <w:color w:val="auto"/>
                <w:sz w:val="24"/>
                <w:highlight w:val="none"/>
              </w:rPr>
              <w:t>执行标准</w:t>
            </w:r>
          </w:p>
        </w:tc>
      </w:tr>
      <w:tr w14:paraId="30D6C3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2" w:hRule="atLeast"/>
          <w:jc w:val="center"/>
        </w:trPr>
        <w:tc>
          <w:tcPr>
            <w:tcW w:w="1242" w:type="dxa"/>
            <w:vAlign w:val="center"/>
          </w:tcPr>
          <w:p w14:paraId="16D2B43F">
            <w:pPr>
              <w:keepNext w:val="0"/>
              <w:keepLines w:val="0"/>
              <w:suppressLineNumbers w:val="0"/>
              <w:adjustRightInd w:val="0"/>
              <w:snapToGrid w:val="0"/>
              <w:spacing w:before="0" w:beforeAutospacing="0" w:after="0" w:afterAutospacing="0"/>
              <w:ind w:left="0" w:right="0"/>
              <w:jc w:val="center"/>
              <w:rPr>
                <w:rFonts w:hint="default"/>
                <w:color w:val="auto"/>
                <w:highlight w:val="none"/>
              </w:rPr>
            </w:pPr>
            <w:r>
              <w:rPr>
                <w:rFonts w:hint="default"/>
                <w:color w:val="auto"/>
                <w:szCs w:val="21"/>
                <w:highlight w:val="none"/>
              </w:rPr>
              <w:t>大气环境</w:t>
            </w:r>
          </w:p>
        </w:tc>
        <w:tc>
          <w:tcPr>
            <w:tcW w:w="1696" w:type="dxa"/>
            <w:vAlign w:val="center"/>
          </w:tcPr>
          <w:p w14:paraId="2C59897D">
            <w:pPr>
              <w:keepNext w:val="0"/>
              <w:keepLines w:val="0"/>
              <w:suppressLineNumbers w:val="0"/>
              <w:adjustRightInd w:val="0"/>
              <w:snapToGrid w:val="0"/>
              <w:spacing w:before="0" w:beforeAutospacing="0" w:after="0" w:afterAutospacing="0"/>
              <w:ind w:left="0" w:right="0"/>
              <w:jc w:val="center"/>
              <w:rPr>
                <w:rFonts w:hint="default"/>
                <w:color w:val="auto"/>
                <w:highlight w:val="none"/>
              </w:rPr>
            </w:pPr>
            <w:r>
              <w:rPr>
                <w:rFonts w:hint="eastAsia"/>
                <w:color w:val="auto"/>
                <w:highlight w:val="none"/>
              </w:rPr>
              <w:t>厂界</w:t>
            </w:r>
          </w:p>
        </w:tc>
        <w:tc>
          <w:tcPr>
            <w:tcW w:w="1435" w:type="dxa"/>
            <w:vAlign w:val="center"/>
          </w:tcPr>
          <w:p w14:paraId="01FC4785">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颗粒物</w:t>
            </w:r>
          </w:p>
        </w:tc>
        <w:tc>
          <w:tcPr>
            <w:tcW w:w="1505" w:type="dxa"/>
            <w:vAlign w:val="center"/>
          </w:tcPr>
          <w:p w14:paraId="46507B41">
            <w:pPr>
              <w:keepNext w:val="0"/>
              <w:keepLines w:val="0"/>
              <w:suppressLineNumbers w:val="0"/>
              <w:adjustRightInd w:val="0"/>
              <w:snapToGrid w:val="0"/>
              <w:spacing w:before="0" w:beforeAutospacing="0" w:after="0" w:afterAutospacing="0"/>
              <w:ind w:left="0" w:right="0"/>
              <w:jc w:val="center"/>
              <w:rPr>
                <w:rFonts w:hint="eastAsia" w:eastAsia="宋体"/>
                <w:color w:val="auto"/>
                <w:szCs w:val="21"/>
                <w:highlight w:val="none"/>
                <w:lang w:eastAsia="zh-CN"/>
              </w:rPr>
            </w:pPr>
            <w:r>
              <w:rPr>
                <w:rFonts w:hint="eastAsia"/>
                <w:color w:val="auto"/>
                <w:szCs w:val="21"/>
                <w:highlight w:val="none"/>
                <w:lang w:eastAsia="zh-CN"/>
              </w:rPr>
              <w:t>经</w:t>
            </w:r>
            <w:r>
              <w:rPr>
                <w:rFonts w:hint="eastAsia"/>
                <w:color w:val="auto"/>
                <w:szCs w:val="21"/>
                <w:highlight w:val="none"/>
                <w:lang w:val="en-US" w:eastAsia="zh-CN"/>
              </w:rPr>
              <w:t>环保抛光打磨湿式</w:t>
            </w:r>
            <w:r>
              <w:rPr>
                <w:rFonts w:hint="eastAsia"/>
                <w:color w:val="auto"/>
                <w:szCs w:val="21"/>
                <w:highlight w:val="none"/>
                <w:lang w:eastAsia="zh-CN"/>
              </w:rPr>
              <w:t>湿式一体机处理后车间内无组织排放</w:t>
            </w:r>
          </w:p>
        </w:tc>
        <w:tc>
          <w:tcPr>
            <w:tcW w:w="2922" w:type="dxa"/>
            <w:vAlign w:val="center"/>
          </w:tcPr>
          <w:p w14:paraId="18954077">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eastAsia"/>
                <w:color w:val="auto"/>
                <w:szCs w:val="21"/>
                <w:highlight w:val="none"/>
              </w:rPr>
              <w:t>《</w:t>
            </w:r>
            <w:r>
              <w:rPr>
                <w:rFonts w:hint="eastAsia"/>
                <w:color w:val="auto"/>
                <w:szCs w:val="21"/>
                <w:highlight w:val="none"/>
                <w:lang w:eastAsia="zh-CN"/>
              </w:rPr>
              <w:t>大气</w:t>
            </w:r>
            <w:r>
              <w:rPr>
                <w:rFonts w:hint="default"/>
                <w:color w:val="auto"/>
                <w:szCs w:val="21"/>
                <w:highlight w:val="none"/>
              </w:rPr>
              <w:t>污染物</w:t>
            </w:r>
            <w:r>
              <w:rPr>
                <w:rFonts w:hint="eastAsia"/>
                <w:color w:val="auto"/>
                <w:szCs w:val="21"/>
                <w:highlight w:val="none"/>
                <w:lang w:eastAsia="zh-CN"/>
              </w:rPr>
              <w:t>综合</w:t>
            </w:r>
            <w:r>
              <w:rPr>
                <w:rFonts w:hint="default"/>
                <w:color w:val="auto"/>
                <w:szCs w:val="21"/>
                <w:highlight w:val="none"/>
              </w:rPr>
              <w:t>排放标准</w:t>
            </w:r>
            <w:r>
              <w:rPr>
                <w:rFonts w:hint="eastAsia"/>
                <w:color w:val="auto"/>
                <w:szCs w:val="21"/>
                <w:highlight w:val="none"/>
              </w:rPr>
              <w:t>》</w:t>
            </w:r>
            <w:r>
              <w:rPr>
                <w:rFonts w:hint="default"/>
                <w:color w:val="auto"/>
                <w:szCs w:val="21"/>
                <w:highlight w:val="none"/>
              </w:rPr>
              <w:t>（GB</w:t>
            </w:r>
            <w:r>
              <w:rPr>
                <w:rFonts w:hint="eastAsia"/>
                <w:color w:val="auto"/>
                <w:szCs w:val="21"/>
                <w:highlight w:val="none"/>
                <w:lang w:val="en-US" w:eastAsia="zh-CN"/>
              </w:rPr>
              <w:t>16297</w:t>
            </w:r>
            <w:r>
              <w:rPr>
                <w:rFonts w:hint="default"/>
                <w:color w:val="auto"/>
                <w:szCs w:val="21"/>
                <w:highlight w:val="none"/>
              </w:rPr>
              <w:t>—</w:t>
            </w:r>
            <w:r>
              <w:rPr>
                <w:rFonts w:hint="eastAsia"/>
                <w:color w:val="auto"/>
                <w:szCs w:val="21"/>
                <w:highlight w:val="none"/>
                <w:lang w:val="en-US" w:eastAsia="zh-CN"/>
              </w:rPr>
              <w:t>1996</w:t>
            </w:r>
            <w:r>
              <w:rPr>
                <w:rFonts w:hint="default"/>
                <w:color w:val="auto"/>
                <w:szCs w:val="21"/>
                <w:highlight w:val="none"/>
              </w:rPr>
              <w:t>）表</w:t>
            </w:r>
            <w:r>
              <w:rPr>
                <w:rFonts w:hint="eastAsia"/>
                <w:color w:val="auto"/>
                <w:szCs w:val="21"/>
                <w:highlight w:val="none"/>
                <w:lang w:val="en-US" w:eastAsia="zh-CN"/>
              </w:rPr>
              <w:t>2</w:t>
            </w:r>
            <w:r>
              <w:rPr>
                <w:rFonts w:hint="default"/>
                <w:color w:val="auto"/>
                <w:szCs w:val="21"/>
                <w:highlight w:val="none"/>
              </w:rPr>
              <w:t>中厂界无组织排放限值要求</w:t>
            </w:r>
            <w:r>
              <w:rPr>
                <w:rFonts w:hint="eastAsia"/>
                <w:color w:val="auto"/>
                <w:szCs w:val="21"/>
                <w:highlight w:val="none"/>
                <w:lang w:eastAsia="zh-CN"/>
              </w:rPr>
              <w:t>、</w:t>
            </w:r>
            <w:r>
              <w:rPr>
                <w:rFonts w:hint="eastAsia"/>
                <w:color w:val="auto"/>
                <w:szCs w:val="21"/>
                <w:highlight w:val="none"/>
                <w:lang w:val="en-US" w:eastAsia="zh-CN"/>
              </w:rPr>
              <w:t>同时执行</w:t>
            </w:r>
            <w:r>
              <w:rPr>
                <w:rFonts w:hint="eastAsia"/>
                <w:color w:val="auto"/>
                <w:szCs w:val="21"/>
                <w:highlight w:val="none"/>
              </w:rPr>
              <w:t>《秦皇岛市人民政府办公室关于执行钢铁等行业大气污染物排放特别要求的通知》（2021-10）中无组织排放浓度特别管控要求。</w:t>
            </w:r>
          </w:p>
        </w:tc>
      </w:tr>
      <w:tr w14:paraId="6FDFC8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42" w:type="dxa"/>
            <w:vAlign w:val="center"/>
          </w:tcPr>
          <w:p w14:paraId="7A306994">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地表水环境</w:t>
            </w:r>
          </w:p>
        </w:tc>
        <w:tc>
          <w:tcPr>
            <w:tcW w:w="1696" w:type="dxa"/>
            <w:shd w:val="clear" w:color="auto" w:fill="auto"/>
            <w:vAlign w:val="center"/>
          </w:tcPr>
          <w:p w14:paraId="2E4F5165">
            <w:pPr>
              <w:keepNext w:val="0"/>
              <w:keepLines w:val="0"/>
              <w:widowControl/>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污水排放口</w:t>
            </w:r>
          </w:p>
        </w:tc>
        <w:tc>
          <w:tcPr>
            <w:tcW w:w="1435" w:type="dxa"/>
            <w:shd w:val="clear" w:color="auto" w:fill="auto"/>
            <w:vAlign w:val="center"/>
          </w:tcPr>
          <w:p w14:paraId="33F268A2">
            <w:pPr>
              <w:keepNext w:val="0"/>
              <w:keepLines w:val="0"/>
              <w:widowControl/>
              <w:suppressLineNumbers w:val="0"/>
              <w:spacing w:before="0" w:beforeAutospacing="0" w:after="0" w:afterAutospacing="0"/>
              <w:ind w:left="0" w:right="0"/>
              <w:jc w:val="center"/>
              <w:rPr>
                <w:rFonts w:hint="default" w:eastAsia="宋体"/>
                <w:color w:val="auto"/>
                <w:szCs w:val="21"/>
                <w:highlight w:val="none"/>
                <w:lang w:val="en-US" w:eastAsia="zh-CN"/>
              </w:rPr>
            </w:pPr>
            <w:r>
              <w:rPr>
                <w:rFonts w:hint="default"/>
                <w:color w:val="auto"/>
                <w:szCs w:val="21"/>
                <w:highlight w:val="none"/>
              </w:rPr>
              <w:t>pH、SS、COD、</w:t>
            </w:r>
            <w:r>
              <w:rPr>
                <w:rFonts w:hint="eastAsia"/>
                <w:color w:val="auto"/>
                <w:szCs w:val="21"/>
                <w:highlight w:val="none"/>
                <w:lang w:val="en-US" w:eastAsia="zh-CN"/>
              </w:rPr>
              <w:t>石油类、</w:t>
            </w:r>
            <w:r>
              <w:rPr>
                <w:rFonts w:hint="default"/>
                <w:color w:val="auto"/>
                <w:szCs w:val="21"/>
                <w:highlight w:val="none"/>
              </w:rPr>
              <w:t>NH</w:t>
            </w:r>
            <w:r>
              <w:rPr>
                <w:rFonts w:hint="default"/>
                <w:color w:val="auto"/>
                <w:szCs w:val="21"/>
                <w:highlight w:val="none"/>
                <w:vertAlign w:val="subscript"/>
              </w:rPr>
              <w:t>3</w:t>
            </w:r>
            <w:r>
              <w:rPr>
                <w:rFonts w:hint="default"/>
                <w:color w:val="auto"/>
                <w:szCs w:val="21"/>
                <w:highlight w:val="none"/>
              </w:rPr>
              <w:t>-H</w:t>
            </w:r>
            <w:r>
              <w:rPr>
                <w:rFonts w:hint="eastAsia"/>
                <w:color w:val="auto"/>
                <w:szCs w:val="21"/>
                <w:highlight w:val="none"/>
                <w:lang w:eastAsia="zh-CN"/>
              </w:rPr>
              <w:t>、</w:t>
            </w:r>
            <w:r>
              <w:rPr>
                <w:rFonts w:hint="eastAsia"/>
                <w:color w:val="auto"/>
                <w:szCs w:val="21"/>
                <w:highlight w:val="none"/>
                <w:lang w:val="en-US" w:eastAsia="zh-CN"/>
              </w:rPr>
              <w:t>BOD</w:t>
            </w:r>
            <w:r>
              <w:rPr>
                <w:rFonts w:hint="eastAsia"/>
                <w:color w:val="auto"/>
                <w:szCs w:val="21"/>
                <w:highlight w:val="none"/>
                <w:vertAlign w:val="subscript"/>
                <w:lang w:val="en-US" w:eastAsia="zh-CN"/>
              </w:rPr>
              <w:t>5</w:t>
            </w:r>
            <w:r>
              <w:rPr>
                <w:rFonts w:hint="eastAsia"/>
                <w:color w:val="auto"/>
                <w:szCs w:val="21"/>
                <w:highlight w:val="none"/>
                <w:vertAlign w:val="baseline"/>
                <w:lang w:val="en-US" w:eastAsia="zh-CN"/>
              </w:rPr>
              <w:t>、动植物油、阴离子表面活性剂</w:t>
            </w:r>
          </w:p>
        </w:tc>
        <w:tc>
          <w:tcPr>
            <w:tcW w:w="1505" w:type="dxa"/>
            <w:shd w:val="clear" w:color="auto" w:fill="auto"/>
            <w:vAlign w:val="center"/>
          </w:tcPr>
          <w:p w14:paraId="75A4D9A1">
            <w:pPr>
              <w:keepNext w:val="0"/>
              <w:keepLines w:val="0"/>
              <w:widowControl/>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lang w:eastAsia="zh-CN"/>
              </w:rPr>
              <w:t>生产废水经“</w:t>
            </w:r>
            <w:r>
              <w:rPr>
                <w:rFonts w:hint="eastAsia"/>
                <w:color w:val="auto"/>
                <w:szCs w:val="21"/>
                <w:highlight w:val="none"/>
                <w:lang w:val="en-US" w:eastAsia="zh-CN"/>
              </w:rPr>
              <w:t>破乳-絮凝-沉淀</w:t>
            </w:r>
            <w:r>
              <w:rPr>
                <w:rFonts w:hint="eastAsia"/>
                <w:color w:val="auto"/>
                <w:szCs w:val="21"/>
                <w:highlight w:val="none"/>
                <w:lang w:eastAsia="zh-CN"/>
              </w:rPr>
              <w:t>”处理，生活污水</w:t>
            </w:r>
            <w:r>
              <w:rPr>
                <w:rFonts w:hint="default"/>
                <w:color w:val="auto"/>
                <w:szCs w:val="21"/>
                <w:highlight w:val="none"/>
              </w:rPr>
              <w:t>经厂区内化粪池处理后</w:t>
            </w:r>
            <w:r>
              <w:rPr>
                <w:rFonts w:hint="eastAsia"/>
                <w:color w:val="auto"/>
                <w:szCs w:val="21"/>
                <w:highlight w:val="none"/>
                <w:lang w:eastAsia="zh-CN"/>
              </w:rPr>
              <w:t>均排入</w:t>
            </w:r>
            <w:r>
              <w:rPr>
                <w:rFonts w:hint="default"/>
                <w:color w:val="auto"/>
                <w:szCs w:val="21"/>
                <w:highlight w:val="none"/>
              </w:rPr>
              <w:t>排入</w:t>
            </w:r>
            <w:r>
              <w:rPr>
                <w:rFonts w:hint="eastAsia" w:ascii="Times New Roman" w:hAnsi="Times New Roman" w:cs="Times New Roman"/>
                <w:bCs/>
                <w:color w:val="auto"/>
                <w:kern w:val="21"/>
                <w:highlight w:val="none"/>
                <w:lang w:val="en-US" w:eastAsia="zh-CN"/>
              </w:rPr>
              <w:t>秦皇岛市第三</w:t>
            </w:r>
            <w:r>
              <w:rPr>
                <w:rFonts w:hint="eastAsia"/>
                <w:color w:val="auto"/>
                <w:szCs w:val="21"/>
                <w:highlight w:val="none"/>
              </w:rPr>
              <w:t>污水处理厂</w:t>
            </w:r>
          </w:p>
        </w:tc>
        <w:tc>
          <w:tcPr>
            <w:tcW w:w="2922" w:type="dxa"/>
            <w:shd w:val="clear" w:color="auto" w:fill="auto"/>
            <w:vAlign w:val="center"/>
          </w:tcPr>
          <w:p w14:paraId="503DD9F7">
            <w:pPr>
              <w:keepNext w:val="0"/>
              <w:keepLines w:val="0"/>
              <w:widowControl/>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废水执行《污水综合排放标准》（GB 8978-1996）表4三级标准及</w:t>
            </w:r>
            <w:r>
              <w:rPr>
                <w:rFonts w:hint="eastAsia" w:ascii="Times New Roman" w:hAnsi="Times New Roman" w:cs="Times New Roman"/>
                <w:bCs/>
                <w:color w:val="auto"/>
                <w:kern w:val="21"/>
                <w:highlight w:val="none"/>
                <w:lang w:val="en-US" w:eastAsia="zh-CN"/>
              </w:rPr>
              <w:t>秦皇岛市第三</w:t>
            </w:r>
            <w:r>
              <w:rPr>
                <w:rFonts w:hint="eastAsia"/>
                <w:color w:val="auto"/>
                <w:szCs w:val="21"/>
                <w:highlight w:val="none"/>
              </w:rPr>
              <w:t>污水处理厂</w:t>
            </w:r>
            <w:r>
              <w:rPr>
                <w:rFonts w:hint="default"/>
                <w:color w:val="auto"/>
                <w:szCs w:val="21"/>
                <w:highlight w:val="none"/>
              </w:rPr>
              <w:t>收水标准</w:t>
            </w:r>
          </w:p>
        </w:tc>
      </w:tr>
      <w:tr w14:paraId="411016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42" w:type="dxa"/>
            <w:vAlign w:val="center"/>
          </w:tcPr>
          <w:p w14:paraId="772AF62B">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声环境</w:t>
            </w:r>
          </w:p>
        </w:tc>
        <w:tc>
          <w:tcPr>
            <w:tcW w:w="1696" w:type="dxa"/>
            <w:vAlign w:val="center"/>
          </w:tcPr>
          <w:p w14:paraId="4632CEED">
            <w:pPr>
              <w:keepNext w:val="0"/>
              <w:keepLines w:val="0"/>
              <w:suppressLineNumbers w:val="0"/>
              <w:adjustRightInd w:val="0"/>
              <w:snapToGrid w:val="0"/>
              <w:spacing w:before="0" w:beforeAutospacing="0" w:after="0" w:afterAutospacing="0"/>
              <w:ind w:left="0" w:right="0"/>
              <w:jc w:val="center"/>
              <w:rPr>
                <w:rFonts w:hint="eastAsia" w:eastAsia="宋体"/>
                <w:color w:val="auto"/>
                <w:szCs w:val="21"/>
                <w:highlight w:val="none"/>
                <w:lang w:eastAsia="zh-CN"/>
              </w:rPr>
            </w:pPr>
            <w:r>
              <w:rPr>
                <w:rFonts w:hint="default"/>
                <w:color w:val="auto"/>
                <w:szCs w:val="21"/>
                <w:highlight w:val="none"/>
              </w:rPr>
              <w:t>设备</w:t>
            </w:r>
            <w:r>
              <w:rPr>
                <w:rFonts w:hint="eastAsia"/>
                <w:color w:val="auto"/>
                <w:szCs w:val="21"/>
                <w:highlight w:val="none"/>
                <w:lang w:eastAsia="zh-CN"/>
              </w:rPr>
              <w:t>运行</w:t>
            </w:r>
          </w:p>
        </w:tc>
        <w:tc>
          <w:tcPr>
            <w:tcW w:w="1435" w:type="dxa"/>
            <w:vAlign w:val="center"/>
          </w:tcPr>
          <w:p w14:paraId="263924F4">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等效A声级</w:t>
            </w:r>
          </w:p>
        </w:tc>
        <w:tc>
          <w:tcPr>
            <w:tcW w:w="1505" w:type="dxa"/>
            <w:vAlign w:val="center"/>
          </w:tcPr>
          <w:p w14:paraId="794B69B9">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基础减振、建筑隔声</w:t>
            </w:r>
          </w:p>
        </w:tc>
        <w:tc>
          <w:tcPr>
            <w:tcW w:w="2922" w:type="dxa"/>
            <w:vAlign w:val="center"/>
          </w:tcPr>
          <w:p w14:paraId="5D23CA2D">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《工业企业厂界环境噪声排放标准》（GB12348-2008）中的3类标准</w:t>
            </w:r>
          </w:p>
        </w:tc>
      </w:tr>
      <w:tr w14:paraId="659311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42" w:type="dxa"/>
            <w:vAlign w:val="center"/>
          </w:tcPr>
          <w:p w14:paraId="2147E3B6">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电磁辐射</w:t>
            </w:r>
          </w:p>
        </w:tc>
        <w:tc>
          <w:tcPr>
            <w:tcW w:w="1696" w:type="dxa"/>
            <w:vAlign w:val="center"/>
          </w:tcPr>
          <w:p w14:paraId="5DF76ECB">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w:t>
            </w:r>
          </w:p>
        </w:tc>
        <w:tc>
          <w:tcPr>
            <w:tcW w:w="1435" w:type="dxa"/>
            <w:vAlign w:val="center"/>
          </w:tcPr>
          <w:p w14:paraId="78624BFE">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w:t>
            </w:r>
          </w:p>
        </w:tc>
        <w:tc>
          <w:tcPr>
            <w:tcW w:w="1505" w:type="dxa"/>
            <w:vAlign w:val="center"/>
          </w:tcPr>
          <w:p w14:paraId="6E0A3ED7">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w:t>
            </w:r>
          </w:p>
        </w:tc>
        <w:tc>
          <w:tcPr>
            <w:tcW w:w="2922" w:type="dxa"/>
            <w:vAlign w:val="center"/>
          </w:tcPr>
          <w:p w14:paraId="1A19A9C8">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w:t>
            </w:r>
          </w:p>
        </w:tc>
      </w:tr>
      <w:tr w14:paraId="0F7043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242" w:type="dxa"/>
            <w:vAlign w:val="center"/>
          </w:tcPr>
          <w:p w14:paraId="5621D5BB">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固体废物</w:t>
            </w:r>
          </w:p>
        </w:tc>
        <w:tc>
          <w:tcPr>
            <w:tcW w:w="7558" w:type="dxa"/>
            <w:gridSpan w:val="4"/>
            <w:vAlign w:val="center"/>
          </w:tcPr>
          <w:p w14:paraId="507B49A2">
            <w:pPr>
              <w:keepNext w:val="0"/>
              <w:keepLines w:val="0"/>
              <w:suppressLineNumbers w:val="0"/>
              <w:adjustRightInd w:val="0"/>
              <w:snapToGrid w:val="0"/>
              <w:spacing w:before="0" w:beforeAutospacing="0" w:after="0" w:afterAutospacing="0"/>
              <w:ind w:left="0" w:right="0"/>
              <w:jc w:val="left"/>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一般工业固体废物：</w:t>
            </w:r>
            <w:r>
              <w:rPr>
                <w:rFonts w:hint="eastAsia" w:cs="Times New Roman"/>
                <w:color w:val="auto"/>
                <w:kern w:val="2"/>
                <w:sz w:val="21"/>
                <w:szCs w:val="21"/>
                <w:highlight w:val="none"/>
                <w:lang w:val="en-US" w:eastAsia="zh-CN" w:bidi="ar-SA"/>
              </w:rPr>
              <w:t>废砂布、废麻轮、废布轮、废研磨片、废包装物、废滤布统一收集后交环卫部门处理</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沉泥、除尘灰统一收集后外售</w:t>
            </w:r>
            <w:r>
              <w:rPr>
                <w:rFonts w:hint="eastAsia" w:ascii="Times New Roman" w:hAnsi="Times New Roman" w:eastAsia="宋体" w:cs="Times New Roman"/>
                <w:color w:val="auto"/>
                <w:kern w:val="2"/>
                <w:sz w:val="21"/>
                <w:szCs w:val="21"/>
                <w:highlight w:val="none"/>
                <w:lang w:val="en-US" w:eastAsia="zh-CN" w:bidi="ar-SA"/>
              </w:rPr>
              <w:t>。</w:t>
            </w:r>
          </w:p>
          <w:p w14:paraId="074C06C5">
            <w:pPr>
              <w:keepNext w:val="0"/>
              <w:keepLines w:val="0"/>
              <w:suppressLineNumbers w:val="0"/>
              <w:adjustRightInd w:val="0"/>
              <w:snapToGrid w:val="0"/>
              <w:spacing w:before="0" w:beforeAutospacing="0" w:after="0" w:afterAutospacing="0"/>
              <w:ind w:left="0" w:right="0"/>
              <w:jc w:val="left"/>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危险废物：</w:t>
            </w:r>
            <w:r>
              <w:rPr>
                <w:rFonts w:hint="eastAsia" w:ascii="Times New Roman" w:hAnsi="Times New Roman" w:eastAsia="宋体" w:cs="Times New Roman"/>
                <w:color w:val="auto"/>
                <w:kern w:val="2"/>
                <w:sz w:val="21"/>
                <w:szCs w:val="21"/>
                <w:highlight w:val="none"/>
                <w:lang w:val="en-US" w:eastAsia="zh-CN" w:bidi="ar-SA"/>
              </w:rPr>
              <w:t>废润滑油、</w:t>
            </w:r>
            <w:r>
              <w:rPr>
                <w:rFonts w:hint="eastAsia" w:cs="Times New Roman"/>
                <w:color w:val="auto"/>
                <w:kern w:val="2"/>
                <w:sz w:val="21"/>
                <w:szCs w:val="21"/>
                <w:highlight w:val="none"/>
                <w:lang w:val="en-US" w:eastAsia="zh-CN" w:bidi="ar-SA"/>
              </w:rPr>
              <w:t>废润滑油桶、废机油、废机油桶、</w:t>
            </w:r>
            <w:r>
              <w:rPr>
                <w:rFonts w:hint="eastAsia"/>
                <w:color w:val="auto"/>
                <w:sz w:val="21"/>
                <w:szCs w:val="21"/>
                <w:highlight w:val="none"/>
                <w:lang w:val="en-US" w:eastAsia="zh-CN"/>
              </w:rPr>
              <w:t>废铅酸电池</w:t>
            </w:r>
            <w:r>
              <w:rPr>
                <w:rFonts w:hint="eastAsia" w:ascii="Times New Roman" w:hAnsi="Times New Roman" w:eastAsia="宋体" w:cs="Times New Roman"/>
                <w:color w:val="auto"/>
                <w:kern w:val="2"/>
                <w:sz w:val="21"/>
                <w:szCs w:val="21"/>
                <w:highlight w:val="none"/>
                <w:lang w:val="en-US" w:eastAsia="zh-CN" w:bidi="ar-SA"/>
              </w:rPr>
              <w:t>属于危险废物，危废间暂存后委托有资质单位进行处理。</w:t>
            </w:r>
          </w:p>
          <w:p w14:paraId="6B113D79">
            <w:pPr>
              <w:keepNext w:val="0"/>
              <w:keepLines w:val="0"/>
              <w:suppressLineNumbers w:val="0"/>
              <w:adjustRightInd w:val="0"/>
              <w:snapToGrid w:val="0"/>
              <w:spacing w:before="0" w:beforeAutospacing="0" w:after="0" w:afterAutospacing="0"/>
              <w:ind w:left="0" w:right="0"/>
              <w:jc w:val="left"/>
              <w:rPr>
                <w:rFonts w:hint="default"/>
                <w:color w:val="auto"/>
                <w:szCs w:val="21"/>
                <w:highlight w:val="none"/>
              </w:rPr>
            </w:pPr>
            <w:r>
              <w:rPr>
                <w:rFonts w:hint="eastAsia" w:ascii="Times New Roman" w:hAnsi="Times New Roman" w:eastAsia="宋体" w:cs="Times New Roman"/>
                <w:color w:val="auto"/>
                <w:kern w:val="2"/>
                <w:sz w:val="21"/>
                <w:szCs w:val="21"/>
                <w:highlight w:val="none"/>
                <w:lang w:val="en-US" w:eastAsia="zh-CN" w:bidi="ar-SA"/>
              </w:rPr>
              <w:t>生活垃圾由环卫部门统一收集处置。</w:t>
            </w:r>
          </w:p>
        </w:tc>
      </w:tr>
      <w:tr w14:paraId="097F74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242" w:type="dxa"/>
            <w:vAlign w:val="center"/>
          </w:tcPr>
          <w:p w14:paraId="60D2634B">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土壤及地下水污染防治措施</w:t>
            </w:r>
          </w:p>
        </w:tc>
        <w:tc>
          <w:tcPr>
            <w:tcW w:w="7558" w:type="dxa"/>
            <w:gridSpan w:val="4"/>
            <w:vAlign w:val="center"/>
          </w:tcPr>
          <w:p w14:paraId="0238264B">
            <w:pPr>
              <w:pStyle w:val="29"/>
              <w:keepNext w:val="0"/>
              <w:keepLines w:val="0"/>
              <w:suppressLineNumbers w:val="0"/>
              <w:adjustRightInd w:val="0"/>
              <w:snapToGrid w:val="0"/>
              <w:spacing w:before="0" w:beforeAutospacing="0" w:after="0" w:afterAutospacing="0"/>
              <w:ind w:left="0" w:right="0"/>
              <w:rPr>
                <w:rFonts w:hint="default"/>
                <w:color w:val="auto"/>
                <w:szCs w:val="21"/>
                <w:highlight w:val="none"/>
              </w:rPr>
            </w:pPr>
            <w:r>
              <w:rPr>
                <w:rFonts w:hint="eastAsia"/>
                <w:color w:val="auto"/>
                <w:szCs w:val="21"/>
                <w:highlight w:val="none"/>
              </w:rPr>
              <w:t>重点防渗区：危废间，</w:t>
            </w:r>
            <w:r>
              <w:rPr>
                <w:rFonts w:hint="default"/>
                <w:color w:val="auto"/>
                <w:szCs w:val="21"/>
                <w:highlight w:val="none"/>
              </w:rPr>
              <w:t>基础必须防渗，防渗层至少1m厚粘土层（渗透系数≤1×10</w:t>
            </w:r>
            <w:r>
              <w:rPr>
                <w:rFonts w:hint="default"/>
                <w:color w:val="auto"/>
                <w:szCs w:val="21"/>
                <w:highlight w:val="none"/>
                <w:vertAlign w:val="superscript"/>
              </w:rPr>
              <w:t>-10</w:t>
            </w:r>
            <w:r>
              <w:rPr>
                <w:rFonts w:hint="default"/>
                <w:color w:val="auto"/>
                <w:szCs w:val="21"/>
                <w:highlight w:val="none"/>
              </w:rPr>
              <w:t>cm/s），或2mm厚高密度聚乙烯，或至少2mm厚的其它人工材料，渗透系数≤1×10</w:t>
            </w:r>
            <w:r>
              <w:rPr>
                <w:rFonts w:hint="default"/>
                <w:color w:val="auto"/>
                <w:szCs w:val="21"/>
                <w:highlight w:val="none"/>
                <w:vertAlign w:val="superscript"/>
              </w:rPr>
              <w:t>-10</w:t>
            </w:r>
            <w:r>
              <w:rPr>
                <w:rFonts w:hint="default"/>
                <w:color w:val="auto"/>
                <w:szCs w:val="21"/>
                <w:highlight w:val="none"/>
              </w:rPr>
              <w:t>cm/s</w:t>
            </w:r>
            <w:r>
              <w:rPr>
                <w:rFonts w:hint="eastAsia"/>
                <w:color w:val="auto"/>
                <w:szCs w:val="21"/>
                <w:highlight w:val="none"/>
              </w:rPr>
              <w:t>。</w:t>
            </w:r>
          </w:p>
          <w:p w14:paraId="3F21A9E4">
            <w:pPr>
              <w:keepNext w:val="0"/>
              <w:keepLines w:val="0"/>
              <w:suppressLineNumbers w:val="0"/>
              <w:adjustRightInd w:val="0"/>
              <w:snapToGrid w:val="0"/>
              <w:spacing w:before="0" w:beforeAutospacing="0" w:after="0" w:afterAutospacing="0"/>
              <w:ind w:left="0" w:right="0"/>
              <w:rPr>
                <w:rFonts w:hint="default"/>
                <w:color w:val="auto"/>
                <w:szCs w:val="21"/>
                <w:highlight w:val="none"/>
              </w:rPr>
            </w:pPr>
            <w:r>
              <w:rPr>
                <w:rFonts w:hint="eastAsia"/>
                <w:color w:val="auto"/>
                <w:szCs w:val="21"/>
                <w:highlight w:val="none"/>
              </w:rPr>
              <w:t>一般防渗区：车间地面：</w:t>
            </w:r>
            <w:r>
              <w:rPr>
                <w:rFonts w:hint="default"/>
                <w:color w:val="auto"/>
                <w:szCs w:val="21"/>
                <w:highlight w:val="none"/>
              </w:rPr>
              <w:t>地面防渗层可采用抗渗混凝土（抗渗等级≥P6）或其它防渗性能等效的材料</w:t>
            </w:r>
            <w:r>
              <w:rPr>
                <w:rFonts w:hint="eastAsia"/>
                <w:color w:val="auto"/>
                <w:szCs w:val="21"/>
                <w:highlight w:val="none"/>
              </w:rPr>
              <w:t>。</w:t>
            </w:r>
          </w:p>
        </w:tc>
      </w:tr>
      <w:tr w14:paraId="56048E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1242" w:type="dxa"/>
            <w:vAlign w:val="center"/>
          </w:tcPr>
          <w:p w14:paraId="79B1FA86">
            <w:pPr>
              <w:keepNext w:val="0"/>
              <w:keepLines w:val="0"/>
              <w:suppressLineNumbers w:val="0"/>
              <w:adjustRightInd w:val="0"/>
              <w:snapToGrid w:val="0"/>
              <w:spacing w:before="0" w:beforeAutospacing="0" w:after="0" w:afterAutospacing="0"/>
              <w:ind w:left="0" w:right="0"/>
              <w:jc w:val="center"/>
              <w:rPr>
                <w:rFonts w:hint="default"/>
                <w:color w:val="auto"/>
                <w:szCs w:val="21"/>
                <w:highlight w:val="none"/>
              </w:rPr>
            </w:pPr>
            <w:r>
              <w:rPr>
                <w:rFonts w:hint="default"/>
                <w:color w:val="auto"/>
                <w:szCs w:val="21"/>
                <w:highlight w:val="none"/>
              </w:rPr>
              <w:t>生态保护措施</w:t>
            </w:r>
          </w:p>
        </w:tc>
        <w:tc>
          <w:tcPr>
            <w:tcW w:w="7558" w:type="dxa"/>
            <w:gridSpan w:val="4"/>
            <w:vAlign w:val="center"/>
          </w:tcPr>
          <w:p w14:paraId="3BE4DD24">
            <w:pPr>
              <w:keepNext w:val="0"/>
              <w:keepLines w:val="0"/>
              <w:suppressLineNumbers w:val="0"/>
              <w:adjustRightInd w:val="0"/>
              <w:snapToGrid w:val="0"/>
              <w:spacing w:before="0" w:beforeAutospacing="0" w:after="0" w:afterAutospacing="0" w:line="480" w:lineRule="exact"/>
              <w:ind w:left="0" w:right="0"/>
              <w:jc w:val="left"/>
              <w:rPr>
                <w:rFonts w:hint="default"/>
                <w:color w:val="auto"/>
                <w:szCs w:val="21"/>
                <w:highlight w:val="none"/>
              </w:rPr>
            </w:pPr>
            <w:r>
              <w:rPr>
                <w:rFonts w:hint="eastAsia"/>
                <w:color w:val="auto"/>
                <w:szCs w:val="21"/>
                <w:highlight w:val="none"/>
              </w:rPr>
              <w:t>本项目租用现有厂房建设，不会对周边生态环境造成破坏。</w:t>
            </w:r>
          </w:p>
        </w:tc>
      </w:tr>
      <w:tr w14:paraId="1EB935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14" w:hRule="atLeast"/>
          <w:jc w:val="center"/>
        </w:trPr>
        <w:tc>
          <w:tcPr>
            <w:tcW w:w="1242" w:type="dxa"/>
            <w:vAlign w:val="center"/>
          </w:tcPr>
          <w:p w14:paraId="07E1C868">
            <w:pPr>
              <w:keepNext w:val="0"/>
              <w:keepLines w:val="0"/>
              <w:suppressLineNumbers w:val="0"/>
              <w:adjustRightInd w:val="0"/>
              <w:snapToGrid w:val="0"/>
              <w:spacing w:before="0" w:beforeAutospacing="0" w:after="0" w:afterAutospacing="0"/>
              <w:ind w:left="0" w:right="0"/>
              <w:jc w:val="center"/>
              <w:rPr>
                <w:rFonts w:hint="default"/>
                <w:color w:val="auto"/>
                <w:spacing w:val="-8"/>
                <w:szCs w:val="21"/>
                <w:highlight w:val="none"/>
              </w:rPr>
            </w:pPr>
            <w:r>
              <w:rPr>
                <w:rFonts w:hint="default"/>
                <w:color w:val="auto"/>
                <w:spacing w:val="-8"/>
                <w:szCs w:val="21"/>
                <w:highlight w:val="none"/>
              </w:rPr>
              <w:t>环境风险</w:t>
            </w:r>
          </w:p>
          <w:p w14:paraId="7BD1FD8B">
            <w:pPr>
              <w:keepNext w:val="0"/>
              <w:keepLines w:val="0"/>
              <w:suppressLineNumbers w:val="0"/>
              <w:adjustRightInd w:val="0"/>
              <w:snapToGrid w:val="0"/>
              <w:spacing w:before="0" w:beforeAutospacing="0" w:after="0" w:afterAutospacing="0"/>
              <w:ind w:left="0" w:right="0"/>
              <w:jc w:val="center"/>
              <w:rPr>
                <w:rFonts w:hint="default"/>
                <w:color w:val="auto"/>
                <w:spacing w:val="-8"/>
                <w:szCs w:val="21"/>
                <w:highlight w:val="none"/>
              </w:rPr>
            </w:pPr>
            <w:r>
              <w:rPr>
                <w:rFonts w:hint="default"/>
                <w:color w:val="auto"/>
                <w:spacing w:val="-8"/>
                <w:szCs w:val="21"/>
                <w:highlight w:val="none"/>
              </w:rPr>
              <w:t>防范措施</w:t>
            </w:r>
          </w:p>
        </w:tc>
        <w:tc>
          <w:tcPr>
            <w:tcW w:w="7558" w:type="dxa"/>
            <w:gridSpan w:val="4"/>
            <w:vAlign w:val="center"/>
          </w:tcPr>
          <w:p w14:paraId="7D11F63F">
            <w:pPr>
              <w:pStyle w:val="14"/>
              <w:keepNext w:val="0"/>
              <w:keepLines w:val="0"/>
              <w:suppressLineNumbers w:val="0"/>
              <w:adjustRightInd w:val="0"/>
              <w:snapToGrid w:val="0"/>
              <w:spacing w:before="0" w:beforeAutospacing="0" w:after="0" w:afterAutospacing="0"/>
              <w:ind w:left="0" w:leftChars="0" w:right="0"/>
              <w:rPr>
                <w:rFonts w:hint="default"/>
                <w:color w:val="auto"/>
                <w:spacing w:val="-2"/>
                <w:sz w:val="21"/>
                <w:szCs w:val="21"/>
                <w:highlight w:val="none"/>
              </w:rPr>
            </w:pPr>
            <w:r>
              <w:rPr>
                <w:rFonts w:hint="default"/>
                <w:color w:val="auto"/>
                <w:spacing w:val="-2"/>
                <w:sz w:val="21"/>
                <w:szCs w:val="21"/>
                <w:highlight w:val="none"/>
              </w:rPr>
              <w:t>（1）危废暂存间</w:t>
            </w:r>
          </w:p>
          <w:p w14:paraId="6328C3E6">
            <w:pPr>
              <w:pStyle w:val="14"/>
              <w:keepNext w:val="0"/>
              <w:keepLines w:val="0"/>
              <w:suppressLineNumbers w:val="0"/>
              <w:adjustRightInd w:val="0"/>
              <w:snapToGrid w:val="0"/>
              <w:spacing w:before="0" w:beforeAutospacing="0" w:after="0" w:afterAutospacing="0"/>
              <w:ind w:left="0" w:leftChars="0" w:right="0"/>
              <w:rPr>
                <w:rFonts w:hint="default"/>
                <w:color w:val="auto"/>
                <w:spacing w:val="-2"/>
                <w:sz w:val="21"/>
                <w:szCs w:val="21"/>
                <w:highlight w:val="none"/>
              </w:rPr>
            </w:pPr>
            <w:r>
              <w:rPr>
                <w:rFonts w:hint="default"/>
                <w:color w:val="auto"/>
                <w:spacing w:val="-2"/>
                <w:sz w:val="21"/>
                <w:szCs w:val="21"/>
                <w:highlight w:val="none"/>
              </w:rPr>
              <w:t>为防止废油泄漏的风险，本项目危险废物暂存间地面进行防腐防渗处理，危废贮存桶下设置防渗托盘，防渗系数≤10</w:t>
            </w:r>
            <w:r>
              <w:rPr>
                <w:rFonts w:hint="default"/>
                <w:color w:val="auto"/>
                <w:spacing w:val="-2"/>
                <w:sz w:val="21"/>
                <w:szCs w:val="21"/>
                <w:highlight w:val="none"/>
                <w:vertAlign w:val="superscript"/>
              </w:rPr>
              <w:t>-10</w:t>
            </w:r>
            <w:r>
              <w:rPr>
                <w:rFonts w:hint="default"/>
                <w:color w:val="auto"/>
                <w:spacing w:val="-2"/>
                <w:sz w:val="21"/>
                <w:szCs w:val="21"/>
                <w:highlight w:val="none"/>
              </w:rPr>
              <w:t>cm/s，建筑材料与危险废物性质相容；危险废物暂存间设置为密闭厂房，具有防风、防雨、防晒、防渗、防漏、防冲刷浸泡功能，危险废物暂存间按照《危险废物识别标志设置技术规范》 (HJ1276-2022)设置警示标志。</w:t>
            </w:r>
          </w:p>
          <w:p w14:paraId="7CAF3DF6">
            <w:pPr>
              <w:pStyle w:val="14"/>
              <w:keepNext w:val="0"/>
              <w:keepLines w:val="0"/>
              <w:suppressLineNumbers w:val="0"/>
              <w:adjustRightInd w:val="0"/>
              <w:snapToGrid w:val="0"/>
              <w:spacing w:before="0" w:beforeAutospacing="0" w:after="0" w:afterAutospacing="0"/>
              <w:ind w:left="0" w:leftChars="0" w:right="0"/>
              <w:rPr>
                <w:rFonts w:hint="default"/>
                <w:color w:val="auto"/>
                <w:spacing w:val="-2"/>
                <w:sz w:val="21"/>
                <w:szCs w:val="21"/>
                <w:highlight w:val="none"/>
              </w:rPr>
            </w:pPr>
            <w:r>
              <w:rPr>
                <w:rFonts w:hint="eastAsia"/>
                <w:color w:val="auto"/>
                <w:spacing w:val="-2"/>
                <w:sz w:val="21"/>
                <w:szCs w:val="21"/>
                <w:highlight w:val="none"/>
                <w:lang w:eastAsia="zh-CN"/>
              </w:rPr>
              <w:t>（</w:t>
            </w:r>
            <w:r>
              <w:rPr>
                <w:rFonts w:hint="eastAsia"/>
                <w:color w:val="auto"/>
                <w:spacing w:val="-2"/>
                <w:sz w:val="21"/>
                <w:szCs w:val="21"/>
                <w:highlight w:val="none"/>
                <w:lang w:val="en-US" w:eastAsia="zh-CN"/>
              </w:rPr>
              <w:t>2</w:t>
            </w:r>
            <w:r>
              <w:rPr>
                <w:rFonts w:hint="eastAsia"/>
                <w:color w:val="auto"/>
                <w:spacing w:val="-2"/>
                <w:sz w:val="21"/>
                <w:szCs w:val="21"/>
                <w:highlight w:val="none"/>
                <w:lang w:eastAsia="zh-CN"/>
              </w:rPr>
              <w:t>）</w:t>
            </w:r>
            <w:r>
              <w:rPr>
                <w:rFonts w:hint="default"/>
                <w:color w:val="auto"/>
                <w:spacing w:val="-2"/>
                <w:sz w:val="21"/>
                <w:szCs w:val="21"/>
                <w:highlight w:val="none"/>
              </w:rPr>
              <w:t>环境风险防范制度及应急预案</w:t>
            </w:r>
          </w:p>
          <w:p w14:paraId="3468CF06">
            <w:pPr>
              <w:pStyle w:val="14"/>
              <w:keepNext w:val="0"/>
              <w:keepLines w:val="0"/>
              <w:suppressLineNumbers w:val="0"/>
              <w:adjustRightInd w:val="0"/>
              <w:snapToGrid w:val="0"/>
              <w:spacing w:before="0" w:beforeAutospacing="0" w:after="0" w:afterAutospacing="0"/>
              <w:ind w:left="0" w:leftChars="0" w:right="0"/>
              <w:rPr>
                <w:rFonts w:hint="default"/>
                <w:color w:val="auto"/>
                <w:spacing w:val="-2"/>
                <w:sz w:val="21"/>
                <w:szCs w:val="21"/>
                <w:highlight w:val="none"/>
              </w:rPr>
            </w:pPr>
            <w:r>
              <w:rPr>
                <w:rFonts w:hint="default"/>
                <w:color w:val="auto"/>
                <w:spacing w:val="-2"/>
                <w:sz w:val="21"/>
                <w:szCs w:val="21"/>
                <w:highlight w:val="none"/>
              </w:rPr>
              <w:t>本项目针对环境风险事故拟采取多种防范措施，可将风险事故的概率降至较低的水平，但概率不会降为零，一旦发生事故仍需采取应急措施，控制和减少事故危害。因此应制度相关防范管理制度，制定各项环保制度；对从业人员进行岗位职工教 育与培训，使他们均具备危险意识及如何应对危险的知识，并进行相关泄漏事故的教育；设立应急事故专门记录，建立档案和报告制度，由专门部门或人员负责管理；执行环境风险事故报告制度，一经发现风险事故，立即向企业负责人报告，并由负责人按照事故程度，决定是否上报当地政府或上级有关部门报告，并且不瞒报、漏报，及时组织进行处置。具体负责人员或部门统一指挥对事故现场的应急救援，并立即查明原因，提出对策，及时组织各方面力量处理泄漏事故，控制事故的蔓延和扩大；项目建设单位应成立本厂的突发环境事件应急小组指挥部，责任到人，确保应急小组分工明确，以有效应对突发事件的发生。</w:t>
            </w:r>
          </w:p>
          <w:p w14:paraId="15077CC0">
            <w:pPr>
              <w:pStyle w:val="53"/>
              <w:keepNext w:val="0"/>
              <w:keepLines w:val="0"/>
              <w:suppressLineNumbers w:val="0"/>
              <w:spacing w:before="0" w:beforeAutospacing="0" w:after="0" w:afterAutospacing="0" w:line="240" w:lineRule="auto"/>
              <w:ind w:left="0" w:right="0" w:firstLine="0" w:firstLineChars="0"/>
              <w:jc w:val="left"/>
              <w:rPr>
                <w:rFonts w:hint="default"/>
                <w:color w:val="auto"/>
                <w:sz w:val="21"/>
                <w:szCs w:val="21"/>
                <w:highlight w:val="none"/>
              </w:rPr>
            </w:pPr>
            <w:r>
              <w:rPr>
                <w:rFonts w:hint="default"/>
                <w:color w:val="auto"/>
                <w:spacing w:val="-2"/>
                <w:sz w:val="21"/>
                <w:szCs w:val="21"/>
                <w:highlight w:val="none"/>
              </w:rPr>
              <w:t>根据《中华人民共和国突发事件应对法》、《企业事业单位突发环境事件应急预案备案管理办法 (试行) 》要求，企业应根据工程生产过程存在的风险事故类型，根据相关要求及时进行应急预案的编制。</w:t>
            </w:r>
          </w:p>
        </w:tc>
      </w:tr>
      <w:tr w14:paraId="5ABEE0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40" w:hRule="atLeast"/>
          <w:jc w:val="center"/>
        </w:trPr>
        <w:tc>
          <w:tcPr>
            <w:tcW w:w="1242" w:type="dxa"/>
            <w:vAlign w:val="center"/>
          </w:tcPr>
          <w:p w14:paraId="42584289">
            <w:pPr>
              <w:keepNext w:val="0"/>
              <w:keepLines w:val="0"/>
              <w:suppressLineNumbers w:val="0"/>
              <w:adjustRightInd w:val="0"/>
              <w:snapToGrid w:val="0"/>
              <w:spacing w:before="0" w:beforeAutospacing="0" w:after="0" w:afterAutospacing="0"/>
              <w:ind w:left="0" w:right="0"/>
              <w:jc w:val="center"/>
              <w:rPr>
                <w:rFonts w:hint="default"/>
                <w:color w:val="auto"/>
                <w:spacing w:val="-8"/>
                <w:szCs w:val="21"/>
                <w:highlight w:val="none"/>
              </w:rPr>
            </w:pPr>
            <w:r>
              <w:rPr>
                <w:rFonts w:hint="default"/>
                <w:color w:val="auto"/>
                <w:spacing w:val="-8"/>
                <w:szCs w:val="21"/>
                <w:highlight w:val="none"/>
              </w:rPr>
              <w:t>其他环境</w:t>
            </w:r>
          </w:p>
          <w:p w14:paraId="4EFD5AA2">
            <w:pPr>
              <w:keepNext w:val="0"/>
              <w:keepLines w:val="0"/>
              <w:suppressLineNumbers w:val="0"/>
              <w:adjustRightInd w:val="0"/>
              <w:snapToGrid w:val="0"/>
              <w:spacing w:before="0" w:beforeAutospacing="0" w:after="0" w:afterAutospacing="0"/>
              <w:ind w:left="0" w:right="0"/>
              <w:jc w:val="center"/>
              <w:rPr>
                <w:rFonts w:hint="default"/>
                <w:color w:val="auto"/>
                <w:spacing w:val="-8"/>
                <w:sz w:val="24"/>
                <w:highlight w:val="none"/>
              </w:rPr>
            </w:pPr>
            <w:r>
              <w:rPr>
                <w:rFonts w:hint="default"/>
                <w:color w:val="auto"/>
                <w:spacing w:val="-8"/>
                <w:szCs w:val="21"/>
                <w:highlight w:val="none"/>
              </w:rPr>
              <w:t>管理要求</w:t>
            </w:r>
          </w:p>
        </w:tc>
        <w:tc>
          <w:tcPr>
            <w:tcW w:w="7558" w:type="dxa"/>
            <w:gridSpan w:val="4"/>
            <w:vAlign w:val="center"/>
          </w:tcPr>
          <w:p w14:paraId="688AE306">
            <w:pPr>
              <w:keepNext w:val="0"/>
              <w:keepLines w:val="0"/>
              <w:suppressLineNumbers w:val="0"/>
              <w:spacing w:before="0" w:beforeAutospacing="0" w:after="0" w:afterAutospacing="0"/>
              <w:ind w:left="0" w:right="0"/>
              <w:jc w:val="left"/>
              <w:rPr>
                <w:rFonts w:hint="default"/>
                <w:color w:val="auto"/>
                <w:highlight w:val="none"/>
              </w:rPr>
            </w:pPr>
            <w:r>
              <w:rPr>
                <w:rFonts w:hint="default"/>
                <w:color w:val="auto"/>
                <w:highlight w:val="none"/>
              </w:rPr>
              <w:t>①排污口管理制度：按照《排污口规范化要求》设置便于采样、监测的采样口。采样口设置应符合《污染源监测技术规范》要求；必须按照国家标准《环境保护图形标志》（GB15562.1-1995）的规定。</w:t>
            </w:r>
          </w:p>
          <w:p w14:paraId="333445C8">
            <w:pPr>
              <w:keepNext w:val="0"/>
              <w:keepLines w:val="0"/>
              <w:suppressLineNumbers w:val="0"/>
              <w:spacing w:before="0" w:beforeAutospacing="0" w:after="0" w:afterAutospacing="0"/>
              <w:ind w:left="0" w:right="0"/>
              <w:jc w:val="left"/>
              <w:rPr>
                <w:rFonts w:hint="default"/>
                <w:color w:val="auto"/>
                <w:highlight w:val="none"/>
              </w:rPr>
            </w:pPr>
            <w:r>
              <w:rPr>
                <w:rFonts w:hint="default"/>
                <w:color w:val="auto"/>
                <w:highlight w:val="none"/>
              </w:rPr>
              <w:t>②环保管理制度：企业应制定环境保护规章制度，由专人负责，环保管理制度。</w:t>
            </w:r>
          </w:p>
          <w:p w14:paraId="7765D302">
            <w:pPr>
              <w:keepNext w:val="0"/>
              <w:keepLines w:val="0"/>
              <w:suppressLineNumbers w:val="0"/>
              <w:spacing w:before="0" w:beforeAutospacing="0" w:after="0" w:afterAutospacing="0"/>
              <w:ind w:left="0" w:right="0"/>
              <w:jc w:val="left"/>
              <w:rPr>
                <w:rFonts w:hint="default"/>
                <w:color w:val="auto"/>
                <w:highlight w:val="none"/>
              </w:rPr>
            </w:pPr>
            <w:r>
              <w:rPr>
                <w:rFonts w:hint="default"/>
                <w:color w:val="auto"/>
                <w:highlight w:val="none"/>
              </w:rPr>
              <w:t>③竣工验收制度：根据《建设项目竣工环境保护验收暂行办法》，建设项目配套建设的环境保护设施竣工后，公开竣工日期；对配套建设的环境保护设施进行调试前，公开调试的起止日期；验收报告编制完成后5个工作日内，公开验收报告，公示的期限不得少于20个工作日；建设单位公开上述信息的同时，应当向所在地县级以上环境保护主管部门报送相关信息，并接受监督检查。</w:t>
            </w:r>
          </w:p>
          <w:p w14:paraId="737B35DF">
            <w:pPr>
              <w:keepNext w:val="0"/>
              <w:keepLines w:val="0"/>
              <w:suppressLineNumbers w:val="0"/>
              <w:autoSpaceDE w:val="0"/>
              <w:autoSpaceDN w:val="0"/>
              <w:adjustRightInd w:val="0"/>
              <w:spacing w:before="0" w:beforeAutospacing="0" w:after="0" w:afterAutospacing="0"/>
              <w:ind w:left="0" w:right="0"/>
              <w:jc w:val="left"/>
              <w:rPr>
                <w:rFonts w:hint="default"/>
                <w:color w:val="auto"/>
                <w:highlight w:val="none"/>
              </w:rPr>
            </w:pPr>
            <w:r>
              <w:rPr>
                <w:rFonts w:hint="eastAsia"/>
                <w:color w:val="auto"/>
                <w:highlight w:val="none"/>
              </w:rPr>
              <w:t>④排污许可证</w:t>
            </w:r>
            <w:r>
              <w:rPr>
                <w:rFonts w:hint="default"/>
                <w:color w:val="auto"/>
                <w:highlight w:val="none"/>
              </w:rPr>
              <w:t>要求：</w:t>
            </w:r>
            <w:r>
              <w:rPr>
                <w:rFonts w:hint="eastAsia"/>
                <w:color w:val="auto"/>
                <w:highlight w:val="none"/>
              </w:rPr>
              <w:t>根据《固定污染源排污许可分类管理名录（2019年版）》中及时办理排污许可</w:t>
            </w:r>
            <w:r>
              <w:rPr>
                <w:rFonts w:hint="default"/>
                <w:color w:val="auto"/>
                <w:highlight w:val="none"/>
              </w:rPr>
              <w:t>。</w:t>
            </w:r>
          </w:p>
          <w:p w14:paraId="1A3189F3">
            <w:pPr>
              <w:keepNext w:val="0"/>
              <w:keepLines w:val="0"/>
              <w:suppressLineNumbers w:val="0"/>
              <w:autoSpaceDE w:val="0"/>
              <w:autoSpaceDN w:val="0"/>
              <w:adjustRightInd w:val="0"/>
              <w:spacing w:before="0" w:beforeAutospacing="0" w:after="0" w:afterAutospacing="0"/>
              <w:ind w:left="0" w:right="0"/>
              <w:jc w:val="left"/>
              <w:rPr>
                <w:rFonts w:hint="default"/>
                <w:color w:val="auto"/>
                <w:highlight w:val="none"/>
              </w:rPr>
            </w:pPr>
            <w:r>
              <w:rPr>
                <w:rFonts w:hint="eastAsia"/>
                <w:color w:val="auto"/>
                <w:highlight w:val="none"/>
              </w:rPr>
              <w:t>⑤</w:t>
            </w:r>
            <w:r>
              <w:rPr>
                <w:rFonts w:hint="eastAsia" w:cs="宋体"/>
                <w:bCs/>
                <w:color w:val="000000"/>
                <w:kern w:val="0"/>
                <w:szCs w:val="21"/>
                <w:highlight w:val="none"/>
              </w:rPr>
              <w:t>按照现行</w:t>
            </w:r>
            <w:r>
              <w:rPr>
                <w:rFonts w:hint="default"/>
                <w:color w:val="000000"/>
                <w:szCs w:val="22"/>
                <w:highlight w:val="none"/>
              </w:rPr>
              <w:t>《排污</w:t>
            </w:r>
            <w:r>
              <w:rPr>
                <w:rFonts w:hint="eastAsia"/>
                <w:color w:val="000000"/>
                <w:szCs w:val="22"/>
                <w:highlight w:val="none"/>
                <w:lang w:val="en-US" w:eastAsia="zh-CN"/>
              </w:rPr>
              <w:t>单位自行监测技术指南</w:t>
            </w:r>
            <w:r>
              <w:rPr>
                <w:rFonts w:hint="default"/>
                <w:color w:val="000000"/>
                <w:szCs w:val="22"/>
                <w:highlight w:val="none"/>
              </w:rPr>
              <w:t xml:space="preserve"> </w:t>
            </w:r>
            <w:r>
              <w:rPr>
                <w:rFonts w:hint="eastAsia"/>
                <w:color w:val="000000"/>
                <w:szCs w:val="22"/>
                <w:highlight w:val="none"/>
                <w:lang w:val="en-US" w:eastAsia="zh-CN"/>
              </w:rPr>
              <w:t>橡胶和塑料制品</w:t>
            </w:r>
            <w:r>
              <w:rPr>
                <w:rFonts w:hint="default"/>
                <w:color w:val="000000"/>
                <w:szCs w:val="22"/>
                <w:highlight w:val="none"/>
              </w:rPr>
              <w:t>》（HJ</w:t>
            </w:r>
            <w:r>
              <w:rPr>
                <w:rFonts w:hint="eastAsia"/>
                <w:color w:val="000000"/>
                <w:szCs w:val="22"/>
                <w:highlight w:val="none"/>
                <w:lang w:val="en-US" w:eastAsia="zh-CN"/>
              </w:rPr>
              <w:t>1207</w:t>
            </w:r>
            <w:r>
              <w:rPr>
                <w:rFonts w:hint="default"/>
                <w:color w:val="000000"/>
                <w:szCs w:val="22"/>
                <w:highlight w:val="none"/>
              </w:rPr>
              <w:t>-20</w:t>
            </w:r>
            <w:r>
              <w:rPr>
                <w:rFonts w:hint="eastAsia"/>
                <w:color w:val="000000"/>
                <w:szCs w:val="22"/>
                <w:highlight w:val="none"/>
              </w:rPr>
              <w:t>2</w:t>
            </w:r>
            <w:r>
              <w:rPr>
                <w:rFonts w:hint="eastAsia"/>
                <w:color w:val="000000"/>
                <w:szCs w:val="22"/>
                <w:highlight w:val="none"/>
                <w:lang w:val="en-US" w:eastAsia="zh-CN"/>
              </w:rPr>
              <w:t>1</w:t>
            </w:r>
            <w:r>
              <w:rPr>
                <w:rFonts w:hint="default"/>
                <w:color w:val="000000"/>
                <w:szCs w:val="22"/>
                <w:highlight w:val="none"/>
              </w:rPr>
              <w:t>）及《排污单位自行监测技术指南 总则》（HJ 819-2017）</w:t>
            </w:r>
            <w:r>
              <w:rPr>
                <w:rFonts w:hint="eastAsia"/>
                <w:color w:val="000000"/>
                <w:szCs w:val="22"/>
                <w:highlight w:val="none"/>
                <w:lang w:val="en-US" w:eastAsia="zh-CN"/>
              </w:rPr>
              <w:t>等</w:t>
            </w:r>
            <w:r>
              <w:rPr>
                <w:rFonts w:hint="default"/>
                <w:color w:val="000000"/>
                <w:szCs w:val="22"/>
                <w:highlight w:val="none"/>
              </w:rPr>
              <w:t>相关</w:t>
            </w:r>
            <w:r>
              <w:rPr>
                <w:rFonts w:hint="eastAsia"/>
                <w:color w:val="000000"/>
                <w:szCs w:val="22"/>
                <w:highlight w:val="none"/>
              </w:rPr>
              <w:t>检测频次</w:t>
            </w:r>
            <w:r>
              <w:rPr>
                <w:rFonts w:hint="default"/>
                <w:color w:val="000000"/>
                <w:szCs w:val="22"/>
                <w:highlight w:val="none"/>
              </w:rPr>
              <w:t>要求</w:t>
            </w:r>
            <w:r>
              <w:rPr>
                <w:rFonts w:hint="eastAsia"/>
                <w:color w:val="000000"/>
                <w:szCs w:val="22"/>
                <w:highlight w:val="none"/>
              </w:rPr>
              <w:t>制定全厂例行监测，并严格按照方案执行，并按技术规范填报排污许可执行报告和环境管理台账。</w:t>
            </w:r>
          </w:p>
          <w:p w14:paraId="6503B836">
            <w:pPr>
              <w:keepNext w:val="0"/>
              <w:keepLines w:val="0"/>
              <w:suppressLineNumbers w:val="0"/>
              <w:spacing w:before="0" w:beforeAutospacing="0" w:after="0" w:afterAutospacing="0"/>
              <w:ind w:left="0" w:right="0"/>
              <w:jc w:val="left"/>
              <w:rPr>
                <w:rFonts w:hint="eastAsia" w:eastAsia="宋体"/>
                <w:color w:val="auto"/>
                <w:highlight w:val="none"/>
                <w:lang w:eastAsia="zh-CN"/>
              </w:rPr>
            </w:pPr>
            <w:r>
              <w:rPr>
                <w:rFonts w:hint="default" w:ascii="Times New Roman" w:hAnsi="Times New Roman" w:eastAsia="宋体" w:cs="Times New Roman"/>
                <w:color w:val="auto"/>
                <w:highlight w:val="none"/>
              </w:rPr>
              <w:t>⑥</w:t>
            </w:r>
            <w:r>
              <w:rPr>
                <w:rFonts w:hint="eastAsia"/>
                <w:color w:val="auto"/>
                <w:szCs w:val="21"/>
                <w:highlight w:val="none"/>
              </w:rPr>
              <w:t>非道路移动机械</w:t>
            </w:r>
            <w:r>
              <w:rPr>
                <w:rFonts w:hint="eastAsia"/>
                <w:color w:val="auto"/>
                <w:szCs w:val="21"/>
                <w:highlight w:val="none"/>
                <w:lang w:val="en-US" w:eastAsia="zh-CN"/>
              </w:rPr>
              <w:t>按要求对尾气进行监测，</w:t>
            </w:r>
            <w:r>
              <w:rPr>
                <w:rFonts w:hint="eastAsia"/>
                <w:color w:val="auto"/>
                <w:szCs w:val="21"/>
                <w:highlight w:val="none"/>
              </w:rPr>
              <w:t>需满足</w:t>
            </w:r>
            <w:r>
              <w:rPr>
                <w:rFonts w:hint="eastAsia"/>
                <w:color w:val="auto"/>
                <w:szCs w:val="21"/>
                <w:highlight w:val="none"/>
                <w:lang w:val="en-US" w:eastAsia="zh-CN"/>
              </w:rPr>
              <w:t>要求的排放</w:t>
            </w:r>
            <w:r>
              <w:rPr>
                <w:rFonts w:hint="eastAsia"/>
                <w:color w:val="auto"/>
                <w:szCs w:val="21"/>
                <w:highlight w:val="none"/>
              </w:rPr>
              <w:t>标准</w:t>
            </w:r>
            <w:r>
              <w:rPr>
                <w:rFonts w:hint="eastAsia"/>
                <w:color w:val="auto"/>
                <w:szCs w:val="21"/>
                <w:highlight w:val="none"/>
                <w:lang w:eastAsia="zh-CN"/>
              </w:rPr>
              <w:t>。</w:t>
            </w:r>
          </w:p>
        </w:tc>
      </w:tr>
    </w:tbl>
    <w:p w14:paraId="67C9F691">
      <w:pPr>
        <w:pStyle w:val="31"/>
        <w:spacing w:before="0" w:beforeAutospacing="0" w:after="0" w:afterAutospacing="0"/>
        <w:ind w:firstLine="480" w:firstLineChars="200"/>
        <w:jc w:val="center"/>
        <w:outlineLvl w:val="0"/>
        <w:rPr>
          <w:rFonts w:ascii="黑体" w:hAnsi="黑体" w:eastAsia="黑体"/>
          <w:snapToGrid w:val="0"/>
          <w:color w:val="auto"/>
          <w:sz w:val="30"/>
          <w:szCs w:val="30"/>
          <w:highlight w:val="none"/>
        </w:rPr>
      </w:pPr>
      <w:r>
        <w:rPr>
          <w:snapToGrid w:val="0"/>
          <w:color w:val="auto"/>
          <w:highlight w:val="none"/>
        </w:rPr>
        <w:br w:type="page"/>
      </w:r>
      <w:bookmarkStart w:id="12" w:name="_Toc1301"/>
      <w:r>
        <w:rPr>
          <w:rFonts w:hint="eastAsia" w:ascii="黑体" w:hAnsi="黑体" w:eastAsia="黑体"/>
          <w:snapToGrid w:val="0"/>
          <w:color w:val="auto"/>
          <w:sz w:val="30"/>
          <w:szCs w:val="30"/>
          <w:highlight w:val="none"/>
        </w:rPr>
        <w:t>六、结论</w:t>
      </w:r>
      <w:bookmarkEnd w:id="12"/>
    </w:p>
    <w:tbl>
      <w:tblPr>
        <w:tblStyle w:val="3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54B1F9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6" w:hRule="atLeast"/>
          <w:jc w:val="center"/>
        </w:trPr>
        <w:tc>
          <w:tcPr>
            <w:tcW w:w="8865" w:type="dxa"/>
            <w:vAlign w:val="center"/>
          </w:tcPr>
          <w:p w14:paraId="4A04FC68">
            <w:pPr>
              <w:keepNext w:val="0"/>
              <w:keepLines w:val="0"/>
              <w:suppressLineNumbers w:val="0"/>
              <w:spacing w:before="0" w:beforeAutospacing="0" w:after="0" w:afterAutospacing="0" w:line="360" w:lineRule="auto"/>
              <w:ind w:left="0" w:right="0" w:firstLine="480" w:firstLineChars="200"/>
              <w:rPr>
                <w:rFonts w:hint="default"/>
                <w:color w:val="auto"/>
                <w:kern w:val="0"/>
                <w:sz w:val="24"/>
                <w:highlight w:val="none"/>
              </w:rPr>
            </w:pPr>
            <w:r>
              <w:rPr>
                <w:rFonts w:hint="default"/>
                <w:color w:val="auto"/>
                <w:kern w:val="0"/>
                <w:sz w:val="24"/>
                <w:highlight w:val="none"/>
              </w:rPr>
              <w:t>一、项目概况</w:t>
            </w:r>
          </w:p>
          <w:p w14:paraId="3C53F28E">
            <w:pPr>
              <w:keepNext w:val="0"/>
              <w:keepLines w:val="0"/>
              <w:suppressLineNumbers w:val="0"/>
              <w:spacing w:before="0" w:beforeAutospacing="0" w:after="0" w:afterAutospacing="0" w:line="360" w:lineRule="auto"/>
              <w:ind w:left="0" w:right="0" w:firstLine="480" w:firstLineChars="200"/>
              <w:rPr>
                <w:rFonts w:hint="eastAsia" w:eastAsia="宋体"/>
                <w:color w:val="auto"/>
                <w:sz w:val="24"/>
                <w:highlight w:val="none"/>
                <w:lang w:eastAsia="zh-CN"/>
              </w:rPr>
            </w:pPr>
            <w:r>
              <w:rPr>
                <w:rFonts w:hint="eastAsia"/>
                <w:color w:val="auto"/>
                <w:sz w:val="24"/>
                <w:highlight w:val="none"/>
                <w:lang w:eastAsia="zh-CN"/>
              </w:rPr>
              <w:t>秦皇岛万邦零部件加工有限公司</w:t>
            </w:r>
            <w:r>
              <w:rPr>
                <w:rFonts w:hint="default"/>
                <w:color w:val="auto"/>
                <w:sz w:val="24"/>
                <w:highlight w:val="none"/>
              </w:rPr>
              <w:t>位于秦皇岛市开发区龙海道37号，戴河国际产业园</w:t>
            </w:r>
            <w:r>
              <w:rPr>
                <w:rFonts w:hint="eastAsia"/>
                <w:color w:val="auto"/>
                <w:sz w:val="24"/>
                <w:highlight w:val="none"/>
                <w:lang w:val="en-US" w:eastAsia="zh-CN"/>
              </w:rPr>
              <w:t>13</w:t>
            </w:r>
            <w:r>
              <w:rPr>
                <w:rFonts w:hint="default"/>
                <w:color w:val="auto"/>
                <w:sz w:val="24"/>
                <w:highlight w:val="none"/>
              </w:rPr>
              <w:t>号厂房，总建筑面积</w:t>
            </w:r>
            <w:r>
              <w:rPr>
                <w:rFonts w:hint="eastAsia"/>
                <w:color w:val="auto"/>
                <w:sz w:val="24"/>
                <w:highlight w:val="none"/>
                <w:lang w:val="en-US" w:eastAsia="zh-CN"/>
              </w:rPr>
              <w:t>1728</w:t>
            </w:r>
            <w:r>
              <w:rPr>
                <w:rFonts w:hint="eastAsia"/>
                <w:color w:val="auto"/>
                <w:sz w:val="24"/>
                <w:highlight w:val="none"/>
              </w:rPr>
              <w:t>m</w:t>
            </w:r>
            <w:r>
              <w:rPr>
                <w:rFonts w:hint="eastAsia"/>
                <w:color w:val="auto"/>
                <w:sz w:val="24"/>
                <w:highlight w:val="none"/>
                <w:vertAlign w:val="superscript"/>
              </w:rPr>
              <w:t>2</w:t>
            </w:r>
            <w:r>
              <w:rPr>
                <w:rFonts w:hint="default"/>
                <w:color w:val="auto"/>
                <w:sz w:val="24"/>
                <w:highlight w:val="none"/>
              </w:rPr>
              <w:t>。</w:t>
            </w:r>
            <w:r>
              <w:rPr>
                <w:rFonts w:hint="eastAsia"/>
                <w:color w:val="auto"/>
                <w:sz w:val="24"/>
                <w:highlight w:val="none"/>
                <w:lang w:eastAsia="zh-CN"/>
              </w:rPr>
              <w:t>建设规模及内容：购置环保抛光打磨湿式一体机</w:t>
            </w:r>
            <w:r>
              <w:rPr>
                <w:rFonts w:hint="eastAsia"/>
                <w:color w:val="auto"/>
                <w:sz w:val="24"/>
                <w:highlight w:val="none"/>
                <w:lang w:val="en-US" w:eastAsia="zh-CN"/>
              </w:rPr>
              <w:t>20台、自动水磨机设备20台，年处理铝合金轮毂30万件（5224t）</w:t>
            </w:r>
            <w:r>
              <w:rPr>
                <w:rFonts w:hint="default"/>
                <w:color w:val="auto"/>
                <w:sz w:val="24"/>
                <w:highlight w:val="none"/>
              </w:rPr>
              <w:t>。</w:t>
            </w:r>
            <w:r>
              <w:rPr>
                <w:rFonts w:hint="eastAsia"/>
                <w:color w:val="auto"/>
                <w:sz w:val="24"/>
                <w:highlight w:val="none"/>
                <w:lang w:eastAsia="zh-CN"/>
              </w:rPr>
              <w:t>项目建成后打磨产生的粉尘在环保抛光打磨湿式一体机内可即刻流入三级过滤池，有效消除了抛光打磨的粉尘爆炸风险。</w:t>
            </w:r>
          </w:p>
          <w:p w14:paraId="7B8D0414">
            <w:pPr>
              <w:keepNext w:val="0"/>
              <w:keepLines w:val="0"/>
              <w:suppressLineNumbers w:val="0"/>
              <w:spacing w:before="0" w:beforeAutospacing="0" w:after="0" w:afterAutospacing="0" w:line="360" w:lineRule="auto"/>
              <w:ind w:left="0" w:right="0" w:firstLine="480" w:firstLineChars="200"/>
              <w:rPr>
                <w:rFonts w:hint="default"/>
                <w:color w:val="auto"/>
                <w:kern w:val="0"/>
                <w:sz w:val="24"/>
                <w:highlight w:val="none"/>
              </w:rPr>
            </w:pPr>
            <w:r>
              <w:rPr>
                <w:rFonts w:hint="default"/>
                <w:color w:val="auto"/>
                <w:kern w:val="0"/>
                <w:sz w:val="24"/>
                <w:highlight w:val="none"/>
              </w:rPr>
              <w:t>本项目属于</w:t>
            </w:r>
            <w:r>
              <w:rPr>
                <w:rFonts w:hint="eastAsia"/>
                <w:color w:val="auto"/>
                <w:sz w:val="24"/>
                <w:highlight w:val="none"/>
              </w:rPr>
              <w:t>C</w:t>
            </w:r>
            <w:r>
              <w:rPr>
                <w:rFonts w:hint="eastAsia"/>
                <w:color w:val="auto"/>
                <w:sz w:val="24"/>
                <w:highlight w:val="none"/>
                <w:lang w:val="en-US" w:eastAsia="zh-CN"/>
              </w:rPr>
              <w:t>3670汽车零部件及配件制造</w:t>
            </w:r>
            <w:r>
              <w:rPr>
                <w:rFonts w:hint="default"/>
                <w:color w:val="auto"/>
                <w:kern w:val="0"/>
                <w:sz w:val="24"/>
                <w:highlight w:val="none"/>
              </w:rPr>
              <w:t>，根据《产业结构调整指导目录》（20</w:t>
            </w:r>
            <w:r>
              <w:rPr>
                <w:rFonts w:hint="eastAsia"/>
                <w:color w:val="auto"/>
                <w:kern w:val="0"/>
                <w:sz w:val="24"/>
                <w:highlight w:val="none"/>
              </w:rPr>
              <w:t>24</w:t>
            </w:r>
            <w:r>
              <w:rPr>
                <w:rFonts w:hint="default"/>
                <w:color w:val="auto"/>
                <w:kern w:val="0"/>
                <w:sz w:val="24"/>
                <w:highlight w:val="none"/>
              </w:rPr>
              <w:t>年本），本项目不属于禁止类和限制类项目。本项目不属于《市场准入负面清单（202</w:t>
            </w:r>
            <w:r>
              <w:rPr>
                <w:rFonts w:hint="eastAsia"/>
                <w:color w:val="auto"/>
                <w:kern w:val="0"/>
                <w:sz w:val="24"/>
                <w:highlight w:val="none"/>
                <w:lang w:val="en-US" w:eastAsia="zh-CN"/>
              </w:rPr>
              <w:t>5</w:t>
            </w:r>
            <w:r>
              <w:rPr>
                <w:rFonts w:hint="default"/>
                <w:color w:val="auto"/>
                <w:kern w:val="0"/>
                <w:sz w:val="24"/>
                <w:highlight w:val="none"/>
              </w:rPr>
              <w:t>年版）》且秦皇岛经济技术开发区行政审批局已出具本项目备案信息(冀秦区备字</w:t>
            </w:r>
            <w:r>
              <w:rPr>
                <w:rFonts w:hint="default"/>
                <w:color w:val="auto"/>
                <w:sz w:val="24"/>
                <w:highlight w:val="none"/>
              </w:rPr>
              <w:t>〔202</w:t>
            </w:r>
            <w:r>
              <w:rPr>
                <w:rFonts w:hint="eastAsia"/>
                <w:color w:val="auto"/>
                <w:sz w:val="24"/>
                <w:highlight w:val="none"/>
                <w:lang w:val="en-US" w:eastAsia="zh-CN"/>
              </w:rPr>
              <w:t>5</w:t>
            </w:r>
            <w:r>
              <w:rPr>
                <w:rFonts w:hint="default"/>
                <w:color w:val="auto"/>
                <w:sz w:val="24"/>
                <w:highlight w:val="none"/>
              </w:rPr>
              <w:t>〕</w:t>
            </w:r>
            <w:r>
              <w:rPr>
                <w:rFonts w:hint="eastAsia"/>
                <w:color w:val="auto"/>
                <w:sz w:val="24"/>
                <w:highlight w:val="none"/>
                <w:lang w:val="en-US" w:eastAsia="zh-CN"/>
              </w:rPr>
              <w:t>163</w:t>
            </w:r>
            <w:r>
              <w:rPr>
                <w:rFonts w:hint="default"/>
                <w:color w:val="auto"/>
                <w:sz w:val="24"/>
                <w:highlight w:val="none"/>
              </w:rPr>
              <w:t>号</w:t>
            </w:r>
            <w:r>
              <w:rPr>
                <w:rFonts w:hint="default"/>
                <w:color w:val="auto"/>
                <w:kern w:val="0"/>
                <w:sz w:val="24"/>
                <w:highlight w:val="none"/>
              </w:rPr>
              <w:t>)。因此，本项目符合国家和地方相关产业政策要求。</w:t>
            </w:r>
          </w:p>
          <w:p w14:paraId="6BE272F1">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r>
              <w:rPr>
                <w:rFonts w:hint="default"/>
                <w:color w:val="auto"/>
                <w:sz w:val="24"/>
                <w:highlight w:val="none"/>
              </w:rPr>
              <w:t>二、排污情况</w:t>
            </w:r>
          </w:p>
          <w:p w14:paraId="6960752B">
            <w:pPr>
              <w:keepNext w:val="0"/>
              <w:keepLines w:val="0"/>
              <w:suppressLineNumbers w:val="0"/>
              <w:spacing w:before="0" w:beforeAutospacing="0" w:after="0" w:afterAutospacing="0" w:line="360" w:lineRule="auto"/>
              <w:ind w:left="0" w:right="0" w:firstLine="480" w:firstLineChars="200"/>
              <w:rPr>
                <w:rFonts w:hint="eastAsia" w:eastAsia="宋体"/>
                <w:color w:val="auto"/>
                <w:sz w:val="24"/>
                <w:highlight w:val="none"/>
                <w:lang w:eastAsia="zh-CN"/>
              </w:rPr>
            </w:pPr>
            <w:r>
              <w:rPr>
                <w:rFonts w:hint="default"/>
                <w:color w:val="auto"/>
                <w:sz w:val="24"/>
                <w:highlight w:val="none"/>
              </w:rPr>
              <w:t>1.废水：</w:t>
            </w:r>
            <w:r>
              <w:rPr>
                <w:rFonts w:hint="eastAsia"/>
                <w:color w:val="auto"/>
                <w:sz w:val="24"/>
                <w:highlight w:val="none"/>
                <w:lang w:val="en-US" w:eastAsia="zh-CN"/>
              </w:rPr>
              <w:t>生产</w:t>
            </w:r>
            <w:r>
              <w:rPr>
                <w:rFonts w:hint="eastAsia"/>
                <w:color w:val="auto"/>
                <w:sz w:val="24"/>
                <w:highlight w:val="none"/>
              </w:rPr>
              <w:t>废水</w:t>
            </w:r>
            <w:r>
              <w:rPr>
                <w:rFonts w:hint="eastAsia"/>
                <w:color w:val="auto"/>
                <w:sz w:val="24"/>
                <w:highlight w:val="none"/>
                <w:lang w:eastAsia="zh-CN"/>
              </w:rPr>
              <w:t>经“</w:t>
            </w:r>
            <w:r>
              <w:rPr>
                <w:rFonts w:hint="eastAsia"/>
                <w:color w:val="auto"/>
                <w:sz w:val="24"/>
                <w:highlight w:val="none"/>
                <w:lang w:val="en-US" w:eastAsia="zh-CN"/>
              </w:rPr>
              <w:t>破乳-絮凝-沉淀</w:t>
            </w:r>
            <w:r>
              <w:rPr>
                <w:rFonts w:hint="eastAsia"/>
                <w:color w:val="auto"/>
                <w:sz w:val="24"/>
                <w:highlight w:val="none"/>
                <w:lang w:eastAsia="zh-CN"/>
              </w:rPr>
              <w:t>”处理</w:t>
            </w:r>
            <w:r>
              <w:rPr>
                <w:rFonts w:hint="default"/>
                <w:color w:val="auto"/>
                <w:sz w:val="24"/>
                <w:highlight w:val="none"/>
              </w:rPr>
              <w:t>，生活废水经化粪池</w:t>
            </w:r>
            <w:r>
              <w:rPr>
                <w:rFonts w:hint="eastAsia"/>
                <w:color w:val="auto"/>
                <w:sz w:val="24"/>
                <w:highlight w:val="none"/>
                <w:lang w:eastAsia="zh-CN"/>
              </w:rPr>
              <w:t>处理</w:t>
            </w:r>
            <w:r>
              <w:rPr>
                <w:rFonts w:hint="eastAsia"/>
                <w:color w:val="auto"/>
                <w:sz w:val="24"/>
                <w:highlight w:val="none"/>
                <w:lang w:val="en-US" w:eastAsia="zh-CN"/>
              </w:rPr>
              <w:t>后</w:t>
            </w:r>
            <w:r>
              <w:rPr>
                <w:rFonts w:hint="default"/>
                <w:color w:val="auto"/>
                <w:sz w:val="24"/>
                <w:highlight w:val="none"/>
              </w:rPr>
              <w:t>，</w:t>
            </w:r>
            <w:r>
              <w:rPr>
                <w:rFonts w:hint="eastAsia"/>
                <w:color w:val="auto"/>
                <w:sz w:val="24"/>
                <w:highlight w:val="none"/>
                <w:lang w:eastAsia="zh-CN"/>
              </w:rPr>
              <w:t>均</w:t>
            </w:r>
            <w:r>
              <w:rPr>
                <w:rFonts w:hint="default"/>
                <w:color w:val="auto"/>
                <w:sz w:val="24"/>
                <w:highlight w:val="none"/>
              </w:rPr>
              <w:t>经市政污水管网</w:t>
            </w:r>
            <w:r>
              <w:rPr>
                <w:rFonts w:hint="eastAsia"/>
                <w:color w:val="auto"/>
                <w:sz w:val="24"/>
                <w:highlight w:val="none"/>
                <w:lang w:eastAsia="zh-CN"/>
              </w:rPr>
              <w:t>最终</w:t>
            </w:r>
            <w:r>
              <w:rPr>
                <w:rFonts w:hint="default"/>
                <w:color w:val="auto"/>
                <w:sz w:val="24"/>
                <w:highlight w:val="none"/>
              </w:rPr>
              <w:t>排入</w:t>
            </w:r>
            <w:r>
              <w:rPr>
                <w:rFonts w:hint="eastAsia"/>
                <w:color w:val="auto"/>
                <w:sz w:val="24"/>
                <w:highlight w:val="none"/>
                <w:lang w:val="en-US" w:eastAsia="zh-CN"/>
              </w:rPr>
              <w:t>秦皇岛市第三</w:t>
            </w:r>
            <w:r>
              <w:rPr>
                <w:rFonts w:hint="eastAsia"/>
                <w:color w:val="auto"/>
                <w:sz w:val="24"/>
                <w:highlight w:val="none"/>
              </w:rPr>
              <w:t>污水处理厂</w:t>
            </w:r>
            <w:r>
              <w:rPr>
                <w:rFonts w:hint="eastAsia"/>
                <w:color w:val="auto"/>
                <w:sz w:val="24"/>
                <w:highlight w:val="none"/>
                <w:lang w:eastAsia="zh-CN"/>
              </w:rPr>
              <w:t>。</w:t>
            </w:r>
          </w:p>
          <w:p w14:paraId="347BE8EF">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r>
              <w:rPr>
                <w:rFonts w:hint="default"/>
                <w:color w:val="auto"/>
                <w:sz w:val="24"/>
                <w:highlight w:val="none"/>
              </w:rPr>
              <w:t>2.废气：</w:t>
            </w:r>
            <w:r>
              <w:rPr>
                <w:rFonts w:hint="eastAsia"/>
                <w:color w:val="auto"/>
                <w:sz w:val="24"/>
                <w:highlight w:val="none"/>
                <w:lang w:eastAsia="zh-CN"/>
              </w:rPr>
              <w:t>打磨抛光</w:t>
            </w:r>
            <w:r>
              <w:rPr>
                <w:rFonts w:hint="eastAsia"/>
                <w:color w:val="auto"/>
                <w:sz w:val="24"/>
                <w:highlight w:val="none"/>
                <w:lang w:val="en-US" w:eastAsia="zh-CN"/>
              </w:rPr>
              <w:t>产生的颗粒物经环保抛光打磨湿式一体机处理后车间内无组织排放。</w:t>
            </w:r>
            <w:r>
              <w:rPr>
                <w:rFonts w:hint="default"/>
                <w:color w:val="auto"/>
                <w:sz w:val="24"/>
                <w:highlight w:val="none"/>
              </w:rPr>
              <w:t>通过分析可知，本项目</w:t>
            </w:r>
            <w:r>
              <w:rPr>
                <w:rFonts w:hint="eastAsia"/>
                <w:color w:val="auto"/>
                <w:sz w:val="24"/>
                <w:highlight w:val="none"/>
                <w:lang w:eastAsia="zh-CN"/>
              </w:rPr>
              <w:t>无组织</w:t>
            </w:r>
            <w:r>
              <w:rPr>
                <w:rFonts w:hint="default"/>
                <w:color w:val="auto"/>
                <w:sz w:val="24"/>
                <w:highlight w:val="none"/>
              </w:rPr>
              <w:t>废气排放能满足相关标准要求。</w:t>
            </w:r>
          </w:p>
          <w:p w14:paraId="10A3EB66">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r>
              <w:rPr>
                <w:rFonts w:hint="default"/>
                <w:color w:val="auto"/>
                <w:sz w:val="24"/>
                <w:highlight w:val="none"/>
              </w:rPr>
              <w:t>3.噪声：建设项目营运期间噪声主要是设备</w:t>
            </w:r>
            <w:r>
              <w:rPr>
                <w:rFonts w:hint="eastAsia"/>
                <w:color w:val="auto"/>
                <w:sz w:val="24"/>
                <w:highlight w:val="none"/>
                <w:lang w:eastAsia="zh-CN"/>
              </w:rPr>
              <w:t>运行</w:t>
            </w:r>
            <w:r>
              <w:rPr>
                <w:rFonts w:hint="default"/>
                <w:color w:val="auto"/>
                <w:sz w:val="24"/>
                <w:highlight w:val="none"/>
              </w:rPr>
              <w:t>产生的噪声</w:t>
            </w:r>
            <w:r>
              <w:rPr>
                <w:rFonts w:hint="eastAsia"/>
                <w:color w:val="auto"/>
                <w:sz w:val="24"/>
                <w:highlight w:val="none"/>
                <w:lang w:eastAsia="zh-CN"/>
              </w:rPr>
              <w:t>，</w:t>
            </w:r>
            <w:r>
              <w:rPr>
                <w:rFonts w:hint="default"/>
                <w:bCs/>
                <w:color w:val="auto"/>
                <w:sz w:val="24"/>
                <w:highlight w:val="none"/>
              </w:rPr>
              <w:t>加装基础减振和厂房隔声等措施后</w:t>
            </w:r>
            <w:r>
              <w:rPr>
                <w:rFonts w:hint="default"/>
                <w:color w:val="auto"/>
                <w:sz w:val="24"/>
                <w:highlight w:val="none"/>
              </w:rPr>
              <w:t>，通过预测可知本项目厂界噪声能够满足《工业企业厂界环境噪声排放标准》（GB12348-2008）中3类标准。</w:t>
            </w:r>
          </w:p>
          <w:p w14:paraId="7B8A61F9">
            <w:pPr>
              <w:keepNext w:val="0"/>
              <w:keepLines w:val="0"/>
              <w:suppressLineNumbers w:val="0"/>
              <w:spacing w:before="0" w:beforeAutospacing="0" w:after="0" w:afterAutospacing="0" w:line="360" w:lineRule="auto"/>
              <w:ind w:left="0" w:right="0" w:firstLine="480" w:firstLineChars="200"/>
              <w:rPr>
                <w:rFonts w:hint="default" w:eastAsia="宋体"/>
                <w:color w:val="auto"/>
                <w:sz w:val="24"/>
                <w:highlight w:val="none"/>
                <w:lang w:val="en-US" w:eastAsia="zh-CN"/>
              </w:rPr>
            </w:pPr>
            <w:r>
              <w:rPr>
                <w:rFonts w:hint="default"/>
                <w:color w:val="auto"/>
                <w:sz w:val="24"/>
                <w:highlight w:val="none"/>
              </w:rPr>
              <w:t>4.固废：本项目</w:t>
            </w:r>
            <w:r>
              <w:rPr>
                <w:rFonts w:hint="eastAsia"/>
                <w:color w:val="auto"/>
                <w:sz w:val="24"/>
                <w:highlight w:val="none"/>
                <w:lang w:val="en-US" w:eastAsia="zh-CN"/>
              </w:rPr>
              <w:t>废砂布、废麻轮、废布轮、废研磨片、废包装物、废滤布统一收集后交环卫部门处理，沉泥、除尘灰统一收集后外售。废润滑油、废润滑油桶、废机油、废机油桶、废铅酸电池暂存于危废间定期委托有资质单位处置。生活垃圾由环卫部门统一收集处置。</w:t>
            </w:r>
          </w:p>
          <w:p w14:paraId="200A25B9">
            <w:pPr>
              <w:keepNext w:val="0"/>
              <w:keepLines w:val="0"/>
              <w:suppressLineNumbers w:val="0"/>
              <w:spacing w:before="0" w:beforeAutospacing="0" w:after="0" w:afterAutospacing="0" w:line="360" w:lineRule="auto"/>
              <w:ind w:left="0" w:right="0" w:firstLine="480" w:firstLineChars="200"/>
              <w:jc w:val="left"/>
              <w:rPr>
                <w:rFonts w:hint="default"/>
                <w:color w:val="auto"/>
                <w:sz w:val="24"/>
                <w:highlight w:val="none"/>
              </w:rPr>
            </w:pPr>
            <w:r>
              <w:rPr>
                <w:rFonts w:hint="default"/>
                <w:color w:val="auto"/>
                <w:sz w:val="24"/>
                <w:highlight w:val="none"/>
              </w:rPr>
              <w:t>综上所述，该项目建设符合国家产业政策和区域规划，选址可行，项目周围环境质量良好，在满足环评提出的各项要求和污染防治措施的基础上，项目运行期污染物可以做到“达标排放”，不会改变区域环境质量功能，对环境影响较小。从环境保护的角度分析，该项目的建设是可行的。</w:t>
            </w:r>
          </w:p>
          <w:p w14:paraId="4F8FC76A">
            <w:pPr>
              <w:keepNext w:val="0"/>
              <w:keepLines w:val="0"/>
              <w:suppressLineNumbers w:val="0"/>
              <w:spacing w:before="0" w:beforeAutospacing="0" w:after="0" w:afterAutospacing="0" w:line="360" w:lineRule="auto"/>
              <w:ind w:left="0" w:right="0" w:firstLine="480" w:firstLineChars="200"/>
              <w:jc w:val="left"/>
              <w:rPr>
                <w:rFonts w:hint="eastAsia"/>
                <w:color w:val="auto"/>
                <w:sz w:val="24"/>
                <w:highlight w:val="none"/>
                <w:lang w:eastAsia="zh-CN"/>
              </w:rPr>
            </w:pPr>
          </w:p>
        </w:tc>
      </w:tr>
    </w:tbl>
    <w:p w14:paraId="4ACD2481">
      <w:pPr>
        <w:rPr>
          <w:rFonts w:ascii="宋体"/>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3AFE3FEE">
      <w:pPr>
        <w:pStyle w:val="2"/>
        <w:rPr>
          <w:color w:val="auto"/>
          <w:highlight w:val="none"/>
        </w:rPr>
      </w:pPr>
      <w:bookmarkStart w:id="13" w:name="_Toc8108"/>
      <w:r>
        <w:rPr>
          <w:color w:val="auto"/>
          <w:highlight w:val="none"/>
        </w:rPr>
        <w:t>附表</w:t>
      </w:r>
      <w:bookmarkEnd w:id="13"/>
    </w:p>
    <w:p w14:paraId="46E769D9">
      <w:pPr>
        <w:pStyle w:val="31"/>
        <w:adjustRightInd w:val="0"/>
        <w:snapToGrid w:val="0"/>
        <w:spacing w:before="0" w:beforeAutospacing="0" w:after="0" w:afterAutospacing="0"/>
        <w:jc w:val="center"/>
        <w:outlineLvl w:val="0"/>
        <w:rPr>
          <w:rFonts w:ascii="Times New Roman" w:hAnsi="Times New Roman" w:eastAsia="黑体"/>
          <w:snapToGrid w:val="0"/>
          <w:color w:val="auto"/>
          <w:sz w:val="36"/>
          <w:szCs w:val="36"/>
          <w:highlight w:val="none"/>
        </w:rPr>
      </w:pPr>
      <w:bookmarkStart w:id="14" w:name="_Toc23296"/>
      <w:r>
        <w:rPr>
          <w:rFonts w:ascii="Times New Roman" w:hAnsi="Times New Roman" w:eastAsia="黑体"/>
          <w:snapToGrid w:val="0"/>
          <w:color w:val="auto"/>
          <w:sz w:val="36"/>
          <w:szCs w:val="36"/>
          <w:highlight w:val="none"/>
        </w:rPr>
        <w:t>建设项目污染物排放量汇总表</w:t>
      </w:r>
      <w:bookmarkEnd w:id="14"/>
    </w:p>
    <w:tbl>
      <w:tblPr>
        <w:tblStyle w:val="35"/>
        <w:tblW w:w="1417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32"/>
        <w:gridCol w:w="1549"/>
        <w:gridCol w:w="1570"/>
        <w:gridCol w:w="1570"/>
        <w:gridCol w:w="1570"/>
        <w:gridCol w:w="1570"/>
        <w:gridCol w:w="1570"/>
        <w:gridCol w:w="1508"/>
        <w:gridCol w:w="1634"/>
      </w:tblGrid>
      <w:tr w14:paraId="040D12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632" w:type="dxa"/>
            <w:tcBorders>
              <w:tl2br w:val="single" w:color="auto" w:sz="4" w:space="0"/>
            </w:tcBorders>
            <w:tcMar>
              <w:left w:w="28" w:type="dxa"/>
              <w:right w:w="28" w:type="dxa"/>
            </w:tcMar>
            <w:vAlign w:val="center"/>
          </w:tcPr>
          <w:p w14:paraId="36D48240">
            <w:pPr>
              <w:pStyle w:val="61"/>
              <w:keepNext w:val="0"/>
              <w:keepLines w:val="0"/>
              <w:suppressLineNumbers w:val="0"/>
              <w:spacing w:before="0" w:beforeLines="0" w:beforeAutospacing="0" w:after="0" w:afterLines="0" w:afterAutospacing="0" w:line="240" w:lineRule="auto"/>
              <w:ind w:left="0" w:right="0" w:firstLine="0" w:firstLineChars="0"/>
              <w:jc w:val="right"/>
              <w:rPr>
                <w:rFonts w:hint="default" w:ascii="Times New Roman"/>
                <w:snapToGrid w:val="0"/>
                <w:color w:val="auto"/>
                <w:spacing w:val="-6"/>
                <w:kern w:val="21"/>
                <w:sz w:val="21"/>
                <w:szCs w:val="21"/>
                <w:highlight w:val="none"/>
              </w:rPr>
            </w:pPr>
            <w:r>
              <w:rPr>
                <w:rFonts w:hint="default" w:ascii="Times New Roman"/>
                <w:snapToGrid w:val="0"/>
                <w:color w:val="auto"/>
                <w:spacing w:val="-6"/>
                <w:kern w:val="21"/>
                <w:sz w:val="21"/>
                <w:szCs w:val="21"/>
                <w:highlight w:val="none"/>
              </w:rPr>
              <w:t>项目</w:t>
            </w:r>
          </w:p>
          <w:p w14:paraId="1195919E">
            <w:pPr>
              <w:pStyle w:val="61"/>
              <w:keepNext w:val="0"/>
              <w:keepLines w:val="0"/>
              <w:suppressLineNumbers w:val="0"/>
              <w:spacing w:before="0" w:beforeLines="0" w:beforeAutospacing="0" w:after="0" w:afterLines="0" w:afterAutospacing="0" w:line="240" w:lineRule="auto"/>
              <w:ind w:left="0" w:right="0" w:firstLine="0" w:firstLineChars="0"/>
              <w:jc w:val="left"/>
              <w:rPr>
                <w:rFonts w:hint="default" w:ascii="Times New Roman"/>
                <w:snapToGrid w:val="0"/>
                <w:color w:val="auto"/>
                <w:spacing w:val="-6"/>
                <w:kern w:val="21"/>
                <w:sz w:val="21"/>
                <w:szCs w:val="21"/>
                <w:highlight w:val="none"/>
              </w:rPr>
            </w:pPr>
            <w:r>
              <w:rPr>
                <w:rFonts w:hint="default" w:ascii="Times New Roman"/>
                <w:snapToGrid w:val="0"/>
                <w:color w:val="auto"/>
                <w:spacing w:val="-6"/>
                <w:kern w:val="21"/>
                <w:sz w:val="21"/>
                <w:szCs w:val="21"/>
                <w:highlight w:val="none"/>
              </w:rPr>
              <w:t>分类</w:t>
            </w:r>
          </w:p>
        </w:tc>
        <w:tc>
          <w:tcPr>
            <w:tcW w:w="1549" w:type="dxa"/>
            <w:tcMar>
              <w:left w:w="28" w:type="dxa"/>
              <w:right w:w="28" w:type="dxa"/>
            </w:tcMar>
            <w:vAlign w:val="center"/>
          </w:tcPr>
          <w:p w14:paraId="32000F00">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spacing w:val="-6"/>
                <w:kern w:val="21"/>
                <w:sz w:val="21"/>
                <w:szCs w:val="21"/>
                <w:highlight w:val="none"/>
              </w:rPr>
            </w:pPr>
            <w:r>
              <w:rPr>
                <w:rFonts w:hint="default" w:ascii="Times New Roman"/>
                <w:snapToGrid w:val="0"/>
                <w:color w:val="auto"/>
                <w:spacing w:val="-6"/>
                <w:kern w:val="21"/>
                <w:sz w:val="21"/>
                <w:szCs w:val="21"/>
                <w:highlight w:val="none"/>
              </w:rPr>
              <w:t>污染物名称</w:t>
            </w:r>
          </w:p>
        </w:tc>
        <w:tc>
          <w:tcPr>
            <w:tcW w:w="1570" w:type="dxa"/>
            <w:tcMar>
              <w:left w:w="28" w:type="dxa"/>
              <w:right w:w="28" w:type="dxa"/>
            </w:tcMar>
            <w:vAlign w:val="center"/>
          </w:tcPr>
          <w:p w14:paraId="474C3A1B">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spacing w:val="-6"/>
                <w:kern w:val="21"/>
                <w:sz w:val="21"/>
                <w:szCs w:val="21"/>
                <w:highlight w:val="none"/>
              </w:rPr>
            </w:pPr>
            <w:r>
              <w:rPr>
                <w:rFonts w:hint="default" w:ascii="Times New Roman"/>
                <w:snapToGrid w:val="0"/>
                <w:color w:val="auto"/>
                <w:spacing w:val="-6"/>
                <w:kern w:val="21"/>
                <w:sz w:val="21"/>
                <w:szCs w:val="21"/>
                <w:highlight w:val="none"/>
              </w:rPr>
              <w:t>现有工程</w:t>
            </w:r>
          </w:p>
          <w:p w14:paraId="525E061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spacing w:val="-6"/>
                <w:kern w:val="21"/>
                <w:sz w:val="21"/>
                <w:szCs w:val="21"/>
                <w:highlight w:val="none"/>
              </w:rPr>
            </w:pPr>
            <w:r>
              <w:rPr>
                <w:rFonts w:hint="default" w:ascii="Times New Roman"/>
                <w:snapToGrid w:val="0"/>
                <w:color w:val="auto"/>
                <w:spacing w:val="-6"/>
                <w:kern w:val="21"/>
                <w:sz w:val="21"/>
                <w:szCs w:val="21"/>
                <w:highlight w:val="none"/>
              </w:rPr>
              <w:t>排放量（固体废物产生量）</w:t>
            </w:r>
            <w:r>
              <w:rPr>
                <w:rFonts w:hint="default" w:ascii="Times New Roman"/>
                <w:snapToGrid w:val="0"/>
                <w:color w:val="auto"/>
                <w:spacing w:val="-6"/>
                <w:kern w:val="21"/>
                <w:sz w:val="21"/>
                <w:szCs w:val="21"/>
                <w:highlight w:val="none"/>
              </w:rPr>
              <w:fldChar w:fldCharType="begin"/>
            </w:r>
            <w:r>
              <w:rPr>
                <w:rFonts w:hint="default" w:ascii="Times New Roman"/>
                <w:snapToGrid w:val="0"/>
                <w:color w:val="auto"/>
                <w:spacing w:val="-6"/>
                <w:kern w:val="21"/>
                <w:sz w:val="21"/>
                <w:szCs w:val="21"/>
                <w:highlight w:val="none"/>
              </w:rPr>
              <w:instrText xml:space="preserve"> = 1 \* GB3 \* MERGEFORMAT </w:instrText>
            </w:r>
            <w:r>
              <w:rPr>
                <w:rFonts w:hint="default" w:ascii="Times New Roman"/>
                <w:snapToGrid w:val="0"/>
                <w:color w:val="auto"/>
                <w:spacing w:val="-6"/>
                <w:kern w:val="21"/>
                <w:sz w:val="21"/>
                <w:szCs w:val="21"/>
                <w:highlight w:val="none"/>
              </w:rPr>
              <w:fldChar w:fldCharType="separate"/>
            </w:r>
            <w:r>
              <w:rPr>
                <w:rFonts w:hint="default" w:ascii="Times New Roman"/>
                <w:color w:val="auto"/>
                <w:kern w:val="2"/>
                <w:sz w:val="21"/>
                <w:szCs w:val="21"/>
                <w:highlight w:val="none"/>
              </w:rPr>
              <w:t>①</w:t>
            </w:r>
            <w:r>
              <w:rPr>
                <w:rFonts w:hint="default" w:ascii="Times New Roman"/>
                <w:snapToGrid w:val="0"/>
                <w:color w:val="auto"/>
                <w:spacing w:val="-6"/>
                <w:kern w:val="21"/>
                <w:sz w:val="21"/>
                <w:szCs w:val="21"/>
                <w:highlight w:val="none"/>
              </w:rPr>
              <w:fldChar w:fldCharType="end"/>
            </w:r>
          </w:p>
        </w:tc>
        <w:tc>
          <w:tcPr>
            <w:tcW w:w="1570" w:type="dxa"/>
            <w:tcMar>
              <w:left w:w="28" w:type="dxa"/>
              <w:right w:w="28" w:type="dxa"/>
            </w:tcMar>
            <w:vAlign w:val="center"/>
          </w:tcPr>
          <w:p w14:paraId="7C1D340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spacing w:val="-6"/>
                <w:kern w:val="21"/>
                <w:sz w:val="21"/>
                <w:szCs w:val="21"/>
                <w:highlight w:val="none"/>
              </w:rPr>
            </w:pPr>
            <w:r>
              <w:rPr>
                <w:rFonts w:hint="default" w:ascii="Times New Roman"/>
                <w:snapToGrid w:val="0"/>
                <w:color w:val="auto"/>
                <w:spacing w:val="-6"/>
                <w:kern w:val="21"/>
                <w:sz w:val="21"/>
                <w:szCs w:val="21"/>
                <w:highlight w:val="none"/>
              </w:rPr>
              <w:t>现有工程</w:t>
            </w:r>
          </w:p>
          <w:p w14:paraId="0761611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spacing w:val="-6"/>
                <w:kern w:val="21"/>
                <w:sz w:val="21"/>
                <w:szCs w:val="21"/>
                <w:highlight w:val="none"/>
              </w:rPr>
            </w:pPr>
            <w:r>
              <w:rPr>
                <w:rFonts w:hint="default" w:ascii="Times New Roman"/>
                <w:snapToGrid w:val="0"/>
                <w:color w:val="auto"/>
                <w:spacing w:val="-6"/>
                <w:kern w:val="21"/>
                <w:sz w:val="21"/>
                <w:szCs w:val="21"/>
                <w:highlight w:val="none"/>
              </w:rPr>
              <w:t>许可排放量</w:t>
            </w:r>
          </w:p>
          <w:p w14:paraId="3DD73920">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spacing w:val="-6"/>
                <w:kern w:val="21"/>
                <w:sz w:val="21"/>
                <w:szCs w:val="21"/>
                <w:highlight w:val="none"/>
              </w:rPr>
            </w:pPr>
            <w:r>
              <w:rPr>
                <w:rFonts w:hint="default" w:ascii="Times New Roman"/>
                <w:snapToGrid w:val="0"/>
                <w:color w:val="auto"/>
                <w:spacing w:val="-6"/>
                <w:kern w:val="21"/>
                <w:sz w:val="21"/>
                <w:szCs w:val="21"/>
                <w:highlight w:val="none"/>
              </w:rPr>
              <w:fldChar w:fldCharType="begin"/>
            </w:r>
            <w:r>
              <w:rPr>
                <w:rFonts w:hint="default" w:ascii="Times New Roman"/>
                <w:snapToGrid w:val="0"/>
                <w:color w:val="auto"/>
                <w:spacing w:val="-6"/>
                <w:kern w:val="21"/>
                <w:sz w:val="21"/>
                <w:szCs w:val="21"/>
                <w:highlight w:val="none"/>
              </w:rPr>
              <w:instrText xml:space="preserve"> = 2 \* GB3 \* MERGEFORMAT </w:instrText>
            </w:r>
            <w:r>
              <w:rPr>
                <w:rFonts w:hint="default" w:ascii="Times New Roman"/>
                <w:snapToGrid w:val="0"/>
                <w:color w:val="auto"/>
                <w:spacing w:val="-6"/>
                <w:kern w:val="21"/>
                <w:sz w:val="21"/>
                <w:szCs w:val="21"/>
                <w:highlight w:val="none"/>
              </w:rPr>
              <w:fldChar w:fldCharType="separate"/>
            </w:r>
            <w:r>
              <w:rPr>
                <w:rFonts w:hint="default" w:ascii="Times New Roman"/>
                <w:snapToGrid w:val="0"/>
                <w:color w:val="auto"/>
                <w:spacing w:val="-6"/>
                <w:kern w:val="21"/>
                <w:sz w:val="21"/>
                <w:szCs w:val="21"/>
                <w:highlight w:val="none"/>
              </w:rPr>
              <w:t>②</w:t>
            </w:r>
            <w:r>
              <w:rPr>
                <w:rFonts w:hint="default" w:ascii="Times New Roman"/>
                <w:snapToGrid w:val="0"/>
                <w:color w:val="auto"/>
                <w:spacing w:val="-6"/>
                <w:kern w:val="21"/>
                <w:sz w:val="21"/>
                <w:szCs w:val="21"/>
                <w:highlight w:val="none"/>
              </w:rPr>
              <w:fldChar w:fldCharType="end"/>
            </w:r>
          </w:p>
        </w:tc>
        <w:tc>
          <w:tcPr>
            <w:tcW w:w="1570" w:type="dxa"/>
            <w:tcMar>
              <w:left w:w="28" w:type="dxa"/>
              <w:right w:w="28" w:type="dxa"/>
            </w:tcMar>
            <w:vAlign w:val="center"/>
          </w:tcPr>
          <w:p w14:paraId="04B7652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spacing w:val="-6"/>
                <w:kern w:val="21"/>
                <w:sz w:val="21"/>
                <w:szCs w:val="21"/>
                <w:highlight w:val="none"/>
              </w:rPr>
            </w:pPr>
            <w:r>
              <w:rPr>
                <w:rFonts w:hint="default" w:ascii="Times New Roman"/>
                <w:snapToGrid w:val="0"/>
                <w:color w:val="auto"/>
                <w:spacing w:val="-6"/>
                <w:kern w:val="21"/>
                <w:sz w:val="21"/>
                <w:szCs w:val="21"/>
                <w:highlight w:val="none"/>
              </w:rPr>
              <w:t>在建工程</w:t>
            </w:r>
          </w:p>
          <w:p w14:paraId="0AB1666A">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spacing w:val="-6"/>
                <w:kern w:val="21"/>
                <w:sz w:val="21"/>
                <w:szCs w:val="21"/>
                <w:highlight w:val="none"/>
              </w:rPr>
            </w:pPr>
            <w:r>
              <w:rPr>
                <w:rFonts w:hint="default" w:ascii="Times New Roman"/>
                <w:snapToGrid w:val="0"/>
                <w:color w:val="auto"/>
                <w:spacing w:val="-6"/>
                <w:kern w:val="21"/>
                <w:sz w:val="21"/>
                <w:szCs w:val="21"/>
                <w:highlight w:val="none"/>
              </w:rPr>
              <w:t>排放量（固体废物产生量）</w:t>
            </w:r>
            <w:r>
              <w:rPr>
                <w:rFonts w:hint="default" w:ascii="Times New Roman"/>
                <w:snapToGrid w:val="0"/>
                <w:color w:val="auto"/>
                <w:spacing w:val="-6"/>
                <w:kern w:val="21"/>
                <w:sz w:val="21"/>
                <w:szCs w:val="21"/>
                <w:highlight w:val="none"/>
              </w:rPr>
              <w:fldChar w:fldCharType="begin"/>
            </w:r>
            <w:r>
              <w:rPr>
                <w:rFonts w:hint="default" w:ascii="Times New Roman"/>
                <w:snapToGrid w:val="0"/>
                <w:color w:val="auto"/>
                <w:spacing w:val="-6"/>
                <w:kern w:val="21"/>
                <w:sz w:val="21"/>
                <w:szCs w:val="21"/>
                <w:highlight w:val="none"/>
              </w:rPr>
              <w:instrText xml:space="preserve"> = 3 \* GB3 \* MERGEFORMAT </w:instrText>
            </w:r>
            <w:r>
              <w:rPr>
                <w:rFonts w:hint="default" w:ascii="Times New Roman"/>
                <w:snapToGrid w:val="0"/>
                <w:color w:val="auto"/>
                <w:spacing w:val="-6"/>
                <w:kern w:val="21"/>
                <w:sz w:val="21"/>
                <w:szCs w:val="21"/>
                <w:highlight w:val="none"/>
              </w:rPr>
              <w:fldChar w:fldCharType="separate"/>
            </w:r>
            <w:r>
              <w:rPr>
                <w:rFonts w:hint="default" w:ascii="Times New Roman"/>
                <w:color w:val="auto"/>
                <w:kern w:val="2"/>
                <w:sz w:val="21"/>
                <w:szCs w:val="21"/>
                <w:highlight w:val="none"/>
              </w:rPr>
              <w:t>③</w:t>
            </w:r>
            <w:r>
              <w:rPr>
                <w:rFonts w:hint="default" w:ascii="Times New Roman"/>
                <w:snapToGrid w:val="0"/>
                <w:color w:val="auto"/>
                <w:spacing w:val="-6"/>
                <w:kern w:val="21"/>
                <w:sz w:val="21"/>
                <w:szCs w:val="21"/>
                <w:highlight w:val="none"/>
              </w:rPr>
              <w:fldChar w:fldCharType="end"/>
            </w:r>
          </w:p>
        </w:tc>
        <w:tc>
          <w:tcPr>
            <w:tcW w:w="1570" w:type="dxa"/>
            <w:tcMar>
              <w:left w:w="28" w:type="dxa"/>
              <w:right w:w="28" w:type="dxa"/>
            </w:tcMar>
            <w:vAlign w:val="center"/>
          </w:tcPr>
          <w:p w14:paraId="52B295A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spacing w:val="-6"/>
                <w:kern w:val="21"/>
                <w:sz w:val="21"/>
                <w:szCs w:val="21"/>
                <w:highlight w:val="none"/>
              </w:rPr>
            </w:pPr>
            <w:r>
              <w:rPr>
                <w:rFonts w:hint="default" w:ascii="Times New Roman"/>
                <w:snapToGrid w:val="0"/>
                <w:color w:val="auto"/>
                <w:spacing w:val="-6"/>
                <w:kern w:val="21"/>
                <w:sz w:val="21"/>
                <w:szCs w:val="21"/>
                <w:highlight w:val="none"/>
              </w:rPr>
              <w:t>本项目</w:t>
            </w:r>
          </w:p>
          <w:p w14:paraId="2824C4E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spacing w:val="-6"/>
                <w:kern w:val="21"/>
                <w:sz w:val="21"/>
                <w:szCs w:val="21"/>
                <w:highlight w:val="none"/>
              </w:rPr>
            </w:pPr>
            <w:r>
              <w:rPr>
                <w:rFonts w:hint="default" w:ascii="Times New Roman"/>
                <w:snapToGrid w:val="0"/>
                <w:color w:val="auto"/>
                <w:spacing w:val="-6"/>
                <w:kern w:val="21"/>
                <w:sz w:val="21"/>
                <w:szCs w:val="21"/>
                <w:highlight w:val="none"/>
              </w:rPr>
              <w:t>排放量（固体废物产生量）</w:t>
            </w:r>
            <w:r>
              <w:rPr>
                <w:rFonts w:hint="default" w:ascii="Times New Roman"/>
                <w:snapToGrid w:val="0"/>
                <w:color w:val="auto"/>
                <w:spacing w:val="-6"/>
                <w:kern w:val="21"/>
                <w:sz w:val="21"/>
                <w:szCs w:val="21"/>
                <w:highlight w:val="none"/>
              </w:rPr>
              <w:fldChar w:fldCharType="begin"/>
            </w:r>
            <w:r>
              <w:rPr>
                <w:rFonts w:hint="default" w:ascii="Times New Roman"/>
                <w:snapToGrid w:val="0"/>
                <w:color w:val="auto"/>
                <w:spacing w:val="-6"/>
                <w:kern w:val="21"/>
                <w:sz w:val="21"/>
                <w:szCs w:val="21"/>
                <w:highlight w:val="none"/>
              </w:rPr>
              <w:instrText xml:space="preserve"> = 4 \* GB3 \* MERGEFORMAT </w:instrText>
            </w:r>
            <w:r>
              <w:rPr>
                <w:rFonts w:hint="default" w:ascii="Times New Roman"/>
                <w:snapToGrid w:val="0"/>
                <w:color w:val="auto"/>
                <w:spacing w:val="-6"/>
                <w:kern w:val="21"/>
                <w:sz w:val="21"/>
                <w:szCs w:val="21"/>
                <w:highlight w:val="none"/>
              </w:rPr>
              <w:fldChar w:fldCharType="separate"/>
            </w:r>
            <w:r>
              <w:rPr>
                <w:rFonts w:hint="default" w:ascii="Times New Roman"/>
                <w:color w:val="auto"/>
                <w:kern w:val="2"/>
                <w:sz w:val="21"/>
                <w:szCs w:val="21"/>
                <w:highlight w:val="none"/>
              </w:rPr>
              <w:t>④</w:t>
            </w:r>
            <w:r>
              <w:rPr>
                <w:rFonts w:hint="default" w:ascii="Times New Roman"/>
                <w:snapToGrid w:val="0"/>
                <w:color w:val="auto"/>
                <w:spacing w:val="-6"/>
                <w:kern w:val="21"/>
                <w:sz w:val="21"/>
                <w:szCs w:val="21"/>
                <w:highlight w:val="none"/>
              </w:rPr>
              <w:fldChar w:fldCharType="end"/>
            </w:r>
          </w:p>
        </w:tc>
        <w:tc>
          <w:tcPr>
            <w:tcW w:w="1570" w:type="dxa"/>
            <w:tcMar>
              <w:left w:w="28" w:type="dxa"/>
              <w:right w:w="28" w:type="dxa"/>
            </w:tcMar>
            <w:vAlign w:val="center"/>
          </w:tcPr>
          <w:p w14:paraId="25A3589E">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spacing w:val="-16"/>
                <w:kern w:val="21"/>
                <w:sz w:val="21"/>
                <w:szCs w:val="21"/>
                <w:highlight w:val="none"/>
              </w:rPr>
            </w:pPr>
            <w:r>
              <w:rPr>
                <w:rFonts w:hint="default" w:ascii="Times New Roman"/>
                <w:snapToGrid w:val="0"/>
                <w:color w:val="auto"/>
                <w:spacing w:val="-16"/>
                <w:kern w:val="21"/>
                <w:sz w:val="21"/>
                <w:szCs w:val="21"/>
                <w:highlight w:val="none"/>
              </w:rPr>
              <w:t>以新带老削减量</w:t>
            </w:r>
          </w:p>
          <w:p w14:paraId="068B78C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spacing w:val="-16"/>
                <w:kern w:val="21"/>
                <w:sz w:val="21"/>
                <w:szCs w:val="21"/>
                <w:highlight w:val="none"/>
              </w:rPr>
            </w:pPr>
            <w:r>
              <w:rPr>
                <w:rFonts w:hint="default" w:ascii="Times New Roman"/>
                <w:snapToGrid w:val="0"/>
                <w:color w:val="auto"/>
                <w:spacing w:val="-16"/>
                <w:kern w:val="21"/>
                <w:sz w:val="21"/>
                <w:szCs w:val="21"/>
                <w:highlight w:val="none"/>
              </w:rPr>
              <w:t>（新建项目不填）</w:t>
            </w:r>
            <w:r>
              <w:rPr>
                <w:rFonts w:hint="default" w:ascii="Times New Roman"/>
                <w:snapToGrid w:val="0"/>
                <w:color w:val="auto"/>
                <w:spacing w:val="-16"/>
                <w:kern w:val="21"/>
                <w:sz w:val="21"/>
                <w:szCs w:val="21"/>
                <w:highlight w:val="none"/>
              </w:rPr>
              <w:fldChar w:fldCharType="begin"/>
            </w:r>
            <w:r>
              <w:rPr>
                <w:rFonts w:hint="default" w:ascii="Times New Roman"/>
                <w:snapToGrid w:val="0"/>
                <w:color w:val="auto"/>
                <w:spacing w:val="-16"/>
                <w:kern w:val="21"/>
                <w:sz w:val="21"/>
                <w:szCs w:val="21"/>
                <w:highlight w:val="none"/>
              </w:rPr>
              <w:instrText xml:space="preserve"> = 5 \* GB3 \* MERGEFORMAT </w:instrText>
            </w:r>
            <w:r>
              <w:rPr>
                <w:rFonts w:hint="default" w:ascii="Times New Roman"/>
                <w:snapToGrid w:val="0"/>
                <w:color w:val="auto"/>
                <w:spacing w:val="-16"/>
                <w:kern w:val="21"/>
                <w:sz w:val="21"/>
                <w:szCs w:val="21"/>
                <w:highlight w:val="none"/>
              </w:rPr>
              <w:fldChar w:fldCharType="separate"/>
            </w:r>
            <w:r>
              <w:rPr>
                <w:rFonts w:hint="default" w:ascii="Times New Roman"/>
                <w:color w:val="auto"/>
                <w:kern w:val="2"/>
                <w:sz w:val="21"/>
                <w:szCs w:val="21"/>
                <w:highlight w:val="none"/>
              </w:rPr>
              <w:t>⑤</w:t>
            </w:r>
            <w:r>
              <w:rPr>
                <w:rFonts w:hint="default" w:ascii="Times New Roman"/>
                <w:snapToGrid w:val="0"/>
                <w:color w:val="auto"/>
                <w:spacing w:val="-16"/>
                <w:kern w:val="21"/>
                <w:sz w:val="21"/>
                <w:szCs w:val="21"/>
                <w:highlight w:val="none"/>
              </w:rPr>
              <w:fldChar w:fldCharType="end"/>
            </w:r>
          </w:p>
        </w:tc>
        <w:tc>
          <w:tcPr>
            <w:tcW w:w="1508" w:type="dxa"/>
            <w:tcMar>
              <w:left w:w="28" w:type="dxa"/>
              <w:right w:w="28" w:type="dxa"/>
            </w:tcMar>
            <w:vAlign w:val="center"/>
          </w:tcPr>
          <w:p w14:paraId="2FA5E3F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spacing w:val="-16"/>
                <w:kern w:val="21"/>
                <w:sz w:val="21"/>
                <w:szCs w:val="21"/>
                <w:highlight w:val="none"/>
              </w:rPr>
            </w:pPr>
            <w:r>
              <w:rPr>
                <w:rFonts w:hint="default" w:ascii="Times New Roman"/>
                <w:snapToGrid w:val="0"/>
                <w:color w:val="auto"/>
                <w:spacing w:val="-16"/>
                <w:kern w:val="21"/>
                <w:sz w:val="21"/>
                <w:szCs w:val="21"/>
                <w:highlight w:val="none"/>
              </w:rPr>
              <w:t>本项目建成后</w:t>
            </w:r>
          </w:p>
          <w:p w14:paraId="0A26EA2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spacing w:val="-16"/>
                <w:kern w:val="21"/>
                <w:sz w:val="21"/>
                <w:szCs w:val="21"/>
                <w:highlight w:val="none"/>
              </w:rPr>
            </w:pPr>
            <w:r>
              <w:rPr>
                <w:rFonts w:hint="default" w:ascii="Times New Roman"/>
                <w:snapToGrid w:val="0"/>
                <w:color w:val="auto"/>
                <w:spacing w:val="-16"/>
                <w:kern w:val="21"/>
                <w:sz w:val="21"/>
                <w:szCs w:val="21"/>
                <w:highlight w:val="none"/>
              </w:rPr>
              <w:t>全厂排放量（固体废物产生量）</w:t>
            </w:r>
            <w:r>
              <w:rPr>
                <w:rFonts w:hint="default" w:ascii="Times New Roman"/>
                <w:snapToGrid w:val="0"/>
                <w:color w:val="auto"/>
                <w:spacing w:val="-16"/>
                <w:kern w:val="21"/>
                <w:sz w:val="21"/>
                <w:szCs w:val="21"/>
                <w:highlight w:val="none"/>
              </w:rPr>
              <w:fldChar w:fldCharType="begin"/>
            </w:r>
            <w:r>
              <w:rPr>
                <w:rFonts w:hint="default" w:ascii="Times New Roman"/>
                <w:snapToGrid w:val="0"/>
                <w:color w:val="auto"/>
                <w:spacing w:val="-16"/>
                <w:kern w:val="21"/>
                <w:sz w:val="21"/>
                <w:szCs w:val="21"/>
                <w:highlight w:val="none"/>
              </w:rPr>
              <w:instrText xml:space="preserve"> = 6 \* GB3 \* MERGEFORMAT </w:instrText>
            </w:r>
            <w:r>
              <w:rPr>
                <w:rFonts w:hint="default" w:ascii="Times New Roman"/>
                <w:snapToGrid w:val="0"/>
                <w:color w:val="auto"/>
                <w:spacing w:val="-16"/>
                <w:kern w:val="21"/>
                <w:sz w:val="21"/>
                <w:szCs w:val="21"/>
                <w:highlight w:val="none"/>
              </w:rPr>
              <w:fldChar w:fldCharType="separate"/>
            </w:r>
            <w:r>
              <w:rPr>
                <w:rFonts w:hint="default" w:ascii="Times New Roman"/>
                <w:color w:val="auto"/>
                <w:kern w:val="2"/>
                <w:sz w:val="21"/>
                <w:szCs w:val="21"/>
                <w:highlight w:val="none"/>
              </w:rPr>
              <w:t>⑥</w:t>
            </w:r>
            <w:r>
              <w:rPr>
                <w:rFonts w:hint="default" w:ascii="Times New Roman"/>
                <w:snapToGrid w:val="0"/>
                <w:color w:val="auto"/>
                <w:spacing w:val="-16"/>
                <w:kern w:val="21"/>
                <w:sz w:val="21"/>
                <w:szCs w:val="21"/>
                <w:highlight w:val="none"/>
              </w:rPr>
              <w:fldChar w:fldCharType="end"/>
            </w:r>
          </w:p>
        </w:tc>
        <w:tc>
          <w:tcPr>
            <w:tcW w:w="1634" w:type="dxa"/>
            <w:tcMar>
              <w:left w:w="28" w:type="dxa"/>
              <w:right w:w="28" w:type="dxa"/>
            </w:tcMar>
            <w:vAlign w:val="center"/>
          </w:tcPr>
          <w:p w14:paraId="11F26E5B">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spacing w:val="-6"/>
                <w:kern w:val="21"/>
                <w:sz w:val="21"/>
                <w:szCs w:val="21"/>
                <w:highlight w:val="none"/>
              </w:rPr>
            </w:pPr>
            <w:r>
              <w:rPr>
                <w:rFonts w:hint="default" w:ascii="Times New Roman"/>
                <w:snapToGrid w:val="0"/>
                <w:color w:val="auto"/>
                <w:spacing w:val="-6"/>
                <w:kern w:val="21"/>
                <w:sz w:val="21"/>
                <w:szCs w:val="21"/>
                <w:highlight w:val="none"/>
              </w:rPr>
              <w:t>变化量</w:t>
            </w:r>
          </w:p>
          <w:p w14:paraId="1C8060C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spacing w:val="-6"/>
                <w:kern w:val="21"/>
                <w:sz w:val="21"/>
                <w:szCs w:val="21"/>
                <w:highlight w:val="none"/>
              </w:rPr>
            </w:pPr>
            <w:r>
              <w:rPr>
                <w:rFonts w:hint="default" w:ascii="Times New Roman"/>
                <w:snapToGrid w:val="0"/>
                <w:color w:val="auto"/>
                <w:spacing w:val="-6"/>
                <w:kern w:val="21"/>
                <w:sz w:val="21"/>
                <w:szCs w:val="21"/>
                <w:highlight w:val="none"/>
              </w:rPr>
              <w:fldChar w:fldCharType="begin"/>
            </w:r>
            <w:r>
              <w:rPr>
                <w:rFonts w:hint="default" w:ascii="Times New Roman"/>
                <w:snapToGrid w:val="0"/>
                <w:color w:val="auto"/>
                <w:spacing w:val="-6"/>
                <w:kern w:val="21"/>
                <w:sz w:val="21"/>
                <w:szCs w:val="21"/>
                <w:highlight w:val="none"/>
              </w:rPr>
              <w:instrText xml:space="preserve"> = 7 \* GB3 \* MERGEFORMAT </w:instrText>
            </w:r>
            <w:r>
              <w:rPr>
                <w:rFonts w:hint="default" w:ascii="Times New Roman"/>
                <w:snapToGrid w:val="0"/>
                <w:color w:val="auto"/>
                <w:spacing w:val="-6"/>
                <w:kern w:val="21"/>
                <w:sz w:val="21"/>
                <w:szCs w:val="21"/>
                <w:highlight w:val="none"/>
              </w:rPr>
              <w:fldChar w:fldCharType="separate"/>
            </w:r>
            <w:r>
              <w:rPr>
                <w:rFonts w:hint="default" w:ascii="Times New Roman"/>
                <w:color w:val="auto"/>
                <w:kern w:val="2"/>
                <w:sz w:val="21"/>
                <w:szCs w:val="21"/>
                <w:highlight w:val="none"/>
              </w:rPr>
              <w:t>⑦</w:t>
            </w:r>
            <w:r>
              <w:rPr>
                <w:rFonts w:hint="default" w:ascii="Times New Roman"/>
                <w:snapToGrid w:val="0"/>
                <w:color w:val="auto"/>
                <w:spacing w:val="-6"/>
                <w:kern w:val="21"/>
                <w:sz w:val="21"/>
                <w:szCs w:val="21"/>
                <w:highlight w:val="none"/>
              </w:rPr>
              <w:fldChar w:fldCharType="end"/>
            </w:r>
          </w:p>
        </w:tc>
      </w:tr>
      <w:tr w14:paraId="647B21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2" w:type="dxa"/>
            <w:vAlign w:val="center"/>
          </w:tcPr>
          <w:p w14:paraId="048C77E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r>
              <w:rPr>
                <w:rFonts w:hint="default" w:ascii="Times New Roman"/>
                <w:snapToGrid w:val="0"/>
                <w:color w:val="auto"/>
                <w:kern w:val="21"/>
                <w:sz w:val="21"/>
                <w:szCs w:val="21"/>
                <w:highlight w:val="none"/>
              </w:rPr>
              <w:t>废气</w:t>
            </w:r>
          </w:p>
        </w:tc>
        <w:tc>
          <w:tcPr>
            <w:tcW w:w="1549" w:type="dxa"/>
            <w:vAlign w:val="center"/>
          </w:tcPr>
          <w:p w14:paraId="1BE15906">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r>
              <w:rPr>
                <w:rFonts w:hint="eastAsia" w:ascii="Times New Roman"/>
                <w:snapToGrid w:val="0"/>
                <w:color w:val="auto"/>
                <w:kern w:val="21"/>
                <w:sz w:val="21"/>
                <w:szCs w:val="21"/>
                <w:highlight w:val="none"/>
              </w:rPr>
              <w:t>颗粒物</w:t>
            </w:r>
          </w:p>
        </w:tc>
        <w:tc>
          <w:tcPr>
            <w:tcW w:w="1570" w:type="dxa"/>
            <w:vAlign w:val="center"/>
          </w:tcPr>
          <w:p w14:paraId="2F210F2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r>
              <w:rPr>
                <w:rFonts w:hint="default" w:ascii="Times New Roman"/>
                <w:snapToGrid w:val="0"/>
                <w:color w:val="auto"/>
                <w:kern w:val="21"/>
                <w:sz w:val="21"/>
                <w:szCs w:val="21"/>
                <w:highlight w:val="none"/>
              </w:rPr>
              <w:t>—</w:t>
            </w:r>
          </w:p>
        </w:tc>
        <w:tc>
          <w:tcPr>
            <w:tcW w:w="1570" w:type="dxa"/>
            <w:vAlign w:val="center"/>
          </w:tcPr>
          <w:p w14:paraId="224FFC94">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r>
              <w:rPr>
                <w:rFonts w:hint="default" w:ascii="Times New Roman"/>
                <w:snapToGrid w:val="0"/>
                <w:color w:val="auto"/>
                <w:kern w:val="21"/>
                <w:sz w:val="21"/>
                <w:szCs w:val="21"/>
                <w:highlight w:val="none"/>
              </w:rPr>
              <w:t>—</w:t>
            </w:r>
          </w:p>
        </w:tc>
        <w:tc>
          <w:tcPr>
            <w:tcW w:w="1570" w:type="dxa"/>
            <w:vAlign w:val="center"/>
          </w:tcPr>
          <w:p w14:paraId="71997B5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r>
              <w:rPr>
                <w:rFonts w:hint="default" w:ascii="Times New Roman"/>
                <w:snapToGrid w:val="0"/>
                <w:color w:val="auto"/>
                <w:kern w:val="21"/>
                <w:sz w:val="21"/>
                <w:szCs w:val="21"/>
                <w:highlight w:val="none"/>
              </w:rPr>
              <w:t>—</w:t>
            </w:r>
          </w:p>
        </w:tc>
        <w:tc>
          <w:tcPr>
            <w:tcW w:w="1570" w:type="dxa"/>
            <w:vAlign w:val="center"/>
          </w:tcPr>
          <w:p w14:paraId="281D1CE2">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r>
              <w:rPr>
                <w:rFonts w:hint="eastAsia" w:ascii="Times New Roman"/>
                <w:snapToGrid w:val="0"/>
                <w:color w:val="auto"/>
                <w:kern w:val="21"/>
                <w:sz w:val="21"/>
                <w:szCs w:val="21"/>
                <w:highlight w:val="none"/>
                <w:lang w:val="en-US" w:eastAsia="zh-CN"/>
              </w:rPr>
              <w:t>0.575</w:t>
            </w:r>
            <w:r>
              <w:rPr>
                <w:rFonts w:hint="default" w:ascii="Times New Roman"/>
                <w:snapToGrid w:val="0"/>
                <w:color w:val="auto"/>
                <w:kern w:val="21"/>
                <w:sz w:val="21"/>
                <w:szCs w:val="21"/>
                <w:highlight w:val="none"/>
              </w:rPr>
              <w:t>t/a</w:t>
            </w:r>
          </w:p>
        </w:tc>
        <w:tc>
          <w:tcPr>
            <w:tcW w:w="1570" w:type="dxa"/>
            <w:vAlign w:val="center"/>
          </w:tcPr>
          <w:p w14:paraId="7FE9DC2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r>
              <w:rPr>
                <w:rFonts w:hint="default" w:ascii="Times New Roman"/>
                <w:snapToGrid w:val="0"/>
                <w:color w:val="auto"/>
                <w:kern w:val="21"/>
                <w:sz w:val="21"/>
                <w:szCs w:val="21"/>
                <w:highlight w:val="none"/>
              </w:rPr>
              <w:t>—</w:t>
            </w:r>
          </w:p>
        </w:tc>
        <w:tc>
          <w:tcPr>
            <w:tcW w:w="1508" w:type="dxa"/>
            <w:shd w:val="clear" w:color="auto" w:fill="auto"/>
            <w:vAlign w:val="center"/>
          </w:tcPr>
          <w:p w14:paraId="49AF73A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r>
              <w:rPr>
                <w:rFonts w:hint="eastAsia" w:ascii="Times New Roman"/>
                <w:snapToGrid w:val="0"/>
                <w:color w:val="auto"/>
                <w:kern w:val="21"/>
                <w:sz w:val="21"/>
                <w:szCs w:val="21"/>
                <w:highlight w:val="none"/>
                <w:lang w:val="en-US" w:eastAsia="zh-CN"/>
              </w:rPr>
              <w:t>0.575</w:t>
            </w:r>
            <w:r>
              <w:rPr>
                <w:rFonts w:hint="default" w:ascii="Times New Roman"/>
                <w:snapToGrid w:val="0"/>
                <w:color w:val="auto"/>
                <w:kern w:val="21"/>
                <w:sz w:val="21"/>
                <w:szCs w:val="21"/>
                <w:highlight w:val="none"/>
              </w:rPr>
              <w:t>t/a</w:t>
            </w:r>
          </w:p>
        </w:tc>
        <w:tc>
          <w:tcPr>
            <w:tcW w:w="1634" w:type="dxa"/>
            <w:shd w:val="clear" w:color="auto" w:fill="auto"/>
            <w:vAlign w:val="center"/>
          </w:tcPr>
          <w:p w14:paraId="6AF56D9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r>
              <w:rPr>
                <w:rFonts w:hint="eastAsia" w:ascii="Times New Roman"/>
                <w:snapToGrid w:val="0"/>
                <w:color w:val="auto"/>
                <w:kern w:val="21"/>
                <w:sz w:val="21"/>
                <w:szCs w:val="21"/>
                <w:highlight w:val="none"/>
              </w:rPr>
              <w:t>+</w:t>
            </w:r>
            <w:r>
              <w:rPr>
                <w:rFonts w:hint="eastAsia" w:ascii="Times New Roman"/>
                <w:snapToGrid w:val="0"/>
                <w:color w:val="auto"/>
                <w:kern w:val="21"/>
                <w:sz w:val="21"/>
                <w:szCs w:val="21"/>
                <w:highlight w:val="none"/>
                <w:lang w:val="en-US" w:eastAsia="zh-CN"/>
              </w:rPr>
              <w:t>0.575</w:t>
            </w:r>
            <w:r>
              <w:rPr>
                <w:rFonts w:hint="default" w:ascii="Times New Roman"/>
                <w:snapToGrid w:val="0"/>
                <w:color w:val="auto"/>
                <w:kern w:val="21"/>
                <w:sz w:val="21"/>
                <w:szCs w:val="21"/>
                <w:highlight w:val="none"/>
              </w:rPr>
              <w:t>t/a</w:t>
            </w:r>
          </w:p>
        </w:tc>
      </w:tr>
      <w:tr w14:paraId="5D5769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2" w:type="dxa"/>
            <w:vMerge w:val="restart"/>
            <w:vAlign w:val="center"/>
          </w:tcPr>
          <w:p w14:paraId="797C753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r>
              <w:rPr>
                <w:rFonts w:hint="default" w:ascii="Times New Roman"/>
                <w:snapToGrid w:val="0"/>
                <w:color w:val="auto"/>
                <w:kern w:val="21"/>
                <w:sz w:val="21"/>
                <w:szCs w:val="21"/>
                <w:highlight w:val="none"/>
              </w:rPr>
              <w:t>废水</w:t>
            </w:r>
          </w:p>
        </w:tc>
        <w:tc>
          <w:tcPr>
            <w:tcW w:w="1549" w:type="dxa"/>
            <w:vAlign w:val="center"/>
          </w:tcPr>
          <w:p w14:paraId="36A91E50">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r>
              <w:rPr>
                <w:rFonts w:hint="default" w:ascii="Times New Roman"/>
                <w:snapToGrid w:val="0"/>
                <w:color w:val="auto"/>
                <w:kern w:val="21"/>
                <w:sz w:val="21"/>
                <w:szCs w:val="21"/>
                <w:highlight w:val="none"/>
              </w:rPr>
              <w:t>COD</w:t>
            </w:r>
          </w:p>
        </w:tc>
        <w:tc>
          <w:tcPr>
            <w:tcW w:w="1570" w:type="dxa"/>
            <w:vAlign w:val="center"/>
          </w:tcPr>
          <w:p w14:paraId="10FCB569">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vAlign w:val="center"/>
          </w:tcPr>
          <w:p w14:paraId="49C84886">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vAlign w:val="center"/>
          </w:tcPr>
          <w:p w14:paraId="23930C2E">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vAlign w:val="center"/>
          </w:tcPr>
          <w:p w14:paraId="5B470FD5">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0.</w:t>
            </w:r>
            <w:r>
              <w:rPr>
                <w:rFonts w:hint="eastAsia"/>
                <w:snapToGrid w:val="0"/>
                <w:color w:val="auto"/>
                <w:kern w:val="21"/>
                <w:szCs w:val="21"/>
                <w:highlight w:val="none"/>
                <w:lang w:val="en-US" w:eastAsia="zh-CN"/>
              </w:rPr>
              <w:t>039</w:t>
            </w:r>
            <w:r>
              <w:rPr>
                <w:rFonts w:hint="default"/>
                <w:snapToGrid w:val="0"/>
                <w:color w:val="auto"/>
                <w:kern w:val="21"/>
                <w:szCs w:val="21"/>
                <w:highlight w:val="none"/>
              </w:rPr>
              <w:t>t/a</w:t>
            </w:r>
          </w:p>
        </w:tc>
        <w:tc>
          <w:tcPr>
            <w:tcW w:w="1570" w:type="dxa"/>
            <w:vAlign w:val="center"/>
          </w:tcPr>
          <w:p w14:paraId="50375763">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08" w:type="dxa"/>
            <w:shd w:val="clear" w:color="auto" w:fill="auto"/>
            <w:vAlign w:val="center"/>
          </w:tcPr>
          <w:p w14:paraId="76205837">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snapToGrid w:val="0"/>
                <w:color w:val="auto"/>
                <w:kern w:val="21"/>
                <w:szCs w:val="21"/>
                <w:highlight w:val="none"/>
              </w:rPr>
              <w:t>0.</w:t>
            </w:r>
            <w:r>
              <w:rPr>
                <w:rFonts w:hint="eastAsia"/>
                <w:snapToGrid w:val="0"/>
                <w:color w:val="auto"/>
                <w:kern w:val="21"/>
                <w:szCs w:val="21"/>
                <w:highlight w:val="none"/>
                <w:lang w:val="en-US" w:eastAsia="zh-CN"/>
              </w:rPr>
              <w:t>039</w:t>
            </w:r>
            <w:r>
              <w:rPr>
                <w:rFonts w:hint="default"/>
                <w:snapToGrid w:val="0"/>
                <w:color w:val="auto"/>
                <w:kern w:val="21"/>
                <w:szCs w:val="21"/>
                <w:highlight w:val="none"/>
              </w:rPr>
              <w:t>t/a</w:t>
            </w:r>
          </w:p>
        </w:tc>
        <w:tc>
          <w:tcPr>
            <w:tcW w:w="1634" w:type="dxa"/>
            <w:shd w:val="clear" w:color="auto" w:fill="auto"/>
            <w:vAlign w:val="center"/>
          </w:tcPr>
          <w:p w14:paraId="51E51B5C">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Cs w:val="21"/>
                <w:highlight w:val="none"/>
                <w:lang w:val="en-US" w:eastAsia="zh-CN"/>
              </w:rPr>
              <w:t>+</w:t>
            </w:r>
            <w:r>
              <w:rPr>
                <w:rFonts w:hint="default"/>
                <w:snapToGrid w:val="0"/>
                <w:color w:val="auto"/>
                <w:kern w:val="21"/>
                <w:szCs w:val="21"/>
                <w:highlight w:val="none"/>
              </w:rPr>
              <w:t>0.</w:t>
            </w:r>
            <w:r>
              <w:rPr>
                <w:rFonts w:hint="eastAsia"/>
                <w:snapToGrid w:val="0"/>
                <w:color w:val="auto"/>
                <w:kern w:val="21"/>
                <w:szCs w:val="21"/>
                <w:highlight w:val="none"/>
                <w:lang w:val="en-US" w:eastAsia="zh-CN"/>
              </w:rPr>
              <w:t>039</w:t>
            </w:r>
            <w:r>
              <w:rPr>
                <w:rFonts w:hint="default"/>
                <w:snapToGrid w:val="0"/>
                <w:color w:val="auto"/>
                <w:kern w:val="21"/>
                <w:szCs w:val="21"/>
                <w:highlight w:val="none"/>
              </w:rPr>
              <w:t>t/a</w:t>
            </w:r>
          </w:p>
        </w:tc>
      </w:tr>
      <w:tr w14:paraId="6E9C6D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2" w:type="dxa"/>
            <w:vMerge w:val="continue"/>
            <w:vAlign w:val="center"/>
          </w:tcPr>
          <w:p w14:paraId="7D6895C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p>
        </w:tc>
        <w:tc>
          <w:tcPr>
            <w:tcW w:w="1549" w:type="dxa"/>
            <w:vAlign w:val="center"/>
          </w:tcPr>
          <w:p w14:paraId="304743D2">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r>
              <w:rPr>
                <w:rFonts w:hint="default" w:ascii="Times New Roman"/>
                <w:snapToGrid w:val="0"/>
                <w:color w:val="auto"/>
                <w:kern w:val="21"/>
                <w:sz w:val="21"/>
                <w:szCs w:val="21"/>
                <w:highlight w:val="none"/>
              </w:rPr>
              <w:t>氨氮</w:t>
            </w:r>
          </w:p>
        </w:tc>
        <w:tc>
          <w:tcPr>
            <w:tcW w:w="1570" w:type="dxa"/>
            <w:vAlign w:val="center"/>
          </w:tcPr>
          <w:p w14:paraId="3901963F">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vAlign w:val="center"/>
          </w:tcPr>
          <w:p w14:paraId="0CEDC941">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vAlign w:val="center"/>
          </w:tcPr>
          <w:p w14:paraId="194E7857">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vAlign w:val="center"/>
          </w:tcPr>
          <w:p w14:paraId="726B5E25">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0.0</w:t>
            </w:r>
            <w:r>
              <w:rPr>
                <w:rFonts w:hint="eastAsia"/>
                <w:snapToGrid w:val="0"/>
                <w:color w:val="auto"/>
                <w:kern w:val="21"/>
                <w:szCs w:val="21"/>
                <w:highlight w:val="none"/>
                <w:lang w:val="en-US" w:eastAsia="zh-CN"/>
              </w:rPr>
              <w:t>039</w:t>
            </w:r>
            <w:r>
              <w:rPr>
                <w:rFonts w:hint="default"/>
                <w:snapToGrid w:val="0"/>
                <w:color w:val="auto"/>
                <w:kern w:val="21"/>
                <w:szCs w:val="21"/>
                <w:highlight w:val="none"/>
              </w:rPr>
              <w:t>t/a</w:t>
            </w:r>
          </w:p>
        </w:tc>
        <w:tc>
          <w:tcPr>
            <w:tcW w:w="1570" w:type="dxa"/>
            <w:vAlign w:val="center"/>
          </w:tcPr>
          <w:p w14:paraId="1C07A8A8">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08" w:type="dxa"/>
            <w:shd w:val="clear" w:color="auto" w:fill="auto"/>
            <w:vAlign w:val="center"/>
          </w:tcPr>
          <w:p w14:paraId="6CDDE834">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snapToGrid w:val="0"/>
                <w:color w:val="auto"/>
                <w:kern w:val="21"/>
                <w:szCs w:val="21"/>
                <w:highlight w:val="none"/>
              </w:rPr>
              <w:t>0.0</w:t>
            </w:r>
            <w:r>
              <w:rPr>
                <w:rFonts w:hint="eastAsia"/>
                <w:snapToGrid w:val="0"/>
                <w:color w:val="auto"/>
                <w:kern w:val="21"/>
                <w:szCs w:val="21"/>
                <w:highlight w:val="none"/>
                <w:lang w:val="en-US" w:eastAsia="zh-CN"/>
              </w:rPr>
              <w:t>039</w:t>
            </w:r>
            <w:r>
              <w:rPr>
                <w:rFonts w:hint="default"/>
                <w:snapToGrid w:val="0"/>
                <w:color w:val="auto"/>
                <w:kern w:val="21"/>
                <w:szCs w:val="21"/>
                <w:highlight w:val="none"/>
              </w:rPr>
              <w:t>t/a</w:t>
            </w:r>
          </w:p>
        </w:tc>
        <w:tc>
          <w:tcPr>
            <w:tcW w:w="1634" w:type="dxa"/>
            <w:shd w:val="clear" w:color="auto" w:fill="auto"/>
            <w:vAlign w:val="center"/>
          </w:tcPr>
          <w:p w14:paraId="1822156B">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snapToGrid w:val="0"/>
                <w:color w:val="auto"/>
                <w:kern w:val="21"/>
                <w:szCs w:val="21"/>
                <w:highlight w:val="none"/>
                <w:lang w:val="en-US" w:eastAsia="zh-CN"/>
              </w:rPr>
              <w:t>+</w:t>
            </w:r>
            <w:r>
              <w:rPr>
                <w:rFonts w:hint="default"/>
                <w:snapToGrid w:val="0"/>
                <w:color w:val="auto"/>
                <w:kern w:val="21"/>
                <w:szCs w:val="21"/>
                <w:highlight w:val="none"/>
              </w:rPr>
              <w:t>0.0</w:t>
            </w:r>
            <w:r>
              <w:rPr>
                <w:rFonts w:hint="eastAsia"/>
                <w:snapToGrid w:val="0"/>
                <w:color w:val="auto"/>
                <w:kern w:val="21"/>
                <w:szCs w:val="21"/>
                <w:highlight w:val="none"/>
                <w:lang w:val="en-US" w:eastAsia="zh-CN"/>
              </w:rPr>
              <w:t>039</w:t>
            </w:r>
            <w:r>
              <w:rPr>
                <w:rFonts w:hint="default"/>
                <w:snapToGrid w:val="0"/>
                <w:color w:val="auto"/>
                <w:kern w:val="21"/>
                <w:szCs w:val="21"/>
                <w:highlight w:val="none"/>
              </w:rPr>
              <w:t>t/a</w:t>
            </w:r>
          </w:p>
        </w:tc>
      </w:tr>
      <w:tr w14:paraId="1478BD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2" w:type="dxa"/>
            <w:vMerge w:val="restart"/>
            <w:vAlign w:val="center"/>
          </w:tcPr>
          <w:p w14:paraId="0222D51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r>
              <w:rPr>
                <w:rFonts w:hint="default" w:ascii="Times New Roman"/>
                <w:snapToGrid w:val="0"/>
                <w:color w:val="auto"/>
                <w:kern w:val="21"/>
                <w:sz w:val="21"/>
                <w:szCs w:val="21"/>
                <w:highlight w:val="none"/>
              </w:rPr>
              <w:t>一般工业</w:t>
            </w:r>
          </w:p>
          <w:p w14:paraId="0D54E54A">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r>
              <w:rPr>
                <w:rFonts w:hint="default" w:ascii="Times New Roman"/>
                <w:snapToGrid w:val="0"/>
                <w:color w:val="auto"/>
                <w:kern w:val="21"/>
                <w:sz w:val="21"/>
                <w:szCs w:val="21"/>
                <w:highlight w:val="none"/>
              </w:rPr>
              <w:t>固体废物</w:t>
            </w:r>
          </w:p>
        </w:tc>
        <w:tc>
          <w:tcPr>
            <w:tcW w:w="1549" w:type="dxa"/>
            <w:vAlign w:val="center"/>
          </w:tcPr>
          <w:p w14:paraId="7B6DF5D5">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snapToGrid w:val="0"/>
                <w:color w:val="auto"/>
                <w:kern w:val="21"/>
                <w:sz w:val="21"/>
                <w:szCs w:val="21"/>
                <w:highlight w:val="none"/>
                <w:lang w:eastAsia="zh-CN"/>
              </w:rPr>
            </w:pPr>
            <w:r>
              <w:rPr>
                <w:rFonts w:hint="eastAsia" w:ascii="Times New Roman"/>
                <w:snapToGrid w:val="0"/>
                <w:color w:val="auto"/>
                <w:kern w:val="21"/>
                <w:sz w:val="21"/>
                <w:szCs w:val="21"/>
                <w:highlight w:val="none"/>
                <w:lang w:eastAsia="zh-CN"/>
              </w:rPr>
              <w:t>废砂布</w:t>
            </w:r>
          </w:p>
        </w:tc>
        <w:tc>
          <w:tcPr>
            <w:tcW w:w="1570" w:type="dxa"/>
            <w:vAlign w:val="center"/>
          </w:tcPr>
          <w:p w14:paraId="447CECE9">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vAlign w:val="center"/>
          </w:tcPr>
          <w:p w14:paraId="07997540">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vAlign w:val="center"/>
          </w:tcPr>
          <w:p w14:paraId="2533BA1F">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4C77EEA2">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0.005</w:t>
            </w:r>
          </w:p>
        </w:tc>
        <w:tc>
          <w:tcPr>
            <w:tcW w:w="1570" w:type="dxa"/>
            <w:vAlign w:val="center"/>
          </w:tcPr>
          <w:p w14:paraId="300A9F9C">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08" w:type="dxa"/>
            <w:vAlign w:val="center"/>
          </w:tcPr>
          <w:p w14:paraId="2299E696">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snapToGrid w:val="0"/>
                <w:color w:val="auto"/>
                <w:kern w:val="21"/>
                <w:sz w:val="21"/>
                <w:szCs w:val="21"/>
                <w:highlight w:val="none"/>
                <w:lang w:val="en-US" w:eastAsia="zh-CN"/>
              </w:rPr>
            </w:pPr>
            <w:r>
              <w:rPr>
                <w:rFonts w:hint="eastAsia" w:ascii="Times New Roman"/>
                <w:color w:val="auto"/>
                <w:sz w:val="21"/>
                <w:szCs w:val="21"/>
                <w:highlight w:val="none"/>
                <w:lang w:val="en-US" w:eastAsia="zh-CN"/>
              </w:rPr>
              <w:t>0.005</w:t>
            </w:r>
          </w:p>
        </w:tc>
        <w:tc>
          <w:tcPr>
            <w:tcW w:w="1634" w:type="dxa"/>
            <w:vAlign w:val="center"/>
          </w:tcPr>
          <w:p w14:paraId="052FC3D7">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+0.005</w:t>
            </w:r>
          </w:p>
        </w:tc>
      </w:tr>
      <w:tr w14:paraId="31D9AB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2" w:type="dxa"/>
            <w:vMerge w:val="continue"/>
            <w:vAlign w:val="center"/>
          </w:tcPr>
          <w:p w14:paraId="109514D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p>
        </w:tc>
        <w:tc>
          <w:tcPr>
            <w:tcW w:w="1549" w:type="dxa"/>
            <w:vAlign w:val="center"/>
          </w:tcPr>
          <w:p w14:paraId="2CAFF075">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snapToGrid w:val="0"/>
                <w:color w:val="auto"/>
                <w:kern w:val="21"/>
                <w:sz w:val="21"/>
                <w:szCs w:val="21"/>
                <w:highlight w:val="none"/>
                <w:lang w:eastAsia="zh-CN"/>
              </w:rPr>
            </w:pPr>
            <w:r>
              <w:rPr>
                <w:rFonts w:hint="eastAsia" w:ascii="Times New Roman"/>
                <w:snapToGrid w:val="0"/>
                <w:color w:val="auto"/>
                <w:kern w:val="21"/>
                <w:sz w:val="21"/>
                <w:szCs w:val="21"/>
                <w:highlight w:val="none"/>
                <w:lang w:eastAsia="zh-CN"/>
              </w:rPr>
              <w:t>废麻轮</w:t>
            </w:r>
          </w:p>
        </w:tc>
        <w:tc>
          <w:tcPr>
            <w:tcW w:w="1570" w:type="dxa"/>
            <w:shd w:val="clear" w:color="auto" w:fill="auto"/>
            <w:vAlign w:val="center"/>
          </w:tcPr>
          <w:p w14:paraId="1194896D">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2EFCAE0F">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55D9172F">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206F7EA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0.035</w:t>
            </w:r>
          </w:p>
        </w:tc>
        <w:tc>
          <w:tcPr>
            <w:tcW w:w="1570" w:type="dxa"/>
            <w:vAlign w:val="center"/>
          </w:tcPr>
          <w:p w14:paraId="659C66DD">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08" w:type="dxa"/>
            <w:vAlign w:val="center"/>
          </w:tcPr>
          <w:p w14:paraId="10186FC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0.035</w:t>
            </w:r>
          </w:p>
        </w:tc>
        <w:tc>
          <w:tcPr>
            <w:tcW w:w="1634" w:type="dxa"/>
            <w:vAlign w:val="center"/>
          </w:tcPr>
          <w:p w14:paraId="693A0C13">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+0.035</w:t>
            </w:r>
          </w:p>
        </w:tc>
      </w:tr>
      <w:tr w14:paraId="2406EB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2" w:type="dxa"/>
            <w:vMerge w:val="continue"/>
            <w:vAlign w:val="center"/>
          </w:tcPr>
          <w:p w14:paraId="2A2BB24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p>
        </w:tc>
        <w:tc>
          <w:tcPr>
            <w:tcW w:w="1549" w:type="dxa"/>
            <w:vAlign w:val="center"/>
          </w:tcPr>
          <w:p w14:paraId="6099C0F7">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snapToGrid w:val="0"/>
                <w:color w:val="auto"/>
                <w:kern w:val="21"/>
                <w:sz w:val="21"/>
                <w:szCs w:val="21"/>
                <w:highlight w:val="none"/>
                <w:lang w:eastAsia="zh-CN"/>
              </w:rPr>
            </w:pPr>
            <w:r>
              <w:rPr>
                <w:rFonts w:hint="eastAsia" w:ascii="Times New Roman"/>
                <w:snapToGrid w:val="0"/>
                <w:color w:val="auto"/>
                <w:kern w:val="21"/>
                <w:sz w:val="21"/>
                <w:szCs w:val="21"/>
                <w:highlight w:val="none"/>
                <w:lang w:eastAsia="zh-CN"/>
              </w:rPr>
              <w:t>废布轮</w:t>
            </w:r>
          </w:p>
        </w:tc>
        <w:tc>
          <w:tcPr>
            <w:tcW w:w="1570" w:type="dxa"/>
            <w:shd w:val="clear" w:color="auto" w:fill="auto"/>
            <w:vAlign w:val="center"/>
          </w:tcPr>
          <w:p w14:paraId="0D2F426F">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00E72C88">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45DED6D6">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72D0915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0.026</w:t>
            </w:r>
          </w:p>
        </w:tc>
        <w:tc>
          <w:tcPr>
            <w:tcW w:w="1570" w:type="dxa"/>
            <w:vAlign w:val="center"/>
          </w:tcPr>
          <w:p w14:paraId="2C835A62">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08" w:type="dxa"/>
            <w:vAlign w:val="center"/>
          </w:tcPr>
          <w:p w14:paraId="7B36913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0.026</w:t>
            </w:r>
          </w:p>
        </w:tc>
        <w:tc>
          <w:tcPr>
            <w:tcW w:w="1634" w:type="dxa"/>
            <w:vAlign w:val="center"/>
          </w:tcPr>
          <w:p w14:paraId="4AD99DBA">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+0.026</w:t>
            </w:r>
          </w:p>
        </w:tc>
      </w:tr>
      <w:tr w14:paraId="68C891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2" w:type="dxa"/>
            <w:vMerge w:val="continue"/>
            <w:vAlign w:val="center"/>
          </w:tcPr>
          <w:p w14:paraId="6D11DB37">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p>
        </w:tc>
        <w:tc>
          <w:tcPr>
            <w:tcW w:w="1549" w:type="dxa"/>
            <w:vAlign w:val="center"/>
          </w:tcPr>
          <w:p w14:paraId="756D61FF">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废包装物</w:t>
            </w:r>
          </w:p>
        </w:tc>
        <w:tc>
          <w:tcPr>
            <w:tcW w:w="1570" w:type="dxa"/>
            <w:shd w:val="clear" w:color="auto" w:fill="auto"/>
            <w:vAlign w:val="center"/>
          </w:tcPr>
          <w:p w14:paraId="68D469E3">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6B3A16F0">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6A991D11">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720A6B0E">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0.05</w:t>
            </w:r>
          </w:p>
        </w:tc>
        <w:tc>
          <w:tcPr>
            <w:tcW w:w="1570" w:type="dxa"/>
            <w:vAlign w:val="center"/>
          </w:tcPr>
          <w:p w14:paraId="22614A66">
            <w:pPr>
              <w:keepNext w:val="0"/>
              <w:keepLines w:val="0"/>
              <w:suppressLineNumbers w:val="0"/>
              <w:adjustRightInd w:val="0"/>
              <w:snapToGrid w:val="0"/>
              <w:spacing w:before="0" w:beforeAutospacing="0" w:after="0" w:afterAutospacing="0"/>
              <w:ind w:left="0" w:right="0"/>
              <w:jc w:val="center"/>
              <w:rPr>
                <w:rFonts w:hint="eastAsia" w:eastAsia="宋体"/>
                <w:snapToGrid w:val="0"/>
                <w:color w:val="auto"/>
                <w:kern w:val="21"/>
                <w:szCs w:val="21"/>
                <w:highlight w:val="none"/>
                <w:lang w:val="en-US" w:eastAsia="zh-CN"/>
              </w:rPr>
            </w:pPr>
            <w:r>
              <w:rPr>
                <w:rFonts w:hint="default"/>
                <w:snapToGrid w:val="0"/>
                <w:color w:val="auto"/>
                <w:kern w:val="21"/>
                <w:szCs w:val="21"/>
                <w:highlight w:val="none"/>
              </w:rPr>
              <w:t>—</w:t>
            </w:r>
          </w:p>
        </w:tc>
        <w:tc>
          <w:tcPr>
            <w:tcW w:w="1508" w:type="dxa"/>
            <w:vAlign w:val="center"/>
          </w:tcPr>
          <w:p w14:paraId="2D477A42">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0.05</w:t>
            </w:r>
          </w:p>
        </w:tc>
        <w:tc>
          <w:tcPr>
            <w:tcW w:w="1634" w:type="dxa"/>
            <w:vAlign w:val="center"/>
          </w:tcPr>
          <w:p w14:paraId="74D641EA">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+0.05</w:t>
            </w:r>
          </w:p>
        </w:tc>
      </w:tr>
      <w:tr w14:paraId="3BFC6B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2" w:type="dxa"/>
            <w:vMerge w:val="continue"/>
            <w:vAlign w:val="center"/>
          </w:tcPr>
          <w:p w14:paraId="77D5632B">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p>
        </w:tc>
        <w:tc>
          <w:tcPr>
            <w:tcW w:w="1549" w:type="dxa"/>
            <w:vAlign w:val="center"/>
          </w:tcPr>
          <w:p w14:paraId="1787B49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废滤布</w:t>
            </w:r>
          </w:p>
        </w:tc>
        <w:tc>
          <w:tcPr>
            <w:tcW w:w="1570" w:type="dxa"/>
            <w:shd w:val="clear" w:color="auto" w:fill="auto"/>
            <w:vAlign w:val="center"/>
          </w:tcPr>
          <w:p w14:paraId="0B4BA51B">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75B976C7">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1ECA6309">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586CC7A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1.5</w:t>
            </w:r>
          </w:p>
        </w:tc>
        <w:tc>
          <w:tcPr>
            <w:tcW w:w="1570" w:type="dxa"/>
            <w:vAlign w:val="center"/>
          </w:tcPr>
          <w:p w14:paraId="7989FE48">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08" w:type="dxa"/>
            <w:vAlign w:val="center"/>
          </w:tcPr>
          <w:p w14:paraId="35199FDE">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1.5</w:t>
            </w:r>
          </w:p>
        </w:tc>
        <w:tc>
          <w:tcPr>
            <w:tcW w:w="1634" w:type="dxa"/>
            <w:vAlign w:val="center"/>
          </w:tcPr>
          <w:p w14:paraId="0587449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+1.5</w:t>
            </w:r>
          </w:p>
        </w:tc>
      </w:tr>
      <w:tr w14:paraId="7499B2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2" w:type="dxa"/>
            <w:vMerge w:val="continue"/>
            <w:vAlign w:val="center"/>
          </w:tcPr>
          <w:p w14:paraId="76ABE8B7">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p>
        </w:tc>
        <w:tc>
          <w:tcPr>
            <w:tcW w:w="1549" w:type="dxa"/>
            <w:vAlign w:val="center"/>
          </w:tcPr>
          <w:p w14:paraId="7B65D2D4">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snapToGrid w:val="0"/>
                <w:color w:val="auto"/>
                <w:kern w:val="21"/>
                <w:sz w:val="21"/>
                <w:szCs w:val="21"/>
                <w:highlight w:val="none"/>
                <w:lang w:eastAsia="zh-CN"/>
              </w:rPr>
            </w:pPr>
            <w:r>
              <w:rPr>
                <w:rFonts w:hint="eastAsia" w:ascii="Times New Roman"/>
                <w:snapToGrid w:val="0"/>
                <w:color w:val="auto"/>
                <w:kern w:val="21"/>
                <w:sz w:val="21"/>
                <w:szCs w:val="21"/>
                <w:highlight w:val="none"/>
                <w:lang w:eastAsia="zh-CN"/>
              </w:rPr>
              <w:t>废研磨片</w:t>
            </w:r>
          </w:p>
        </w:tc>
        <w:tc>
          <w:tcPr>
            <w:tcW w:w="1570" w:type="dxa"/>
            <w:shd w:val="clear" w:color="auto" w:fill="auto"/>
            <w:vAlign w:val="center"/>
          </w:tcPr>
          <w:p w14:paraId="5545174F">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40EAFCB5">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7EBCD3B8">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00209C8E">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0.003</w:t>
            </w:r>
          </w:p>
        </w:tc>
        <w:tc>
          <w:tcPr>
            <w:tcW w:w="1570" w:type="dxa"/>
            <w:vAlign w:val="center"/>
          </w:tcPr>
          <w:p w14:paraId="0EF2B5B3">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08" w:type="dxa"/>
            <w:vAlign w:val="center"/>
          </w:tcPr>
          <w:p w14:paraId="75A5ADBA">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0.003</w:t>
            </w:r>
          </w:p>
        </w:tc>
        <w:tc>
          <w:tcPr>
            <w:tcW w:w="1634" w:type="dxa"/>
            <w:vAlign w:val="center"/>
          </w:tcPr>
          <w:p w14:paraId="4FB3A720">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+0.003</w:t>
            </w:r>
          </w:p>
        </w:tc>
      </w:tr>
      <w:tr w14:paraId="2EFA12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2" w:type="dxa"/>
            <w:vMerge w:val="continue"/>
            <w:vAlign w:val="center"/>
          </w:tcPr>
          <w:p w14:paraId="35FB374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p>
        </w:tc>
        <w:tc>
          <w:tcPr>
            <w:tcW w:w="1549" w:type="dxa"/>
            <w:vAlign w:val="center"/>
          </w:tcPr>
          <w:p w14:paraId="7B4F3659">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除尘灰</w:t>
            </w:r>
          </w:p>
        </w:tc>
        <w:tc>
          <w:tcPr>
            <w:tcW w:w="1570" w:type="dxa"/>
            <w:shd w:val="clear" w:color="auto" w:fill="auto"/>
            <w:vAlign w:val="center"/>
          </w:tcPr>
          <w:p w14:paraId="3174DFA6">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3DAD6ABE">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515301A6">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7BE94CC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10.925</w:t>
            </w:r>
          </w:p>
        </w:tc>
        <w:tc>
          <w:tcPr>
            <w:tcW w:w="1570" w:type="dxa"/>
            <w:vAlign w:val="center"/>
          </w:tcPr>
          <w:p w14:paraId="13EFDB41">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08" w:type="dxa"/>
            <w:vAlign w:val="center"/>
          </w:tcPr>
          <w:p w14:paraId="10A5AEC7">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10.925</w:t>
            </w:r>
          </w:p>
        </w:tc>
        <w:tc>
          <w:tcPr>
            <w:tcW w:w="1634" w:type="dxa"/>
            <w:vAlign w:val="center"/>
          </w:tcPr>
          <w:p w14:paraId="3B7C90DD">
            <w:pPr>
              <w:pStyle w:val="61"/>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+10.925</w:t>
            </w:r>
          </w:p>
        </w:tc>
      </w:tr>
      <w:tr w14:paraId="6A1066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2" w:type="dxa"/>
            <w:vMerge w:val="continue"/>
            <w:vAlign w:val="center"/>
          </w:tcPr>
          <w:p w14:paraId="335BFD05">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p>
        </w:tc>
        <w:tc>
          <w:tcPr>
            <w:tcW w:w="1549" w:type="dxa"/>
            <w:vAlign w:val="center"/>
          </w:tcPr>
          <w:p w14:paraId="50AB9D2E">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沉泥</w:t>
            </w:r>
          </w:p>
        </w:tc>
        <w:tc>
          <w:tcPr>
            <w:tcW w:w="1570" w:type="dxa"/>
            <w:shd w:val="clear" w:color="auto" w:fill="auto"/>
            <w:vAlign w:val="center"/>
          </w:tcPr>
          <w:p w14:paraId="13E1B11C">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4D01B903">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2E042BAF">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18986B6E">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14.50</w:t>
            </w:r>
          </w:p>
        </w:tc>
        <w:tc>
          <w:tcPr>
            <w:tcW w:w="1570" w:type="dxa"/>
            <w:vAlign w:val="center"/>
          </w:tcPr>
          <w:p w14:paraId="5999FA1E">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08" w:type="dxa"/>
            <w:vAlign w:val="center"/>
          </w:tcPr>
          <w:p w14:paraId="6D06778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14.50</w:t>
            </w:r>
          </w:p>
        </w:tc>
        <w:tc>
          <w:tcPr>
            <w:tcW w:w="1634" w:type="dxa"/>
            <w:vAlign w:val="center"/>
          </w:tcPr>
          <w:p w14:paraId="5924AB0C">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+14.50</w:t>
            </w:r>
          </w:p>
        </w:tc>
      </w:tr>
      <w:tr w14:paraId="4FAD44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2" w:type="dxa"/>
            <w:vMerge w:val="restart"/>
            <w:vAlign w:val="center"/>
          </w:tcPr>
          <w:p w14:paraId="5D301D10">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r>
              <w:rPr>
                <w:rFonts w:hint="default" w:ascii="Times New Roman"/>
                <w:snapToGrid w:val="0"/>
                <w:color w:val="auto"/>
                <w:kern w:val="21"/>
                <w:sz w:val="21"/>
                <w:szCs w:val="21"/>
                <w:highlight w:val="none"/>
              </w:rPr>
              <w:t>危险废物</w:t>
            </w:r>
          </w:p>
        </w:tc>
        <w:tc>
          <w:tcPr>
            <w:tcW w:w="1549" w:type="dxa"/>
            <w:shd w:val="clear" w:color="auto" w:fill="auto"/>
            <w:vAlign w:val="center"/>
          </w:tcPr>
          <w:p w14:paraId="19D7D877">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auto"/>
                <w:sz w:val="21"/>
                <w:szCs w:val="21"/>
                <w:highlight w:val="none"/>
              </w:rPr>
            </w:pPr>
            <w:r>
              <w:rPr>
                <w:rFonts w:hint="eastAsia" w:ascii="Times New Roman"/>
                <w:color w:val="auto"/>
                <w:sz w:val="21"/>
                <w:szCs w:val="21"/>
                <w:highlight w:val="none"/>
                <w:lang w:val="en-US" w:eastAsia="zh-CN"/>
              </w:rPr>
              <w:t>废铅酸电池</w:t>
            </w:r>
          </w:p>
        </w:tc>
        <w:tc>
          <w:tcPr>
            <w:tcW w:w="1570" w:type="dxa"/>
            <w:shd w:val="clear" w:color="auto" w:fill="auto"/>
            <w:vAlign w:val="center"/>
          </w:tcPr>
          <w:p w14:paraId="0898050E">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4B06A9ED">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59B1B9A5">
            <w:pPr>
              <w:keepNext w:val="0"/>
              <w:keepLines w:val="0"/>
              <w:suppressLineNumbers w:val="0"/>
              <w:adjustRightInd w:val="0"/>
              <w:snapToGrid w:val="0"/>
              <w:spacing w:before="0" w:beforeAutospacing="0" w:after="0" w:afterAutospacing="0"/>
              <w:ind w:left="0" w:right="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122BD2E6">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olor w:val="auto"/>
                <w:sz w:val="21"/>
                <w:szCs w:val="21"/>
                <w:highlight w:val="none"/>
                <w:lang w:val="en-US" w:eastAsia="zh-CN"/>
              </w:rPr>
              <w:t>0.02</w:t>
            </w:r>
            <w:r>
              <w:rPr>
                <w:rFonts w:hint="eastAsia" w:ascii="Times New Roman"/>
                <w:color w:val="auto"/>
                <w:sz w:val="21"/>
                <w:szCs w:val="21"/>
                <w:highlight w:val="none"/>
              </w:rPr>
              <w:t>t/a</w:t>
            </w:r>
          </w:p>
        </w:tc>
        <w:tc>
          <w:tcPr>
            <w:tcW w:w="1570" w:type="dxa"/>
            <w:shd w:val="clear" w:color="auto" w:fill="auto"/>
            <w:vAlign w:val="center"/>
          </w:tcPr>
          <w:p w14:paraId="364680DF">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snapToGrid w:val="0"/>
                <w:color w:val="auto"/>
                <w:kern w:val="21"/>
                <w:szCs w:val="21"/>
                <w:highlight w:val="none"/>
              </w:rPr>
              <w:t>—</w:t>
            </w:r>
          </w:p>
        </w:tc>
        <w:tc>
          <w:tcPr>
            <w:tcW w:w="1508" w:type="dxa"/>
            <w:shd w:val="clear" w:color="auto" w:fill="auto"/>
            <w:vAlign w:val="center"/>
          </w:tcPr>
          <w:p w14:paraId="49CAB125">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olor w:val="auto"/>
                <w:sz w:val="21"/>
                <w:szCs w:val="21"/>
                <w:highlight w:val="none"/>
                <w:lang w:val="en-US" w:eastAsia="zh-CN"/>
              </w:rPr>
              <w:t>0.02</w:t>
            </w:r>
            <w:r>
              <w:rPr>
                <w:rFonts w:hint="eastAsia" w:ascii="Times New Roman"/>
                <w:color w:val="auto"/>
                <w:sz w:val="21"/>
                <w:szCs w:val="21"/>
                <w:highlight w:val="none"/>
              </w:rPr>
              <w:t>t/a</w:t>
            </w:r>
          </w:p>
        </w:tc>
        <w:tc>
          <w:tcPr>
            <w:tcW w:w="1634" w:type="dxa"/>
            <w:shd w:val="clear" w:color="auto" w:fill="auto"/>
            <w:vAlign w:val="center"/>
          </w:tcPr>
          <w:p w14:paraId="7FFAB2E0">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olor w:val="auto"/>
                <w:sz w:val="21"/>
                <w:szCs w:val="21"/>
                <w:highlight w:val="none"/>
                <w:lang w:val="en-US" w:eastAsia="zh-CN"/>
              </w:rPr>
              <w:t>+0.02</w:t>
            </w:r>
            <w:r>
              <w:rPr>
                <w:rFonts w:hint="eastAsia" w:ascii="Times New Roman"/>
                <w:color w:val="auto"/>
                <w:sz w:val="21"/>
                <w:szCs w:val="21"/>
                <w:highlight w:val="none"/>
              </w:rPr>
              <w:t>t/a</w:t>
            </w:r>
          </w:p>
        </w:tc>
      </w:tr>
      <w:tr w14:paraId="1366F0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2" w:type="dxa"/>
            <w:vMerge w:val="continue"/>
            <w:vAlign w:val="center"/>
          </w:tcPr>
          <w:p w14:paraId="255AE3D7">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p>
        </w:tc>
        <w:tc>
          <w:tcPr>
            <w:tcW w:w="1549" w:type="dxa"/>
            <w:shd w:val="clear" w:color="auto" w:fill="auto"/>
            <w:vAlign w:val="center"/>
          </w:tcPr>
          <w:p w14:paraId="2F4BA08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废润滑油</w:t>
            </w:r>
          </w:p>
        </w:tc>
        <w:tc>
          <w:tcPr>
            <w:tcW w:w="1570" w:type="dxa"/>
            <w:shd w:val="clear" w:color="auto" w:fill="auto"/>
            <w:vAlign w:val="center"/>
          </w:tcPr>
          <w:p w14:paraId="7F654528">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snapToGrid w:val="0"/>
                <w:color w:val="auto"/>
                <w:kern w:val="21"/>
                <w:szCs w:val="21"/>
                <w:highlight w:val="none"/>
              </w:rPr>
              <w:t>—</w:t>
            </w:r>
          </w:p>
        </w:tc>
        <w:tc>
          <w:tcPr>
            <w:tcW w:w="1570" w:type="dxa"/>
            <w:shd w:val="clear" w:color="auto" w:fill="auto"/>
            <w:vAlign w:val="center"/>
          </w:tcPr>
          <w:p w14:paraId="627FA030">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snapToGrid w:val="0"/>
                <w:color w:val="auto"/>
                <w:kern w:val="21"/>
                <w:szCs w:val="21"/>
                <w:highlight w:val="none"/>
              </w:rPr>
              <w:t>—</w:t>
            </w:r>
          </w:p>
        </w:tc>
        <w:tc>
          <w:tcPr>
            <w:tcW w:w="1570" w:type="dxa"/>
            <w:shd w:val="clear" w:color="auto" w:fill="auto"/>
            <w:vAlign w:val="center"/>
          </w:tcPr>
          <w:p w14:paraId="19A8EC8B">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snapToGrid w:val="0"/>
                <w:color w:val="auto"/>
                <w:kern w:val="21"/>
                <w:szCs w:val="21"/>
                <w:highlight w:val="none"/>
              </w:rPr>
              <w:t>—</w:t>
            </w:r>
          </w:p>
        </w:tc>
        <w:tc>
          <w:tcPr>
            <w:tcW w:w="1570" w:type="dxa"/>
            <w:shd w:val="clear" w:color="auto" w:fill="auto"/>
            <w:vAlign w:val="center"/>
          </w:tcPr>
          <w:p w14:paraId="102BFA9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0.03t/a</w:t>
            </w:r>
          </w:p>
        </w:tc>
        <w:tc>
          <w:tcPr>
            <w:tcW w:w="1570" w:type="dxa"/>
            <w:shd w:val="clear" w:color="auto" w:fill="auto"/>
            <w:vAlign w:val="center"/>
          </w:tcPr>
          <w:p w14:paraId="014756C3">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snapToGrid w:val="0"/>
                <w:color w:val="auto"/>
                <w:kern w:val="21"/>
                <w:szCs w:val="21"/>
                <w:highlight w:val="none"/>
              </w:rPr>
              <w:t>—</w:t>
            </w:r>
          </w:p>
        </w:tc>
        <w:tc>
          <w:tcPr>
            <w:tcW w:w="1508" w:type="dxa"/>
            <w:shd w:val="clear" w:color="auto" w:fill="auto"/>
            <w:vAlign w:val="center"/>
          </w:tcPr>
          <w:p w14:paraId="7535364A">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color w:val="auto"/>
                <w:sz w:val="21"/>
                <w:szCs w:val="21"/>
                <w:highlight w:val="none"/>
              </w:rPr>
              <w:t>0.03t/a</w:t>
            </w:r>
          </w:p>
        </w:tc>
        <w:tc>
          <w:tcPr>
            <w:tcW w:w="1634" w:type="dxa"/>
            <w:shd w:val="clear" w:color="auto" w:fill="auto"/>
            <w:vAlign w:val="center"/>
          </w:tcPr>
          <w:p w14:paraId="4CB48422">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snapToGrid w:val="0"/>
                <w:color w:val="auto"/>
                <w:kern w:val="21"/>
                <w:szCs w:val="21"/>
                <w:highlight w:val="none"/>
              </w:rPr>
              <w:t>+</w:t>
            </w:r>
            <w:r>
              <w:rPr>
                <w:rFonts w:hint="default" w:ascii="Times New Roman"/>
                <w:color w:val="auto"/>
                <w:sz w:val="21"/>
                <w:szCs w:val="21"/>
                <w:highlight w:val="none"/>
              </w:rPr>
              <w:t>0.03t/a</w:t>
            </w:r>
          </w:p>
        </w:tc>
      </w:tr>
      <w:tr w14:paraId="490E33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2" w:type="dxa"/>
            <w:vMerge w:val="continue"/>
            <w:vAlign w:val="center"/>
          </w:tcPr>
          <w:p w14:paraId="1045E20A">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p>
        </w:tc>
        <w:tc>
          <w:tcPr>
            <w:tcW w:w="1549" w:type="dxa"/>
            <w:shd w:val="clear" w:color="auto" w:fill="auto"/>
            <w:vAlign w:val="center"/>
          </w:tcPr>
          <w:p w14:paraId="5575DF4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废润滑油桶</w:t>
            </w:r>
          </w:p>
        </w:tc>
        <w:tc>
          <w:tcPr>
            <w:tcW w:w="1570" w:type="dxa"/>
            <w:shd w:val="clear" w:color="auto" w:fill="auto"/>
            <w:vAlign w:val="center"/>
          </w:tcPr>
          <w:p w14:paraId="1BDD1D64">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3C0AA9BD">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79A801E3">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01608BE3">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0.01</w:t>
            </w:r>
            <w:r>
              <w:rPr>
                <w:rFonts w:hint="default" w:ascii="Times New Roman"/>
                <w:color w:val="auto"/>
                <w:sz w:val="21"/>
                <w:szCs w:val="21"/>
                <w:highlight w:val="none"/>
              </w:rPr>
              <w:t>t/a</w:t>
            </w:r>
          </w:p>
        </w:tc>
        <w:tc>
          <w:tcPr>
            <w:tcW w:w="1570" w:type="dxa"/>
            <w:shd w:val="clear" w:color="auto" w:fill="auto"/>
            <w:vAlign w:val="center"/>
          </w:tcPr>
          <w:p w14:paraId="45F5BE48">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08" w:type="dxa"/>
            <w:shd w:val="clear" w:color="auto" w:fill="auto"/>
            <w:vAlign w:val="center"/>
          </w:tcPr>
          <w:p w14:paraId="0DE122E6">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0.01</w:t>
            </w:r>
            <w:r>
              <w:rPr>
                <w:rFonts w:hint="default" w:ascii="Times New Roman"/>
                <w:color w:val="auto"/>
                <w:sz w:val="21"/>
                <w:szCs w:val="21"/>
                <w:highlight w:val="none"/>
              </w:rPr>
              <w:t>t/a</w:t>
            </w:r>
          </w:p>
        </w:tc>
        <w:tc>
          <w:tcPr>
            <w:tcW w:w="1634" w:type="dxa"/>
            <w:shd w:val="clear" w:color="auto" w:fill="auto"/>
            <w:vAlign w:val="center"/>
          </w:tcPr>
          <w:p w14:paraId="04F4C2ED">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eastAsia="宋体"/>
                <w:snapToGrid w:val="0"/>
                <w:color w:val="auto"/>
                <w:kern w:val="21"/>
                <w:szCs w:val="21"/>
                <w:highlight w:val="none"/>
                <w:lang w:val="en-US" w:eastAsia="zh-CN"/>
              </w:rPr>
            </w:pPr>
            <w:r>
              <w:rPr>
                <w:rFonts w:hint="eastAsia" w:ascii="Times New Roman"/>
                <w:color w:val="auto"/>
                <w:sz w:val="21"/>
                <w:szCs w:val="21"/>
                <w:highlight w:val="none"/>
                <w:lang w:val="en-US" w:eastAsia="zh-CN"/>
              </w:rPr>
              <w:t>+0.01</w:t>
            </w:r>
            <w:r>
              <w:rPr>
                <w:rFonts w:hint="default" w:ascii="Times New Roman"/>
                <w:color w:val="auto"/>
                <w:sz w:val="21"/>
                <w:szCs w:val="21"/>
                <w:highlight w:val="none"/>
              </w:rPr>
              <w:t>t/a</w:t>
            </w:r>
          </w:p>
        </w:tc>
      </w:tr>
      <w:tr w14:paraId="7EF681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2" w:type="dxa"/>
            <w:vMerge w:val="continue"/>
            <w:vAlign w:val="center"/>
          </w:tcPr>
          <w:p w14:paraId="0079BB61">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p>
        </w:tc>
        <w:tc>
          <w:tcPr>
            <w:tcW w:w="1549" w:type="dxa"/>
            <w:shd w:val="clear" w:color="auto" w:fill="auto"/>
            <w:vAlign w:val="center"/>
          </w:tcPr>
          <w:p w14:paraId="595A3316">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废机油</w:t>
            </w:r>
          </w:p>
        </w:tc>
        <w:tc>
          <w:tcPr>
            <w:tcW w:w="1570" w:type="dxa"/>
            <w:shd w:val="clear" w:color="auto" w:fill="auto"/>
            <w:vAlign w:val="center"/>
          </w:tcPr>
          <w:p w14:paraId="627E8803">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5C9FA17B">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0AEF2A03">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191BC8D4">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0.001</w:t>
            </w:r>
            <w:r>
              <w:rPr>
                <w:rFonts w:hint="default" w:ascii="Times New Roman"/>
                <w:color w:val="auto"/>
                <w:sz w:val="21"/>
                <w:szCs w:val="21"/>
                <w:highlight w:val="none"/>
              </w:rPr>
              <w:t>t/a</w:t>
            </w:r>
          </w:p>
        </w:tc>
        <w:tc>
          <w:tcPr>
            <w:tcW w:w="1570" w:type="dxa"/>
            <w:shd w:val="clear" w:color="auto" w:fill="auto"/>
            <w:vAlign w:val="center"/>
          </w:tcPr>
          <w:p w14:paraId="5037F366">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08" w:type="dxa"/>
            <w:shd w:val="clear" w:color="auto" w:fill="auto"/>
            <w:vAlign w:val="center"/>
          </w:tcPr>
          <w:p w14:paraId="27A73F1B">
            <w:pPr>
              <w:keepNext w:val="0"/>
              <w:keepLines w:val="0"/>
              <w:suppressLineNumbers w:val="0"/>
              <w:spacing w:before="0" w:beforeLines="0" w:beforeAutospacing="0" w:after="0" w:afterLines="0" w:afterAutospacing="0" w:line="240" w:lineRule="auto"/>
              <w:ind w:left="0" w:leftChars="0" w:right="0" w:rightChars="0" w:firstLine="0" w:firstLineChars="0"/>
              <w:jc w:val="center"/>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0.001</w:t>
            </w:r>
            <w:r>
              <w:rPr>
                <w:rFonts w:hint="default" w:ascii="Times New Roman"/>
                <w:color w:val="auto"/>
                <w:sz w:val="21"/>
                <w:szCs w:val="21"/>
                <w:highlight w:val="none"/>
              </w:rPr>
              <w:t>t/a</w:t>
            </w:r>
          </w:p>
        </w:tc>
        <w:tc>
          <w:tcPr>
            <w:tcW w:w="1634" w:type="dxa"/>
            <w:shd w:val="clear" w:color="auto" w:fill="auto"/>
            <w:vAlign w:val="center"/>
          </w:tcPr>
          <w:p w14:paraId="1F8F980B">
            <w:pPr>
              <w:keepNext w:val="0"/>
              <w:keepLines w:val="0"/>
              <w:suppressLineNumbers w:val="0"/>
              <w:spacing w:before="0" w:beforeLines="0" w:beforeAutospacing="0" w:after="0" w:afterLines="0" w:afterAutospacing="0" w:line="240" w:lineRule="auto"/>
              <w:ind w:left="0" w:leftChars="0" w:right="0" w:rightChars="0" w:firstLine="0" w:firstLineChars="0"/>
              <w:jc w:val="center"/>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+0.001</w:t>
            </w:r>
            <w:r>
              <w:rPr>
                <w:rFonts w:hint="default" w:ascii="Times New Roman"/>
                <w:color w:val="auto"/>
                <w:sz w:val="21"/>
                <w:szCs w:val="21"/>
                <w:highlight w:val="none"/>
              </w:rPr>
              <w:t>t/a</w:t>
            </w:r>
          </w:p>
        </w:tc>
      </w:tr>
      <w:tr w14:paraId="3C7035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2" w:type="dxa"/>
            <w:vMerge w:val="continue"/>
            <w:vAlign w:val="center"/>
          </w:tcPr>
          <w:p w14:paraId="396EFA7D">
            <w:pPr>
              <w:pStyle w:val="61"/>
              <w:keepNext w:val="0"/>
              <w:keepLines w:val="0"/>
              <w:suppressLineNumbers w:val="0"/>
              <w:spacing w:before="0" w:beforeLines="0" w:beforeAutospacing="0" w:after="0" w:afterLines="0" w:afterAutospacing="0" w:line="240" w:lineRule="auto"/>
              <w:ind w:left="0" w:right="0" w:firstLine="0" w:firstLineChars="0"/>
              <w:rPr>
                <w:rFonts w:hint="default" w:ascii="Times New Roman"/>
                <w:snapToGrid w:val="0"/>
                <w:color w:val="auto"/>
                <w:kern w:val="21"/>
                <w:sz w:val="21"/>
                <w:szCs w:val="21"/>
                <w:highlight w:val="none"/>
              </w:rPr>
            </w:pPr>
          </w:p>
        </w:tc>
        <w:tc>
          <w:tcPr>
            <w:tcW w:w="1549" w:type="dxa"/>
            <w:shd w:val="clear" w:color="auto" w:fill="auto"/>
            <w:vAlign w:val="center"/>
          </w:tcPr>
          <w:p w14:paraId="46CC4DD4">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废机油桶</w:t>
            </w:r>
          </w:p>
        </w:tc>
        <w:tc>
          <w:tcPr>
            <w:tcW w:w="1570" w:type="dxa"/>
            <w:shd w:val="clear" w:color="auto" w:fill="auto"/>
            <w:vAlign w:val="center"/>
          </w:tcPr>
          <w:p w14:paraId="5278DEFE">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2168F1DE">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15015AA0">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70" w:type="dxa"/>
            <w:shd w:val="clear" w:color="auto" w:fill="auto"/>
            <w:vAlign w:val="center"/>
          </w:tcPr>
          <w:p w14:paraId="1A99D753">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0.01</w:t>
            </w:r>
            <w:r>
              <w:rPr>
                <w:rFonts w:hint="default" w:ascii="Times New Roman"/>
                <w:color w:val="auto"/>
                <w:sz w:val="21"/>
                <w:szCs w:val="21"/>
                <w:highlight w:val="none"/>
              </w:rPr>
              <w:t>t/a</w:t>
            </w:r>
          </w:p>
        </w:tc>
        <w:tc>
          <w:tcPr>
            <w:tcW w:w="1570" w:type="dxa"/>
            <w:shd w:val="clear" w:color="auto" w:fill="auto"/>
            <w:vAlign w:val="center"/>
          </w:tcPr>
          <w:p w14:paraId="4ADE0B51">
            <w:pPr>
              <w:keepNext w:val="0"/>
              <w:keepLines w:val="0"/>
              <w:suppressLineNumbers w:val="0"/>
              <w:adjustRightInd w:val="0"/>
              <w:snapToGrid w:val="0"/>
              <w:spacing w:before="0" w:beforeAutospacing="0" w:after="0" w:afterAutospacing="0"/>
              <w:ind w:left="0" w:leftChars="0" w:right="0" w:rightChars="0"/>
              <w:jc w:val="center"/>
              <w:rPr>
                <w:rFonts w:hint="default"/>
                <w:snapToGrid w:val="0"/>
                <w:color w:val="auto"/>
                <w:kern w:val="21"/>
                <w:szCs w:val="21"/>
                <w:highlight w:val="none"/>
              </w:rPr>
            </w:pPr>
            <w:r>
              <w:rPr>
                <w:rFonts w:hint="default"/>
                <w:snapToGrid w:val="0"/>
                <w:color w:val="auto"/>
                <w:kern w:val="21"/>
                <w:szCs w:val="21"/>
                <w:highlight w:val="none"/>
              </w:rPr>
              <w:t>—</w:t>
            </w:r>
          </w:p>
        </w:tc>
        <w:tc>
          <w:tcPr>
            <w:tcW w:w="1508" w:type="dxa"/>
            <w:shd w:val="clear" w:color="auto" w:fill="auto"/>
            <w:vAlign w:val="center"/>
          </w:tcPr>
          <w:p w14:paraId="6B6ABD04">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color w:val="auto"/>
                <w:sz w:val="21"/>
                <w:szCs w:val="21"/>
                <w:highlight w:val="none"/>
                <w:lang w:val="en-US" w:eastAsia="zh-CN"/>
              </w:rPr>
              <w:t>0.01</w:t>
            </w:r>
            <w:r>
              <w:rPr>
                <w:rFonts w:hint="default" w:ascii="Times New Roman"/>
                <w:color w:val="auto"/>
                <w:sz w:val="21"/>
                <w:szCs w:val="21"/>
                <w:highlight w:val="none"/>
              </w:rPr>
              <w:t>t/a</w:t>
            </w:r>
          </w:p>
        </w:tc>
        <w:tc>
          <w:tcPr>
            <w:tcW w:w="1634" w:type="dxa"/>
            <w:shd w:val="clear" w:color="auto" w:fill="auto"/>
            <w:vAlign w:val="center"/>
          </w:tcPr>
          <w:p w14:paraId="23B05691">
            <w:pPr>
              <w:pStyle w:val="61"/>
              <w:keepNext w:val="0"/>
              <w:keepLines w:val="0"/>
              <w:suppressLineNumbers w:val="0"/>
              <w:spacing w:before="0" w:beforeLines="0" w:beforeAutospacing="0" w:after="0" w:afterLines="0" w:afterAutospacing="0" w:line="240" w:lineRule="auto"/>
              <w:ind w:left="0" w:leftChars="0" w:right="0" w:rightChars="0" w:firstLine="0" w:firstLineChars="0"/>
              <w:rPr>
                <w:rFonts w:hint="eastAsia" w:ascii="宋体" w:hAnsi="Times New Roman" w:eastAsia="宋体" w:cs="Times New Roman"/>
                <w:snapToGrid w:val="0"/>
                <w:color w:val="auto"/>
                <w:kern w:val="21"/>
                <w:sz w:val="28"/>
                <w:szCs w:val="21"/>
                <w:highlight w:val="none"/>
                <w:lang w:val="en-US" w:eastAsia="zh-CN" w:bidi="ar-SA"/>
              </w:rPr>
            </w:pPr>
            <w:r>
              <w:rPr>
                <w:rFonts w:hint="eastAsia" w:ascii="Times New Roman"/>
                <w:color w:val="auto"/>
                <w:sz w:val="21"/>
                <w:szCs w:val="21"/>
                <w:highlight w:val="none"/>
                <w:lang w:val="en-US" w:eastAsia="zh-CN"/>
              </w:rPr>
              <w:t>+0.01</w:t>
            </w:r>
            <w:r>
              <w:rPr>
                <w:rFonts w:hint="default" w:ascii="Times New Roman"/>
                <w:color w:val="auto"/>
                <w:sz w:val="21"/>
                <w:szCs w:val="21"/>
                <w:highlight w:val="none"/>
              </w:rPr>
              <w:t>t/a</w:t>
            </w:r>
          </w:p>
        </w:tc>
      </w:tr>
    </w:tbl>
    <w:p w14:paraId="36B3B824">
      <w:pPr>
        <w:rPr>
          <w:snapToGrid w:val="0"/>
          <w:color w:val="auto"/>
          <w:spacing w:val="-6"/>
          <w:kern w:val="21"/>
          <w:szCs w:val="21"/>
          <w:highlight w:val="none"/>
        </w:rPr>
      </w:pPr>
      <w:r>
        <w:rPr>
          <w:snapToGrid w:val="0"/>
          <w:color w:val="auto"/>
          <w:kern w:val="21"/>
          <w:szCs w:val="21"/>
          <w:highlight w:val="none"/>
        </w:rPr>
        <w:t>注：</w:t>
      </w:r>
      <w:r>
        <w:rPr>
          <w:snapToGrid w:val="0"/>
          <w:color w:val="auto"/>
          <w:spacing w:val="-16"/>
          <w:kern w:val="21"/>
          <w:szCs w:val="21"/>
          <w:highlight w:val="none"/>
        </w:rPr>
        <w:fldChar w:fldCharType="begin"/>
      </w:r>
      <w:r>
        <w:rPr>
          <w:snapToGrid w:val="0"/>
          <w:color w:val="auto"/>
          <w:spacing w:val="-16"/>
          <w:kern w:val="21"/>
          <w:szCs w:val="21"/>
          <w:highlight w:val="none"/>
        </w:rPr>
        <w:instrText xml:space="preserve"> = 6 \* GB3 \* MERGEFORMAT </w:instrText>
      </w:r>
      <w:r>
        <w:rPr>
          <w:snapToGrid w:val="0"/>
          <w:color w:val="auto"/>
          <w:spacing w:val="-16"/>
          <w:kern w:val="21"/>
          <w:szCs w:val="21"/>
          <w:highlight w:val="none"/>
        </w:rPr>
        <w:fldChar w:fldCharType="separate"/>
      </w:r>
      <w:r>
        <w:rPr>
          <w:color w:val="auto"/>
          <w:szCs w:val="21"/>
          <w:highlight w:val="none"/>
        </w:rPr>
        <w:t>⑥</w:t>
      </w:r>
      <w:r>
        <w:rPr>
          <w:snapToGrid w:val="0"/>
          <w:color w:val="auto"/>
          <w:spacing w:val="-16"/>
          <w:kern w:val="21"/>
          <w:szCs w:val="21"/>
          <w:highlight w:val="none"/>
        </w:rPr>
        <w:fldChar w:fldCharType="end"/>
      </w:r>
      <w:r>
        <w:rPr>
          <w:snapToGrid w:val="0"/>
          <w:color w:val="auto"/>
          <w:spacing w:val="-16"/>
          <w:kern w:val="21"/>
          <w:szCs w:val="21"/>
          <w:highlight w:val="none"/>
        </w:rPr>
        <w:t>=</w:t>
      </w:r>
      <w:r>
        <w:rPr>
          <w:snapToGrid w:val="0"/>
          <w:color w:val="auto"/>
          <w:spacing w:val="-6"/>
          <w:kern w:val="21"/>
          <w:szCs w:val="21"/>
          <w:highlight w:val="none"/>
        </w:rPr>
        <w:fldChar w:fldCharType="begin"/>
      </w:r>
      <w:r>
        <w:rPr>
          <w:snapToGrid w:val="0"/>
          <w:color w:val="auto"/>
          <w:spacing w:val="-6"/>
          <w:kern w:val="21"/>
          <w:szCs w:val="21"/>
          <w:highlight w:val="none"/>
        </w:rPr>
        <w:instrText xml:space="preserve"> = 1 \* GB3 \* MERGEFORMAT </w:instrText>
      </w:r>
      <w:r>
        <w:rPr>
          <w:snapToGrid w:val="0"/>
          <w:color w:val="auto"/>
          <w:spacing w:val="-6"/>
          <w:kern w:val="21"/>
          <w:szCs w:val="21"/>
          <w:highlight w:val="none"/>
        </w:rPr>
        <w:fldChar w:fldCharType="separate"/>
      </w:r>
      <w:r>
        <w:rPr>
          <w:color w:val="auto"/>
          <w:szCs w:val="21"/>
          <w:highlight w:val="none"/>
        </w:rPr>
        <w:t>①</w:t>
      </w:r>
      <w:r>
        <w:rPr>
          <w:snapToGrid w:val="0"/>
          <w:color w:val="auto"/>
          <w:spacing w:val="-6"/>
          <w:kern w:val="21"/>
          <w:szCs w:val="21"/>
          <w:highlight w:val="none"/>
        </w:rPr>
        <w:fldChar w:fldCharType="end"/>
      </w:r>
      <w:r>
        <w:rPr>
          <w:snapToGrid w:val="0"/>
          <w:color w:val="auto"/>
          <w:spacing w:val="-6"/>
          <w:kern w:val="21"/>
          <w:szCs w:val="21"/>
          <w:highlight w:val="none"/>
        </w:rPr>
        <w:t>+</w:t>
      </w:r>
      <w:r>
        <w:rPr>
          <w:snapToGrid w:val="0"/>
          <w:color w:val="auto"/>
          <w:spacing w:val="-6"/>
          <w:kern w:val="21"/>
          <w:szCs w:val="21"/>
          <w:highlight w:val="none"/>
        </w:rPr>
        <w:fldChar w:fldCharType="begin"/>
      </w:r>
      <w:r>
        <w:rPr>
          <w:snapToGrid w:val="0"/>
          <w:color w:val="auto"/>
          <w:spacing w:val="-6"/>
          <w:kern w:val="21"/>
          <w:szCs w:val="21"/>
          <w:highlight w:val="none"/>
        </w:rPr>
        <w:instrText xml:space="preserve"> = 3 \* GB3 \* MERGEFORMAT </w:instrText>
      </w:r>
      <w:r>
        <w:rPr>
          <w:snapToGrid w:val="0"/>
          <w:color w:val="auto"/>
          <w:spacing w:val="-6"/>
          <w:kern w:val="21"/>
          <w:szCs w:val="21"/>
          <w:highlight w:val="none"/>
        </w:rPr>
        <w:fldChar w:fldCharType="separate"/>
      </w:r>
      <w:r>
        <w:rPr>
          <w:color w:val="auto"/>
          <w:szCs w:val="21"/>
          <w:highlight w:val="none"/>
        </w:rPr>
        <w:t>③</w:t>
      </w:r>
      <w:r>
        <w:rPr>
          <w:snapToGrid w:val="0"/>
          <w:color w:val="auto"/>
          <w:spacing w:val="-6"/>
          <w:kern w:val="21"/>
          <w:szCs w:val="21"/>
          <w:highlight w:val="none"/>
        </w:rPr>
        <w:fldChar w:fldCharType="end"/>
      </w:r>
      <w:r>
        <w:rPr>
          <w:snapToGrid w:val="0"/>
          <w:color w:val="auto"/>
          <w:spacing w:val="-6"/>
          <w:kern w:val="21"/>
          <w:szCs w:val="21"/>
          <w:highlight w:val="none"/>
        </w:rPr>
        <w:t>+</w:t>
      </w:r>
      <w:r>
        <w:rPr>
          <w:snapToGrid w:val="0"/>
          <w:color w:val="auto"/>
          <w:spacing w:val="-6"/>
          <w:kern w:val="21"/>
          <w:szCs w:val="21"/>
          <w:highlight w:val="none"/>
        </w:rPr>
        <w:fldChar w:fldCharType="begin"/>
      </w:r>
      <w:r>
        <w:rPr>
          <w:snapToGrid w:val="0"/>
          <w:color w:val="auto"/>
          <w:spacing w:val="-6"/>
          <w:kern w:val="21"/>
          <w:szCs w:val="21"/>
          <w:highlight w:val="none"/>
        </w:rPr>
        <w:instrText xml:space="preserve"> = 4 \* GB3 \* MERGEFORMAT </w:instrText>
      </w:r>
      <w:r>
        <w:rPr>
          <w:snapToGrid w:val="0"/>
          <w:color w:val="auto"/>
          <w:spacing w:val="-6"/>
          <w:kern w:val="21"/>
          <w:szCs w:val="21"/>
          <w:highlight w:val="none"/>
        </w:rPr>
        <w:fldChar w:fldCharType="separate"/>
      </w:r>
      <w:r>
        <w:rPr>
          <w:color w:val="auto"/>
          <w:szCs w:val="21"/>
          <w:highlight w:val="none"/>
        </w:rPr>
        <w:t>④</w:t>
      </w:r>
      <w:r>
        <w:rPr>
          <w:snapToGrid w:val="0"/>
          <w:color w:val="auto"/>
          <w:spacing w:val="-6"/>
          <w:kern w:val="21"/>
          <w:szCs w:val="21"/>
          <w:highlight w:val="none"/>
        </w:rPr>
        <w:fldChar w:fldCharType="end"/>
      </w:r>
      <w:r>
        <w:rPr>
          <w:snapToGrid w:val="0"/>
          <w:color w:val="auto"/>
          <w:spacing w:val="-6"/>
          <w:kern w:val="21"/>
          <w:szCs w:val="21"/>
          <w:highlight w:val="none"/>
        </w:rPr>
        <w:t>-</w:t>
      </w:r>
      <w:r>
        <w:rPr>
          <w:snapToGrid w:val="0"/>
          <w:color w:val="auto"/>
          <w:spacing w:val="-16"/>
          <w:kern w:val="21"/>
          <w:szCs w:val="21"/>
          <w:highlight w:val="none"/>
        </w:rPr>
        <w:fldChar w:fldCharType="begin"/>
      </w:r>
      <w:r>
        <w:rPr>
          <w:snapToGrid w:val="0"/>
          <w:color w:val="auto"/>
          <w:spacing w:val="-16"/>
          <w:kern w:val="21"/>
          <w:szCs w:val="21"/>
          <w:highlight w:val="none"/>
        </w:rPr>
        <w:instrText xml:space="preserve"> = 5 \* GB3 \* MERGEFORMAT </w:instrText>
      </w:r>
      <w:r>
        <w:rPr>
          <w:snapToGrid w:val="0"/>
          <w:color w:val="auto"/>
          <w:spacing w:val="-16"/>
          <w:kern w:val="21"/>
          <w:szCs w:val="21"/>
          <w:highlight w:val="none"/>
        </w:rPr>
        <w:fldChar w:fldCharType="separate"/>
      </w:r>
      <w:r>
        <w:rPr>
          <w:color w:val="auto"/>
          <w:szCs w:val="21"/>
          <w:highlight w:val="none"/>
        </w:rPr>
        <w:t>⑤</w:t>
      </w:r>
      <w:r>
        <w:rPr>
          <w:snapToGrid w:val="0"/>
          <w:color w:val="auto"/>
          <w:spacing w:val="-16"/>
          <w:kern w:val="21"/>
          <w:szCs w:val="21"/>
          <w:highlight w:val="none"/>
        </w:rPr>
        <w:fldChar w:fldCharType="end"/>
      </w:r>
      <w:r>
        <w:rPr>
          <w:snapToGrid w:val="0"/>
          <w:color w:val="auto"/>
          <w:spacing w:val="-16"/>
          <w:kern w:val="21"/>
          <w:szCs w:val="21"/>
          <w:highlight w:val="none"/>
        </w:rPr>
        <w:t>；</w:t>
      </w:r>
      <w:r>
        <w:rPr>
          <w:snapToGrid w:val="0"/>
          <w:color w:val="auto"/>
          <w:spacing w:val="-6"/>
          <w:kern w:val="21"/>
          <w:szCs w:val="21"/>
          <w:highlight w:val="none"/>
        </w:rPr>
        <w:fldChar w:fldCharType="begin"/>
      </w:r>
      <w:r>
        <w:rPr>
          <w:snapToGrid w:val="0"/>
          <w:color w:val="auto"/>
          <w:spacing w:val="-6"/>
          <w:kern w:val="21"/>
          <w:szCs w:val="21"/>
          <w:highlight w:val="none"/>
        </w:rPr>
        <w:instrText xml:space="preserve"> = 7 \* GB3 \* MERGEFORMAT </w:instrText>
      </w:r>
      <w:r>
        <w:rPr>
          <w:snapToGrid w:val="0"/>
          <w:color w:val="auto"/>
          <w:spacing w:val="-6"/>
          <w:kern w:val="21"/>
          <w:szCs w:val="21"/>
          <w:highlight w:val="none"/>
        </w:rPr>
        <w:fldChar w:fldCharType="separate"/>
      </w:r>
      <w:r>
        <w:rPr>
          <w:color w:val="auto"/>
          <w:szCs w:val="21"/>
          <w:highlight w:val="none"/>
        </w:rPr>
        <w:t>⑦</w:t>
      </w:r>
      <w:r>
        <w:rPr>
          <w:snapToGrid w:val="0"/>
          <w:color w:val="auto"/>
          <w:spacing w:val="-6"/>
          <w:kern w:val="21"/>
          <w:szCs w:val="21"/>
          <w:highlight w:val="none"/>
        </w:rPr>
        <w:fldChar w:fldCharType="end"/>
      </w:r>
      <w:r>
        <w:rPr>
          <w:snapToGrid w:val="0"/>
          <w:color w:val="auto"/>
          <w:spacing w:val="-6"/>
          <w:kern w:val="21"/>
          <w:szCs w:val="21"/>
          <w:highlight w:val="none"/>
        </w:rPr>
        <w:t>=</w:t>
      </w:r>
      <w:r>
        <w:rPr>
          <w:snapToGrid w:val="0"/>
          <w:color w:val="auto"/>
          <w:spacing w:val="-16"/>
          <w:kern w:val="21"/>
          <w:szCs w:val="21"/>
          <w:highlight w:val="none"/>
        </w:rPr>
        <w:fldChar w:fldCharType="begin"/>
      </w:r>
      <w:r>
        <w:rPr>
          <w:snapToGrid w:val="0"/>
          <w:color w:val="auto"/>
          <w:spacing w:val="-16"/>
          <w:kern w:val="21"/>
          <w:szCs w:val="21"/>
          <w:highlight w:val="none"/>
        </w:rPr>
        <w:instrText xml:space="preserve"> = 6 \* GB3 \* MERGEFORMAT </w:instrText>
      </w:r>
      <w:r>
        <w:rPr>
          <w:snapToGrid w:val="0"/>
          <w:color w:val="auto"/>
          <w:spacing w:val="-16"/>
          <w:kern w:val="21"/>
          <w:szCs w:val="21"/>
          <w:highlight w:val="none"/>
        </w:rPr>
        <w:fldChar w:fldCharType="separate"/>
      </w:r>
      <w:r>
        <w:rPr>
          <w:color w:val="auto"/>
          <w:szCs w:val="21"/>
          <w:highlight w:val="none"/>
        </w:rPr>
        <w:t>⑥</w:t>
      </w:r>
      <w:r>
        <w:rPr>
          <w:snapToGrid w:val="0"/>
          <w:color w:val="auto"/>
          <w:spacing w:val="-16"/>
          <w:kern w:val="21"/>
          <w:szCs w:val="21"/>
          <w:highlight w:val="none"/>
        </w:rPr>
        <w:fldChar w:fldCharType="end"/>
      </w:r>
      <w:r>
        <w:rPr>
          <w:snapToGrid w:val="0"/>
          <w:color w:val="auto"/>
          <w:spacing w:val="-16"/>
          <w:kern w:val="21"/>
          <w:szCs w:val="21"/>
          <w:highlight w:val="none"/>
        </w:rPr>
        <w:t>-</w:t>
      </w:r>
      <w:r>
        <w:rPr>
          <w:snapToGrid w:val="0"/>
          <w:color w:val="auto"/>
          <w:spacing w:val="-6"/>
          <w:kern w:val="21"/>
          <w:szCs w:val="21"/>
          <w:highlight w:val="none"/>
        </w:rPr>
        <w:fldChar w:fldCharType="begin"/>
      </w:r>
      <w:r>
        <w:rPr>
          <w:snapToGrid w:val="0"/>
          <w:color w:val="auto"/>
          <w:spacing w:val="-6"/>
          <w:kern w:val="21"/>
          <w:szCs w:val="21"/>
          <w:highlight w:val="none"/>
        </w:rPr>
        <w:instrText xml:space="preserve"> = 1 \* GB3 \* MERGEFORMAT </w:instrText>
      </w:r>
      <w:r>
        <w:rPr>
          <w:snapToGrid w:val="0"/>
          <w:color w:val="auto"/>
          <w:spacing w:val="-6"/>
          <w:kern w:val="21"/>
          <w:szCs w:val="21"/>
          <w:highlight w:val="none"/>
        </w:rPr>
        <w:fldChar w:fldCharType="separate"/>
      </w:r>
      <w:r>
        <w:rPr>
          <w:color w:val="auto"/>
          <w:szCs w:val="21"/>
          <w:highlight w:val="none"/>
        </w:rPr>
        <w:t>①</w:t>
      </w:r>
      <w:r>
        <w:rPr>
          <w:snapToGrid w:val="0"/>
          <w:color w:val="auto"/>
          <w:spacing w:val="-6"/>
          <w:kern w:val="21"/>
          <w:szCs w:val="21"/>
          <w:highlight w:val="none"/>
        </w:rPr>
        <w:fldChar w:fldCharType="end"/>
      </w:r>
    </w:p>
    <w:p w14:paraId="6B0281AF">
      <w:pPr>
        <w:jc w:val="both"/>
        <w:rPr>
          <w:bCs/>
          <w:color w:val="auto"/>
          <w:szCs w:val="21"/>
          <w:highlight w:val="none"/>
        </w:rPr>
        <w:sectPr>
          <w:footerReference r:id="rId8"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tbl>
      <w:tblPr>
        <w:tblStyle w:val="35"/>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1"/>
      </w:tblGrid>
      <w:tr w14:paraId="4DE3B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17" w:hRule="atLeast"/>
          <w:jc w:val="center"/>
        </w:trPr>
        <w:tc>
          <w:tcPr>
            <w:tcW w:w="9060" w:type="dxa"/>
          </w:tcPr>
          <w:p w14:paraId="53ECEA46">
            <w:pPr>
              <w:pStyle w:val="6"/>
              <w:keepNext/>
              <w:keepLines/>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000000" w:themeColor="text1"/>
                <w:kern w:val="2"/>
                <w:sz w:val="28"/>
                <w:szCs w:val="24"/>
                <w:highlight w:val="none"/>
                <w14:textFill>
                  <w14:solidFill>
                    <w14:schemeClr w14:val="tx1"/>
                  </w14:solidFill>
                </w14:textFill>
              </w:rPr>
            </w:pPr>
            <w:r>
              <w:rPr>
                <w:rFonts w:hint="default" w:ascii="Times New Roman" w:hAnsi="Times New Roman" w:eastAsia="宋体" w:cs="Times New Roman"/>
                <w:color w:val="000000" w:themeColor="text1"/>
                <w:kern w:val="2"/>
                <w:sz w:val="28"/>
                <w:szCs w:val="24"/>
                <w:highlight w:val="none"/>
                <w14:textFill>
                  <w14:solidFill>
                    <w14:schemeClr w14:val="tx1"/>
                  </w14:solidFill>
                </w14:textFill>
              </w:rPr>
              <w:t>附图</w:t>
            </w:r>
          </w:p>
          <w:p w14:paraId="0EFDD8AF">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附图1  项目地理位置图</w:t>
            </w:r>
          </w:p>
          <w:p w14:paraId="746F1B4B">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附图2  项目周边关系图</w:t>
            </w:r>
          </w:p>
          <w:p w14:paraId="5DBE5F09">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附图</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14:textFill>
                  <w14:solidFill>
                    <w14:schemeClr w14:val="tx1"/>
                  </w14:solidFill>
                </w14:textFill>
              </w:rPr>
              <w:t xml:space="preserve"> 项目</w:t>
            </w:r>
            <w:r>
              <w:rPr>
                <w:rFonts w:hint="eastAsia" w:ascii="Times New Roman" w:hAnsi="Times New Roman" w:eastAsia="宋体" w:cs="Times New Roman"/>
                <w:color w:val="000000" w:themeColor="text1"/>
                <w:sz w:val="24"/>
                <w:highlight w:val="none"/>
                <w14:textFill>
                  <w14:solidFill>
                    <w14:schemeClr w14:val="tx1"/>
                  </w14:solidFill>
                </w14:textFill>
              </w:rPr>
              <w:t>厂区平面布置</w:t>
            </w:r>
            <w:r>
              <w:rPr>
                <w:rFonts w:hint="default" w:ascii="Times New Roman" w:hAnsi="Times New Roman" w:eastAsia="宋体" w:cs="Times New Roman"/>
                <w:color w:val="000000" w:themeColor="text1"/>
                <w:sz w:val="24"/>
                <w:highlight w:val="none"/>
                <w14:textFill>
                  <w14:solidFill>
                    <w14:schemeClr w14:val="tx1"/>
                  </w14:solidFill>
                </w14:textFill>
              </w:rPr>
              <w:t>图</w:t>
            </w:r>
          </w:p>
          <w:p w14:paraId="076C8CD2">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附图</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4</w:t>
            </w:r>
            <w:r>
              <w:rPr>
                <w:rFonts w:hint="eastAsia" w:ascii="Times New Roman" w:hAnsi="Times New Roman" w:eastAsia="宋体" w:cs="Times New Roman"/>
                <w:color w:val="000000" w:themeColor="text1"/>
                <w:sz w:val="24"/>
                <w:highlight w:val="none"/>
                <w14:textFill>
                  <w14:solidFill>
                    <w14:schemeClr w14:val="tx1"/>
                  </w14:solidFill>
                </w14:textFill>
              </w:rPr>
              <w:t xml:space="preserve"> </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宏启胜精密电子（秦皇岛）有限公司环境空气监测点位图</w:t>
            </w:r>
          </w:p>
          <w:p w14:paraId="2A299EC9">
            <w:pPr>
              <w:pStyle w:val="6"/>
              <w:keepNext/>
              <w:keepLines/>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000000" w:themeColor="text1"/>
                <w:kern w:val="2"/>
                <w:sz w:val="28"/>
                <w:szCs w:val="24"/>
                <w:highlight w:val="none"/>
                <w14:textFill>
                  <w14:solidFill>
                    <w14:schemeClr w14:val="tx1"/>
                  </w14:solidFill>
                </w14:textFill>
              </w:rPr>
            </w:pPr>
          </w:p>
          <w:p w14:paraId="5FDFB5E8">
            <w:pPr>
              <w:pStyle w:val="6"/>
              <w:keepNext/>
              <w:keepLines/>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000000" w:themeColor="text1"/>
                <w:kern w:val="2"/>
                <w:sz w:val="28"/>
                <w:szCs w:val="24"/>
                <w:highlight w:val="none"/>
                <w14:textFill>
                  <w14:solidFill>
                    <w14:schemeClr w14:val="tx1"/>
                  </w14:solidFill>
                </w14:textFill>
              </w:rPr>
            </w:pPr>
            <w:r>
              <w:rPr>
                <w:rFonts w:hint="default" w:ascii="Times New Roman" w:hAnsi="Times New Roman" w:eastAsia="宋体" w:cs="Times New Roman"/>
                <w:color w:val="000000" w:themeColor="text1"/>
                <w:kern w:val="2"/>
                <w:sz w:val="28"/>
                <w:szCs w:val="24"/>
                <w:highlight w:val="none"/>
                <w14:textFill>
                  <w14:solidFill>
                    <w14:schemeClr w14:val="tx1"/>
                  </w14:solidFill>
                </w14:textFill>
              </w:rPr>
              <w:t>附件</w:t>
            </w:r>
          </w:p>
          <w:p w14:paraId="64D5D5E0">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sz w:val="24"/>
                <w:highlight w:val="none"/>
                <w14:textFill>
                  <w14:solidFill>
                    <w14:schemeClr w14:val="tx1"/>
                  </w14:solidFill>
                </w14:textFill>
              </w:rPr>
              <w:t>附件1  营业执照</w:t>
            </w:r>
          </w:p>
          <w:p w14:paraId="3A7091DA">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sz w:val="24"/>
                <w:highlight w:val="none"/>
                <w14:textFill>
                  <w14:solidFill>
                    <w14:schemeClr w14:val="tx1"/>
                  </w14:solidFill>
                </w14:textFill>
              </w:rPr>
              <w:t>附件2  企业投资项目备案信息</w:t>
            </w:r>
          </w:p>
          <w:p w14:paraId="03F1B07E">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14:textFill>
                  <w14:solidFill>
                    <w14:schemeClr w14:val="tx1"/>
                  </w14:solidFill>
                </w14:textFill>
              </w:rPr>
              <w:t>附件</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3</w:t>
            </w:r>
            <w:r>
              <w:rPr>
                <w:rFonts w:hint="eastAsia" w:ascii="Times New Roman" w:hAnsi="Times New Roman" w:eastAsia="宋体" w:cs="Times New Roman"/>
                <w:color w:val="000000" w:themeColor="text1"/>
                <w:sz w:val="24"/>
                <w:highlight w:val="none"/>
                <w14:textFill>
                  <w14:solidFill>
                    <w14:schemeClr w14:val="tx1"/>
                  </w14:solidFill>
                </w14:textFill>
              </w:rPr>
              <w:t xml:space="preserve">  </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租赁合同</w:t>
            </w:r>
          </w:p>
          <w:p w14:paraId="05BA68DD">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附件4  土地证</w:t>
            </w:r>
          </w:p>
          <w:p w14:paraId="07A45BC9">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附件5</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 xml:space="preserve">  </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环保抛光打磨湿式一体机说明书</w:t>
            </w:r>
          </w:p>
          <w:p w14:paraId="466FD47C">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附件6  环境现状监测报告</w:t>
            </w:r>
          </w:p>
          <w:p w14:paraId="16603690">
            <w:pPr>
              <w:pStyle w:val="31"/>
              <w:keepNext w:val="0"/>
              <w:keepLines w:val="0"/>
              <w:suppressLineNumbers w:val="0"/>
              <w:spacing w:before="0" w:beforeAutospacing="0" w:after="0" w:afterAutospacing="0"/>
              <w:ind w:left="0" w:right="0" w:firstLine="480" w:firstLineChars="200"/>
              <w:rPr>
                <w:rFonts w:hint="default" w:ascii="Times New Roman" w:hAnsi="Times New Roman"/>
                <w:color w:val="000000" w:themeColor="text1"/>
                <w:szCs w:val="24"/>
                <w:highlight w:val="none"/>
                <w14:textFill>
                  <w14:solidFill>
                    <w14:schemeClr w14:val="tx1"/>
                  </w14:solidFill>
                </w14:textFill>
              </w:rPr>
            </w:pPr>
          </w:p>
          <w:p w14:paraId="4111D88C">
            <w:pPr>
              <w:pStyle w:val="31"/>
              <w:keepNext w:val="0"/>
              <w:keepLines w:val="0"/>
              <w:suppressLineNumbers w:val="0"/>
              <w:spacing w:before="0" w:beforeAutospacing="0" w:after="0" w:afterAutospacing="0"/>
              <w:ind w:left="0" w:right="0" w:firstLine="480" w:firstLineChars="200"/>
              <w:rPr>
                <w:rFonts w:hint="default" w:ascii="Times New Roman" w:hAnsi="Times New Roman"/>
                <w:color w:val="000000" w:themeColor="text1"/>
                <w:szCs w:val="24"/>
                <w:highlight w:val="none"/>
                <w14:textFill>
                  <w14:solidFill>
                    <w14:schemeClr w14:val="tx1"/>
                  </w14:solidFill>
                </w14:textFill>
              </w:rPr>
            </w:pPr>
          </w:p>
          <w:p w14:paraId="3072581F">
            <w:pPr>
              <w:pStyle w:val="31"/>
              <w:keepNext w:val="0"/>
              <w:keepLines w:val="0"/>
              <w:suppressLineNumbers w:val="0"/>
              <w:spacing w:before="0" w:beforeAutospacing="0" w:after="0" w:afterAutospacing="0"/>
              <w:ind w:left="0" w:right="0" w:firstLine="480" w:firstLineChars="200"/>
              <w:rPr>
                <w:rFonts w:hint="default" w:ascii="Times New Roman" w:hAnsi="Times New Roman"/>
                <w:color w:val="000000" w:themeColor="text1"/>
                <w:szCs w:val="24"/>
                <w:highlight w:val="none"/>
                <w14:textFill>
                  <w14:solidFill>
                    <w14:schemeClr w14:val="tx1"/>
                  </w14:solidFill>
                </w14:textFill>
              </w:rPr>
            </w:pPr>
          </w:p>
          <w:p w14:paraId="6A9295CB">
            <w:pPr>
              <w:pStyle w:val="31"/>
              <w:keepNext w:val="0"/>
              <w:keepLines w:val="0"/>
              <w:suppressLineNumbers w:val="0"/>
              <w:spacing w:before="0" w:beforeAutospacing="0" w:after="0" w:afterAutospacing="0"/>
              <w:ind w:left="0" w:right="0" w:firstLine="480" w:firstLineChars="200"/>
              <w:rPr>
                <w:rFonts w:hint="default" w:ascii="Times New Roman" w:hAnsi="Times New Roman"/>
                <w:color w:val="000000" w:themeColor="text1"/>
                <w:szCs w:val="24"/>
                <w:highlight w:val="none"/>
                <w14:textFill>
                  <w14:solidFill>
                    <w14:schemeClr w14:val="tx1"/>
                  </w14:solidFill>
                </w14:textFill>
              </w:rPr>
            </w:pPr>
          </w:p>
          <w:p w14:paraId="717A7B6B">
            <w:pPr>
              <w:pStyle w:val="31"/>
              <w:keepNext w:val="0"/>
              <w:keepLines w:val="0"/>
              <w:suppressLineNumbers w:val="0"/>
              <w:spacing w:before="0" w:beforeAutospacing="0" w:after="0" w:afterAutospacing="0"/>
              <w:ind w:left="0" w:right="0" w:firstLine="480" w:firstLineChars="200"/>
              <w:rPr>
                <w:rFonts w:hint="default" w:ascii="Times New Roman" w:hAnsi="Times New Roman"/>
                <w:color w:val="000000" w:themeColor="text1"/>
                <w:szCs w:val="24"/>
                <w:highlight w:val="none"/>
                <w14:textFill>
                  <w14:solidFill>
                    <w14:schemeClr w14:val="tx1"/>
                  </w14:solidFill>
                </w14:textFill>
              </w:rPr>
            </w:pPr>
          </w:p>
          <w:p w14:paraId="102802D4">
            <w:pPr>
              <w:pStyle w:val="31"/>
              <w:keepNext w:val="0"/>
              <w:keepLines w:val="0"/>
              <w:suppressLineNumbers w:val="0"/>
              <w:spacing w:before="0" w:beforeAutospacing="0" w:after="0" w:afterAutospacing="0"/>
              <w:ind w:left="0" w:right="0" w:firstLine="480" w:firstLineChars="200"/>
              <w:rPr>
                <w:rFonts w:hint="default" w:ascii="Times New Roman" w:hAnsi="Times New Roman"/>
                <w:color w:val="000000" w:themeColor="text1"/>
                <w:szCs w:val="24"/>
                <w:highlight w:val="none"/>
                <w14:textFill>
                  <w14:solidFill>
                    <w14:schemeClr w14:val="tx1"/>
                  </w14:solidFill>
                </w14:textFill>
              </w:rPr>
            </w:pPr>
          </w:p>
          <w:p w14:paraId="3891E67A">
            <w:pPr>
              <w:pStyle w:val="31"/>
              <w:keepNext w:val="0"/>
              <w:keepLines w:val="0"/>
              <w:suppressLineNumbers w:val="0"/>
              <w:spacing w:before="0" w:beforeAutospacing="0" w:after="0" w:afterAutospacing="0"/>
              <w:ind w:left="0" w:right="0" w:firstLine="480" w:firstLineChars="200"/>
              <w:rPr>
                <w:rFonts w:hint="default" w:ascii="Times New Roman" w:hAnsi="Times New Roman"/>
                <w:color w:val="000000" w:themeColor="text1"/>
                <w:szCs w:val="24"/>
                <w:highlight w:val="none"/>
                <w14:textFill>
                  <w14:solidFill>
                    <w14:schemeClr w14:val="tx1"/>
                  </w14:solidFill>
                </w14:textFill>
              </w:rPr>
            </w:pPr>
          </w:p>
          <w:p w14:paraId="5883FF60">
            <w:pPr>
              <w:pStyle w:val="31"/>
              <w:keepNext w:val="0"/>
              <w:keepLines w:val="0"/>
              <w:suppressLineNumbers w:val="0"/>
              <w:spacing w:before="0" w:beforeAutospacing="0" w:after="0" w:afterAutospacing="0"/>
              <w:ind w:left="0" w:right="0" w:firstLine="480" w:firstLineChars="200"/>
              <w:rPr>
                <w:rFonts w:hint="default" w:ascii="Times New Roman" w:hAnsi="Times New Roman"/>
                <w:color w:val="000000" w:themeColor="text1"/>
                <w:szCs w:val="24"/>
                <w:highlight w:val="none"/>
                <w14:textFill>
                  <w14:solidFill>
                    <w14:schemeClr w14:val="tx1"/>
                  </w14:solidFill>
                </w14:textFill>
              </w:rPr>
            </w:pPr>
          </w:p>
          <w:p w14:paraId="205D53AA">
            <w:pPr>
              <w:pStyle w:val="31"/>
              <w:keepNext w:val="0"/>
              <w:keepLines w:val="0"/>
              <w:suppressLineNumbers w:val="0"/>
              <w:spacing w:before="0" w:beforeAutospacing="0" w:after="0" w:afterAutospacing="0"/>
              <w:ind w:left="0" w:right="0" w:firstLine="480" w:firstLineChars="200"/>
              <w:rPr>
                <w:rFonts w:hint="default" w:ascii="Times New Roman" w:hAnsi="Times New Roman"/>
                <w:color w:val="000000" w:themeColor="text1"/>
                <w:szCs w:val="24"/>
                <w:highlight w:val="none"/>
                <w14:textFill>
                  <w14:solidFill>
                    <w14:schemeClr w14:val="tx1"/>
                  </w14:solidFill>
                </w14:textFill>
              </w:rPr>
            </w:pPr>
          </w:p>
          <w:p w14:paraId="0FDB26ED">
            <w:pPr>
              <w:pStyle w:val="31"/>
              <w:keepNext w:val="0"/>
              <w:keepLines w:val="0"/>
              <w:suppressLineNumbers w:val="0"/>
              <w:spacing w:before="0" w:beforeAutospacing="0" w:after="0" w:afterAutospacing="0"/>
              <w:ind w:left="0" w:right="0" w:firstLine="480" w:firstLineChars="200"/>
              <w:rPr>
                <w:rFonts w:hint="default" w:ascii="Times New Roman" w:hAnsi="Times New Roman"/>
                <w:color w:val="000000" w:themeColor="text1"/>
                <w:szCs w:val="24"/>
                <w:highlight w:val="none"/>
                <w14:textFill>
                  <w14:solidFill>
                    <w14:schemeClr w14:val="tx1"/>
                  </w14:solidFill>
                </w14:textFill>
              </w:rPr>
            </w:pPr>
          </w:p>
          <w:p w14:paraId="2BDECB32">
            <w:pPr>
              <w:pStyle w:val="31"/>
              <w:keepNext w:val="0"/>
              <w:keepLines w:val="0"/>
              <w:suppressLineNumbers w:val="0"/>
              <w:spacing w:before="0" w:beforeAutospacing="0" w:after="0" w:afterAutospacing="0"/>
              <w:ind w:left="0" w:right="0" w:firstLine="480" w:firstLineChars="200"/>
              <w:rPr>
                <w:rFonts w:hint="default" w:ascii="Times New Roman" w:hAnsi="Times New Roman"/>
                <w:color w:val="000000" w:themeColor="text1"/>
                <w:szCs w:val="24"/>
                <w:highlight w:val="none"/>
                <w14:textFill>
                  <w14:solidFill>
                    <w14:schemeClr w14:val="tx1"/>
                  </w14:solidFill>
                </w14:textFill>
              </w:rPr>
            </w:pPr>
          </w:p>
          <w:p w14:paraId="15C6A33F">
            <w:pPr>
              <w:pStyle w:val="31"/>
              <w:keepNext w:val="0"/>
              <w:keepLines w:val="0"/>
              <w:suppressLineNumbers w:val="0"/>
              <w:spacing w:before="0" w:beforeAutospacing="0" w:after="0" w:afterAutospacing="0"/>
              <w:ind w:left="0" w:right="0"/>
              <w:rPr>
                <w:rFonts w:hint="default" w:ascii="Times New Roman" w:hAnsi="Times New Roman"/>
                <w:color w:val="000000" w:themeColor="text1"/>
                <w:szCs w:val="24"/>
                <w:highlight w:val="none"/>
                <w14:textFill>
                  <w14:solidFill>
                    <w14:schemeClr w14:val="tx1"/>
                  </w14:solidFill>
                </w14:textFill>
              </w:rPr>
            </w:pPr>
          </w:p>
          <w:p w14:paraId="36578059">
            <w:pPr>
              <w:pStyle w:val="31"/>
              <w:keepNext w:val="0"/>
              <w:keepLines w:val="0"/>
              <w:suppressLineNumbers w:val="0"/>
              <w:spacing w:before="0" w:beforeAutospacing="0" w:after="0" w:afterAutospacing="0"/>
              <w:ind w:left="0" w:right="0" w:firstLine="480" w:firstLineChars="200"/>
              <w:rPr>
                <w:rFonts w:hint="default" w:ascii="Times New Roman" w:hAnsi="Times New Roman"/>
                <w:color w:val="000000" w:themeColor="text1"/>
                <w:szCs w:val="24"/>
                <w:highlight w:val="none"/>
                <w14:textFill>
                  <w14:solidFill>
                    <w14:schemeClr w14:val="tx1"/>
                  </w14:solidFill>
                </w14:textFill>
              </w:rPr>
            </w:pPr>
          </w:p>
          <w:p w14:paraId="3806CA69">
            <w:pPr>
              <w:pStyle w:val="31"/>
              <w:keepNext w:val="0"/>
              <w:keepLines w:val="0"/>
              <w:suppressLineNumbers w:val="0"/>
              <w:spacing w:before="0" w:beforeAutospacing="0" w:after="0" w:afterAutospacing="0"/>
              <w:ind w:left="0" w:right="0" w:firstLine="480" w:firstLineChars="200"/>
              <w:rPr>
                <w:rFonts w:hint="default" w:ascii="Times New Roman" w:hAnsi="Times New Roman"/>
                <w:color w:val="000000" w:themeColor="text1"/>
                <w:szCs w:val="24"/>
                <w:highlight w:val="none"/>
                <w14:textFill>
                  <w14:solidFill>
                    <w14:schemeClr w14:val="tx1"/>
                  </w14:solidFill>
                </w14:textFill>
              </w:rPr>
            </w:pPr>
          </w:p>
          <w:p w14:paraId="34FEC279">
            <w:pPr>
              <w:pStyle w:val="2"/>
              <w:keepLines w:val="0"/>
              <w:suppressLineNumbers w:val="0"/>
              <w:spacing w:beforeAutospacing="0" w:afterAutospacing="0"/>
              <w:ind w:right="0"/>
              <w:rPr>
                <w:rFonts w:hint="default"/>
                <w:color w:val="000000" w:themeColor="text1"/>
                <w:highlight w:val="none"/>
                <w14:textFill>
                  <w14:solidFill>
                    <w14:schemeClr w14:val="tx1"/>
                  </w14:solidFill>
                </w14:textFill>
              </w:rPr>
            </w:pPr>
          </w:p>
        </w:tc>
      </w:tr>
    </w:tbl>
    <w:p w14:paraId="4AC53C18">
      <w:pPr>
        <w:jc w:val="both"/>
        <w:rPr>
          <w:bCs/>
          <w:color w:val="auto"/>
          <w:szCs w:val="21"/>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1E0E46FB">
      <w:pPr>
        <w:rPr>
          <w:rFonts w:hint="eastAsia"/>
          <w:lang w:val="en-US" w:eastAsia="zh-CN"/>
        </w:rPr>
      </w:pPr>
      <w:r>
        <w:rPr>
          <w:sz w:val="24"/>
        </w:rPr>
        <mc:AlternateContent>
          <mc:Choice Requires="wps">
            <w:drawing>
              <wp:anchor distT="0" distB="0" distL="114300" distR="114300" simplePos="0" relativeHeight="251680768" behindDoc="0" locked="0" layoutInCell="1" allowOverlap="1">
                <wp:simplePos x="0" y="0"/>
                <wp:positionH relativeFrom="column">
                  <wp:posOffset>5909310</wp:posOffset>
                </wp:positionH>
                <wp:positionV relativeFrom="paragraph">
                  <wp:posOffset>3596640</wp:posOffset>
                </wp:positionV>
                <wp:extent cx="1047115" cy="305435"/>
                <wp:effectExtent l="0" t="0" r="0" b="0"/>
                <wp:wrapNone/>
                <wp:docPr id="34" name="文本框 34"/>
                <wp:cNvGraphicFramePr/>
                <a:graphic xmlns:a="http://schemas.openxmlformats.org/drawingml/2006/main">
                  <a:graphicData uri="http://schemas.microsoft.com/office/word/2010/wordprocessingShape">
                    <wps:wsp>
                      <wps:cNvSpPr txBox="1"/>
                      <wps:spPr>
                        <a:xfrm>
                          <a:off x="5575935" y="3525520"/>
                          <a:ext cx="1047115" cy="3054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67B4B8">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rFonts w:hint="default" w:eastAsia="宋体"/>
                                <w:b/>
                                <w:bCs/>
                                <w:sz w:val="18"/>
                                <w:szCs w:val="18"/>
                                <w:lang w:val="en-US" w:eastAsia="zh-CN"/>
                              </w:rPr>
                            </w:pPr>
                            <w:r>
                              <w:rPr>
                                <w:rFonts w:hint="eastAsia"/>
                                <w:b/>
                                <w:bCs/>
                                <w:sz w:val="18"/>
                                <w:szCs w:val="18"/>
                                <w:lang w:val="en-US" w:eastAsia="zh-CN"/>
                              </w:rPr>
                              <w:t>本项目所在位置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5.3pt;margin-top:283.2pt;height:24.05pt;width:82.45pt;z-index:251680768;mso-width-relative:page;mso-height-relative:page;" filled="f" stroked="f" coordsize="21600,21600" o:gfxdata="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SyEcxd0AAAAMAQAADwAAAAAA&#10;AAABACAAAAAiAAAAZHJzL2Rvd25yZXYueG1sUEsBAhQAFAAAAAgAh07iQAqyrc5HAgAAdAQAAA4A&#10;AAAAAAAAAQAgAAAALAEAAGRycy9lMm9Eb2MueG1sUEsFBgAAAAAGAAYAWQEAAOUFAAAAAA==&#10;">
                <v:fill on="f" focussize="0,0"/>
                <v:stroke on="f" weight="0.5pt"/>
                <v:imagedata o:title=""/>
                <o:lock v:ext="edit" aspectratio="f"/>
                <v:textbox>
                  <w:txbxContent>
                    <w:p w14:paraId="0167B4B8">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rFonts w:hint="default" w:eastAsia="宋体"/>
                          <w:b/>
                          <w:bCs/>
                          <w:sz w:val="18"/>
                          <w:szCs w:val="18"/>
                          <w:lang w:val="en-US" w:eastAsia="zh-CN"/>
                        </w:rPr>
                      </w:pPr>
                      <w:r>
                        <w:rPr>
                          <w:rFonts w:hint="eastAsia"/>
                          <w:b/>
                          <w:bCs/>
                          <w:sz w:val="18"/>
                          <w:szCs w:val="18"/>
                          <w:lang w:val="en-US" w:eastAsia="zh-CN"/>
                        </w:rPr>
                        <w:t>本项目所在位置</w:t>
                      </w:r>
                    </w:p>
                  </w:txbxContent>
                </v:textbox>
              </v:shape>
            </w:pict>
          </mc:Fallback>
        </mc:AlternateContent>
      </w:r>
      <w:r>
        <w:rPr>
          <w:sz w:val="24"/>
        </w:rPr>
        <mc:AlternateContent>
          <mc:Choice Requires="wps">
            <w:drawing>
              <wp:anchor distT="0" distB="0" distL="114300" distR="114300" simplePos="0" relativeHeight="251679744" behindDoc="0" locked="0" layoutInCell="1" allowOverlap="1">
                <wp:simplePos x="0" y="0"/>
                <wp:positionH relativeFrom="column">
                  <wp:posOffset>6794500</wp:posOffset>
                </wp:positionH>
                <wp:positionV relativeFrom="paragraph">
                  <wp:posOffset>2759710</wp:posOffset>
                </wp:positionV>
                <wp:extent cx="113665" cy="76200"/>
                <wp:effectExtent l="12700" t="12700" r="26035" b="25400"/>
                <wp:wrapNone/>
                <wp:docPr id="35" name="五角星 35"/>
                <wp:cNvGraphicFramePr/>
                <a:graphic xmlns:a="http://schemas.openxmlformats.org/drawingml/2006/main">
                  <a:graphicData uri="http://schemas.microsoft.com/office/word/2010/wordprocessingShape">
                    <wps:wsp>
                      <wps:cNvSpPr/>
                      <wps:spPr>
                        <a:xfrm>
                          <a:off x="0" y="0"/>
                          <a:ext cx="113665" cy="76200"/>
                        </a:xfrm>
                        <a:prstGeom prst="star5">
                          <a:avLst/>
                        </a:prstGeom>
                        <a:solidFill>
                          <a:srgbClr val="C0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35pt;margin-top:217.3pt;height:6pt;width:8.95pt;z-index:251679744;v-text-anchor:middle;mso-width-relative:page;mso-height-relative:page;" fillcolor="#C00000" filled="t" stroked="t" coordsize="113665,76200" o:gfxdata="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y9AZ6NkAAAANAQAADwAAAAAAAAABACAAAAAiAAAAZHJzL2Rvd25yZXYueG1s&#10;UEsBAhQAFAAAAAgAh07iQBOcDDFpAgAA4QQAAA4AAAAAAAAAAQAgAAAAKAEAAGRycy9lMm9Eb2Mu&#10;eG1sUEsFBgAAAAAGAAYAWQEAAAMGAAAAAA==&#10;" path="m0,29105l43416,29105,56832,0,70248,29105,113664,29105,78540,47093,91956,76199,56832,58211,21708,76199,35124,47093xe">
                <v:path o:connectlocs="56832,0;0,29105;21708,76199;91956,76199;113664,29105" o:connectangles="247,164,82,82,0"/>
                <v:fill on="t" focussize="0,0"/>
                <v:stroke weight="2pt" color="#000000 [3213]" joinstyle="round"/>
                <v:imagedata o:title=""/>
                <o:lock v:ext="edit" aspectratio="f"/>
              </v:shape>
            </w:pict>
          </mc:Fallback>
        </mc:AlternateContent>
      </w:r>
      <w:r>
        <w:rPr>
          <w:sz w:val="24"/>
        </w:rPr>
        <mc:AlternateContent>
          <mc:Choice Requires="wps">
            <w:drawing>
              <wp:anchor distT="0" distB="0" distL="114300" distR="114300" simplePos="0" relativeHeight="251678720" behindDoc="0" locked="0" layoutInCell="1" allowOverlap="1">
                <wp:simplePos x="0" y="0"/>
                <wp:positionH relativeFrom="column">
                  <wp:posOffset>5694680</wp:posOffset>
                </wp:positionH>
                <wp:positionV relativeFrom="paragraph">
                  <wp:posOffset>3572510</wp:posOffset>
                </wp:positionV>
                <wp:extent cx="1329055" cy="320040"/>
                <wp:effectExtent l="12700" t="775335" r="29845" b="28575"/>
                <wp:wrapNone/>
                <wp:docPr id="37" name="圆角矩形标注 37"/>
                <wp:cNvGraphicFramePr/>
                <a:graphic xmlns:a="http://schemas.openxmlformats.org/drawingml/2006/main">
                  <a:graphicData uri="http://schemas.microsoft.com/office/word/2010/wordprocessingShape">
                    <wps:wsp>
                      <wps:cNvSpPr/>
                      <wps:spPr>
                        <a:xfrm>
                          <a:off x="0" y="0"/>
                          <a:ext cx="1329055" cy="320040"/>
                        </a:xfrm>
                        <a:prstGeom prst="wedgeRoundRectCallout">
                          <a:avLst>
                            <a:gd name="adj1" fmla="val 41065"/>
                            <a:gd name="adj2" fmla="val -288293"/>
                            <a:gd name="adj3" fmla="val 1666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ADE61C8">
                            <w:pPr>
                              <w:ind w:left="0" w:leftChars="0" w:firstLine="0" w:firstLineChars="0"/>
                              <w:rPr>
                                <w:rFonts w:hint="eastAsia"/>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48.4pt;margin-top:281.3pt;height:25.2pt;width:104.65pt;z-index:251678720;v-text-anchor:middle;mso-width-relative:page;mso-height-relative:page;" fillcolor="#C7EDCC [3212]" filled="t" stroked="t" coordsize="21600,21600" o:gfxdata="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66jPFNsAAAAMAQAA&#10;DwAAAAAAAAABACAAAAAiAAAAZHJzL2Rvd25yZXYueG1sUEsBAhQAFAAAAAgAh07iQLgX/LDBAgAA&#10;fgUAAA4AAAAAAAAAAQAgAAAAKgEAAGRycy9lMm9Eb2MueG1sUEsFBgAAAAAGAAYAWQEAAF0GAAAA&#10;AA==&#10;" adj="19670,-51471,14400">
                <v:fill on="t" focussize="0,0"/>
                <v:stroke weight="2pt" color="#000000 [3213]" joinstyle="round"/>
                <v:imagedata o:title=""/>
                <o:lock v:ext="edit" aspectratio="f"/>
                <v:textbox>
                  <w:txbxContent>
                    <w:p w14:paraId="1ADE61C8">
                      <w:pPr>
                        <w:ind w:left="0" w:leftChars="0" w:firstLine="0" w:firstLineChars="0"/>
                        <w:rPr>
                          <w:rFonts w:hint="eastAsia"/>
                          <w:lang w:val="en-US" w:eastAsia="zh-CN"/>
                        </w:rPr>
                      </w:pPr>
                    </w:p>
                  </w:txbxContent>
                </v:textbox>
              </v:shape>
            </w:pict>
          </mc:Fallback>
        </mc:AlternateContent>
      </w:r>
      <w:r>
        <w:rPr>
          <w:sz w:val="24"/>
        </w:rPr>
        <mc:AlternateContent>
          <mc:Choice Requires="wps">
            <w:drawing>
              <wp:anchor distT="0" distB="0" distL="114300" distR="114300" simplePos="0" relativeHeight="251677696" behindDoc="0" locked="0" layoutInCell="1" allowOverlap="1">
                <wp:simplePos x="0" y="0"/>
                <wp:positionH relativeFrom="column">
                  <wp:posOffset>5542280</wp:posOffset>
                </wp:positionH>
                <wp:positionV relativeFrom="paragraph">
                  <wp:posOffset>1848485</wp:posOffset>
                </wp:positionV>
                <wp:extent cx="2292985" cy="2224405"/>
                <wp:effectExtent l="12700" t="288925" r="18415" b="20320"/>
                <wp:wrapNone/>
                <wp:docPr id="38" name="圆角矩形标注 38"/>
                <wp:cNvGraphicFramePr/>
                <a:graphic xmlns:a="http://schemas.openxmlformats.org/drawingml/2006/main">
                  <a:graphicData uri="http://schemas.microsoft.com/office/word/2010/wordprocessingShape">
                    <wps:wsp>
                      <wps:cNvSpPr/>
                      <wps:spPr>
                        <a:xfrm>
                          <a:off x="4518660" y="4420870"/>
                          <a:ext cx="2292985" cy="2224405"/>
                        </a:xfrm>
                        <a:prstGeom prst="wedgeRoundRectCallout">
                          <a:avLst>
                            <a:gd name="adj1" fmla="val -45707"/>
                            <a:gd name="adj2" fmla="val -62417"/>
                            <a:gd name="adj3" fmla="val 1666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E0E264D">
                            <w:pPr>
                              <w:ind w:left="0" w:leftChars="0" w:firstLine="0" w:firstLineChars="0"/>
                              <w:rPr>
                                <w:rFonts w:hint="eastAsia"/>
                                <w:lang w:val="en-US" w:eastAsia="zh-CN"/>
                              </w:rPr>
                            </w:pPr>
                            <w:r>
                              <w:drawing>
                                <wp:inline distT="0" distB="0" distL="114300" distR="114300">
                                  <wp:extent cx="1877695" cy="1891665"/>
                                  <wp:effectExtent l="0" t="0" r="8255" b="13335"/>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pic:cNvPicPr>
                                        </pic:nvPicPr>
                                        <pic:blipFill>
                                          <a:blip r:embed="rId132"/>
                                          <a:stretch>
                                            <a:fillRect/>
                                          </a:stretch>
                                        </pic:blipFill>
                                        <pic:spPr>
                                          <a:xfrm>
                                            <a:off x="0" y="0"/>
                                            <a:ext cx="1877695" cy="18916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36.4pt;margin-top:145.55pt;height:175.15pt;width:180.55pt;z-index:251677696;v-text-anchor:middle;mso-width-relative:page;mso-height-relative:page;" fillcolor="#C7EDCC [3212]" filled="t" stroked="t" coordsize="21600,21600" o:gfxdata="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Jvcc5ba&#10;AAAADAEAAA8AAAAAAAAAAQAgAAAAIgAAAGRycy9kb3ducmV2LnhtbFBLAQIUABQAAAAIAIdO4kCK&#10;KpiIyQIAAIsFAAAOAAAAAAAAAAEAIAAAACkBAABkcnMvZTJvRG9jLnhtbFBLBQYAAAAABgAGAFkB&#10;AABkBgAAAAA=&#10;" adj="927,-2682,14400">
                <v:fill on="t" focussize="0,0"/>
                <v:stroke weight="2pt" color="#000000 [3213]" joinstyle="round"/>
                <v:imagedata o:title=""/>
                <o:lock v:ext="edit" aspectratio="f"/>
                <v:textbox>
                  <w:txbxContent>
                    <w:p w14:paraId="6E0E264D">
                      <w:pPr>
                        <w:ind w:left="0" w:leftChars="0" w:firstLine="0" w:firstLineChars="0"/>
                        <w:rPr>
                          <w:rFonts w:hint="eastAsia"/>
                          <w:lang w:val="en-US" w:eastAsia="zh-CN"/>
                        </w:rPr>
                      </w:pPr>
                      <w:r>
                        <w:drawing>
                          <wp:inline distT="0" distB="0" distL="114300" distR="114300">
                            <wp:extent cx="1877695" cy="1891665"/>
                            <wp:effectExtent l="0" t="0" r="8255" b="13335"/>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pic:cNvPicPr>
                                  </pic:nvPicPr>
                                  <pic:blipFill>
                                    <a:blip r:embed="rId132"/>
                                    <a:stretch>
                                      <a:fillRect/>
                                    </a:stretch>
                                  </pic:blipFill>
                                  <pic:spPr>
                                    <a:xfrm>
                                      <a:off x="0" y="0"/>
                                      <a:ext cx="1877695" cy="1891665"/>
                                    </a:xfrm>
                                    <a:prstGeom prst="rect">
                                      <a:avLst/>
                                    </a:prstGeom>
                                    <a:noFill/>
                                    <a:ln>
                                      <a:noFill/>
                                    </a:ln>
                                  </pic:spPr>
                                </pic:pic>
                              </a:graphicData>
                            </a:graphic>
                          </wp:inline>
                        </w:drawing>
                      </w:r>
                    </w:p>
                  </w:txbxContent>
                </v:textbox>
              </v:shape>
            </w:pict>
          </mc:Fallback>
        </mc:AlternateContent>
      </w:r>
      <w:r>
        <w:rPr>
          <w:sz w:val="24"/>
        </w:rPr>
        <mc:AlternateContent>
          <mc:Choice Requires="wps">
            <w:drawing>
              <wp:anchor distT="0" distB="0" distL="114300" distR="114300" simplePos="0" relativeHeight="251676672" behindDoc="0" locked="0" layoutInCell="1" allowOverlap="1">
                <wp:simplePos x="0" y="0"/>
                <wp:positionH relativeFrom="column">
                  <wp:posOffset>5535295</wp:posOffset>
                </wp:positionH>
                <wp:positionV relativeFrom="paragraph">
                  <wp:posOffset>1499870</wp:posOffset>
                </wp:positionV>
                <wp:extent cx="113665" cy="76200"/>
                <wp:effectExtent l="12700" t="12700" r="26035" b="25400"/>
                <wp:wrapNone/>
                <wp:docPr id="40" name="五角星 40"/>
                <wp:cNvGraphicFramePr/>
                <a:graphic xmlns:a="http://schemas.openxmlformats.org/drawingml/2006/main">
                  <a:graphicData uri="http://schemas.microsoft.com/office/word/2010/wordprocessingShape">
                    <wps:wsp>
                      <wps:cNvSpPr/>
                      <wps:spPr>
                        <a:xfrm>
                          <a:off x="4499610" y="5525770"/>
                          <a:ext cx="113665" cy="76200"/>
                        </a:xfrm>
                        <a:prstGeom prst="star5">
                          <a:avLst/>
                        </a:prstGeom>
                        <a:solidFill>
                          <a:srgbClr val="C0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35.85pt;margin-top:118.1pt;height:6pt;width:8.95pt;z-index:251676672;v-text-anchor:middle;mso-width-relative:page;mso-height-relative:page;" fillcolor="#C00000" filled="t" stroked="t" coordsize="113665,76200" o:gfxdata="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DPS9Q2AAAAAsBAAAPAAAAAAAAAAEAIAAAACIAAABkcnMv&#10;ZG93bnJldi54bWxQSwECFAAUAAAACACHTuJAb8B1FnUCAADtBAAADgAAAAAAAAABACAAAAAnAQAA&#10;ZHJzL2Uyb0RvYy54bWxQSwUGAAAAAAYABgBZAQAADgYAAAAA&#10;" path="m0,29105l43416,29105,56832,0,70248,29105,113664,29105,78540,47093,91956,76199,56832,58211,21708,76199,35124,47093xe">
                <v:path o:connectlocs="56832,0;0,29105;21708,76199;91956,76199;113664,29105" o:connectangles="247,164,82,82,0"/>
                <v:fill on="t" focussize="0,0"/>
                <v:stroke weight="2pt" color="#000000 [3213]" joinstyle="round"/>
                <v:imagedata o:title=""/>
                <o:lock v:ext="edit" aspectratio="f"/>
              </v:shape>
            </w:pict>
          </mc:Fallback>
        </mc:AlternateContent>
      </w:r>
      <w:r>
        <w:rPr>
          <w:rFonts w:hint="eastAsia"/>
          <w:lang w:val="en-US" w:eastAsia="zh-CN"/>
        </w:rPr>
        <w:drawing>
          <wp:inline distT="0" distB="0" distL="114300" distR="114300">
            <wp:extent cx="8274685" cy="4864735"/>
            <wp:effectExtent l="0" t="0" r="12065" b="12065"/>
            <wp:docPr id="41" name="图片 41" descr="开发区规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开发区规划"/>
                    <pic:cNvPicPr>
                      <a:picLocks noChangeAspect="1"/>
                    </pic:cNvPicPr>
                  </pic:nvPicPr>
                  <pic:blipFill>
                    <a:blip r:embed="rId133"/>
                    <a:stretch>
                      <a:fillRect/>
                    </a:stretch>
                  </pic:blipFill>
                  <pic:spPr>
                    <a:xfrm>
                      <a:off x="0" y="0"/>
                      <a:ext cx="8274685" cy="4864735"/>
                    </a:xfrm>
                    <a:prstGeom prst="rect">
                      <a:avLst/>
                    </a:prstGeom>
                  </pic:spPr>
                </pic:pic>
              </a:graphicData>
            </a:graphic>
          </wp:inline>
        </w:drawing>
      </w:r>
      <w:r>
        <w:rPr>
          <w:rFonts w:hint="eastAsia"/>
          <w:lang w:val="en-US" w:eastAsia="zh-CN"/>
        </w:rPr>
        <w:t xml:space="preserve"> </w:t>
      </w:r>
    </w:p>
    <w:p w14:paraId="0839CF10">
      <w:pPr>
        <w:pStyle w:val="3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b w:val="0"/>
          <w:bCs w:val="0"/>
          <w:color w:val="auto"/>
          <w:sz w:val="28"/>
          <w:szCs w:val="28"/>
          <w:lang w:val="en-US" w:eastAsia="zh-CN"/>
        </w:rPr>
      </w:pPr>
      <w:r>
        <w:rPr>
          <w:rFonts w:hint="eastAsia"/>
          <w:b/>
          <w:bCs/>
          <w:sz w:val="28"/>
          <w:szCs w:val="28"/>
          <w:lang w:eastAsia="zh-CN"/>
        </w:rPr>
        <w:t>附图</w:t>
      </w:r>
      <w:r>
        <w:rPr>
          <w:rFonts w:hint="eastAsia"/>
          <w:b/>
          <w:bCs/>
          <w:sz w:val="28"/>
          <w:szCs w:val="28"/>
          <w:lang w:val="en-US" w:eastAsia="zh-CN"/>
        </w:rPr>
        <w:t>1  项目地理位置图</w:t>
      </w:r>
    </w:p>
    <w:p w14:paraId="7049C275">
      <w:pPr>
        <w:pStyle w:val="34"/>
        <w:ind w:left="0" w:leftChars="0" w:firstLine="0" w:firstLineChars="0"/>
        <w:rPr>
          <w:rFonts w:hint="eastAsia"/>
          <w:b w:val="0"/>
          <w:bCs w:val="0"/>
          <w:color w:val="auto"/>
          <w:sz w:val="28"/>
          <w:szCs w:val="28"/>
          <w:lang w:val="en-US" w:eastAsia="zh-CN"/>
        </w:rPr>
        <w:sectPr>
          <w:pgSz w:w="16838" w:h="11906" w:orient="landscape"/>
          <w:pgMar w:top="1800" w:right="1440" w:bottom="1800" w:left="1440" w:header="851" w:footer="992" w:gutter="0"/>
          <w:cols w:space="425" w:num="1"/>
          <w:docGrid w:type="lines" w:linePitch="312" w:charSpace="0"/>
        </w:sectPr>
      </w:pPr>
    </w:p>
    <w:p w14:paraId="5E57AF20">
      <w:pPr>
        <w:pStyle w:val="3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b w:val="0"/>
          <w:bCs w:val="0"/>
          <w:color w:val="auto"/>
          <w:sz w:val="28"/>
          <w:szCs w:val="28"/>
          <w:lang w:val="en-US" w:eastAsia="zh-CN"/>
        </w:rPr>
      </w:pPr>
      <w:r>
        <w:rPr>
          <w:rFonts w:hint="eastAsia"/>
          <w:b w:val="0"/>
          <w:bCs w:val="0"/>
          <w:color w:val="auto"/>
          <w:sz w:val="28"/>
          <w:szCs w:val="28"/>
          <w:lang w:val="en-US" w:eastAsia="zh-CN"/>
        </w:rPr>
        <w:drawing>
          <wp:inline distT="0" distB="0" distL="114300" distR="114300">
            <wp:extent cx="8855710" cy="4875530"/>
            <wp:effectExtent l="0" t="0" r="2540" b="1270"/>
            <wp:docPr id="43" name="图片 43" descr="fc912765-9dd9-4fc5-ab64-60e2f01178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fc912765-9dd9-4fc5-ab64-60e2f011787c"/>
                    <pic:cNvPicPr>
                      <a:picLocks noChangeAspect="1"/>
                    </pic:cNvPicPr>
                  </pic:nvPicPr>
                  <pic:blipFill>
                    <a:blip r:embed="rId134"/>
                    <a:stretch>
                      <a:fillRect/>
                    </a:stretch>
                  </pic:blipFill>
                  <pic:spPr>
                    <a:xfrm>
                      <a:off x="0" y="0"/>
                      <a:ext cx="8855710" cy="4875530"/>
                    </a:xfrm>
                    <a:prstGeom prst="rect">
                      <a:avLst/>
                    </a:prstGeom>
                  </pic:spPr>
                </pic:pic>
              </a:graphicData>
            </a:graphic>
          </wp:inline>
        </w:drawing>
      </w:r>
      <w:r>
        <w:rPr>
          <w:rFonts w:hint="eastAsia"/>
          <w:b w:val="0"/>
          <w:bCs w:val="0"/>
          <w:color w:val="auto"/>
          <w:sz w:val="28"/>
          <w:szCs w:val="28"/>
          <w:lang w:val="en-US" w:eastAsia="zh-CN"/>
        </w:rPr>
        <w:t xml:space="preserve"> </w:t>
      </w:r>
    </w:p>
    <w:p w14:paraId="08304D72">
      <w:pPr>
        <w:pStyle w:val="3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lang w:val="en-US" w:eastAsia="zh-CN"/>
        </w:rPr>
      </w:pPr>
      <w:r>
        <w:rPr>
          <w:rFonts w:hint="eastAsia"/>
          <w:b/>
          <w:bCs/>
          <w:sz w:val="28"/>
          <w:szCs w:val="28"/>
          <w:lang w:eastAsia="zh-CN"/>
        </w:rPr>
        <w:t>附图</w:t>
      </w:r>
      <w:r>
        <w:rPr>
          <w:rFonts w:hint="eastAsia"/>
          <w:b/>
          <w:bCs/>
          <w:sz w:val="28"/>
          <w:szCs w:val="28"/>
          <w:lang w:val="en-US" w:eastAsia="zh-CN"/>
        </w:rPr>
        <w:t>2  项目周边关系图</w:t>
      </w:r>
      <w:r>
        <w:rPr>
          <w:rFonts w:hint="eastAsia"/>
          <w:lang w:val="en-US" w:eastAsia="zh-CN"/>
        </w:rPr>
        <w:br w:type="page"/>
      </w:r>
    </w:p>
    <w:p w14:paraId="1238A138">
      <w:pPr>
        <w:pStyle w:val="34"/>
        <w:ind w:left="0" w:leftChars="0" w:firstLine="0" w:firstLineChars="0"/>
        <w:jc w:val="center"/>
        <w:rPr>
          <w:rFonts w:hint="eastAsia" w:eastAsia="宋体"/>
          <w:lang w:eastAsia="zh-CN"/>
        </w:rPr>
      </w:pPr>
      <w:r>
        <w:rPr>
          <w:rFonts w:hint="eastAsia" w:eastAsia="宋体"/>
          <w:lang w:eastAsia="zh-CN"/>
        </w:rPr>
        <w:drawing>
          <wp:inline distT="0" distB="0" distL="114300" distR="114300">
            <wp:extent cx="8859520" cy="4732020"/>
            <wp:effectExtent l="0" t="0" r="17780" b="11430"/>
            <wp:docPr id="44" name="图片 44" descr="1134a77f-88d7-41e4-ab44-c29ae161f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134a77f-88d7-41e4-ab44-c29ae161f490"/>
                    <pic:cNvPicPr>
                      <a:picLocks noChangeAspect="1"/>
                    </pic:cNvPicPr>
                  </pic:nvPicPr>
                  <pic:blipFill>
                    <a:blip r:embed="rId135"/>
                    <a:stretch>
                      <a:fillRect/>
                    </a:stretch>
                  </pic:blipFill>
                  <pic:spPr>
                    <a:xfrm>
                      <a:off x="0" y="0"/>
                      <a:ext cx="8859520" cy="4732020"/>
                    </a:xfrm>
                    <a:prstGeom prst="rect">
                      <a:avLst/>
                    </a:prstGeom>
                  </pic:spPr>
                </pic:pic>
              </a:graphicData>
            </a:graphic>
          </wp:inline>
        </w:drawing>
      </w:r>
    </w:p>
    <w:p w14:paraId="2B4BAA59">
      <w:pPr>
        <w:pStyle w:val="34"/>
        <w:ind w:left="0" w:leftChars="0" w:firstLine="0" w:firstLineChars="0"/>
        <w:jc w:val="center"/>
        <w:rPr>
          <w:rFonts w:hint="eastAsia"/>
          <w:b/>
          <w:bCs/>
          <w:sz w:val="28"/>
          <w:szCs w:val="28"/>
          <w:lang w:val="en-US" w:eastAsia="zh-CN"/>
        </w:rPr>
      </w:pPr>
      <w:r>
        <w:rPr>
          <w:rFonts w:hint="eastAsia"/>
          <w:b/>
          <w:bCs/>
          <w:sz w:val="28"/>
          <w:szCs w:val="28"/>
          <w:lang w:eastAsia="zh-CN"/>
        </w:rPr>
        <w:t>附图</w:t>
      </w:r>
      <w:r>
        <w:rPr>
          <w:rFonts w:hint="eastAsia"/>
          <w:b/>
          <w:bCs/>
          <w:sz w:val="28"/>
          <w:szCs w:val="28"/>
          <w:lang w:val="en-US" w:eastAsia="zh-CN"/>
        </w:rPr>
        <w:t>3  平面布置图</w:t>
      </w:r>
    </w:p>
    <w:p w14:paraId="47824B3B">
      <w:pPr>
        <w:pStyle w:val="34"/>
        <w:ind w:left="0" w:leftChars="0" w:firstLine="0" w:firstLineChars="0"/>
        <w:jc w:val="center"/>
        <w:rPr>
          <w:rFonts w:hint="eastAsia"/>
          <w:b/>
          <w:bCs/>
          <w:sz w:val="28"/>
          <w:szCs w:val="28"/>
          <w:lang w:eastAsia="zh-CN"/>
        </w:rPr>
      </w:pPr>
    </w:p>
    <w:p w14:paraId="3CAA91D2">
      <w:pPr>
        <w:pStyle w:val="34"/>
        <w:ind w:left="0" w:leftChars="0" w:firstLine="0" w:firstLineChars="0"/>
        <w:jc w:val="center"/>
        <w:rPr>
          <w:rFonts w:hint="eastAsia"/>
          <w:b/>
          <w:bCs/>
          <w:sz w:val="28"/>
          <w:szCs w:val="28"/>
          <w:lang w:eastAsia="zh-CN"/>
        </w:rPr>
      </w:pPr>
      <w:r>
        <w:rPr>
          <w:sz w:val="28"/>
        </w:rPr>
        <mc:AlternateContent>
          <mc:Choice Requires="wps">
            <w:drawing>
              <wp:anchor distT="0" distB="0" distL="114300" distR="114300" simplePos="0" relativeHeight="251681792" behindDoc="0" locked="0" layoutInCell="1" allowOverlap="1">
                <wp:simplePos x="0" y="0"/>
                <wp:positionH relativeFrom="column">
                  <wp:posOffset>3055620</wp:posOffset>
                </wp:positionH>
                <wp:positionV relativeFrom="paragraph">
                  <wp:posOffset>749935</wp:posOffset>
                </wp:positionV>
                <wp:extent cx="2000250" cy="1143000"/>
                <wp:effectExtent l="9525" t="9525" r="9525" b="9525"/>
                <wp:wrapNone/>
                <wp:docPr id="45" name="矩形 45"/>
                <wp:cNvGraphicFramePr/>
                <a:graphic xmlns:a="http://schemas.openxmlformats.org/drawingml/2006/main">
                  <a:graphicData uri="http://schemas.microsoft.com/office/word/2010/wordprocessingShape">
                    <wps:wsp>
                      <wps:cNvSpPr/>
                      <wps:spPr>
                        <a:xfrm rot="5400000">
                          <a:off x="0" y="0"/>
                          <a:ext cx="2000250" cy="1143000"/>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0.6pt;margin-top:59.05pt;height:90pt;width:157.5pt;rotation:5898240f;z-index:251681792;v-text-anchor:middle;mso-width-relative:page;mso-height-relative:page;" filled="f" stroked="t" coordsize="21600,21600" o:gfxdata="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U2ndQdgAAAALAQAADwAAAAAAAAABACAAAAAiAAAAZHJzL2Rvd25yZXYueG1sUEsBAhQAFAAA&#10;AAgAh07iQKKT5GNhAgAAxQQAAA4AAAAAAAAAAQAgAAAAJwEAAGRycy9lMm9Eb2MueG1sUEsFBgAA&#10;AAAGAAYAWQEAAPoFAAAAAA==&#10;">
                <v:fill on="f" focussize="0,0"/>
                <v:stroke weight="1.5pt" color="#000000 [3213]" joinstyle="round"/>
                <v:imagedata o:title=""/>
                <o:lock v:ext="edit" aspectratio="f"/>
              </v:rect>
            </w:pict>
          </mc:Fallback>
        </mc:AlternateContent>
      </w:r>
    </w:p>
    <w:p w14:paraId="5009A6A4">
      <w:pPr>
        <w:pStyle w:val="34"/>
        <w:ind w:left="0" w:leftChars="0" w:firstLine="0" w:firstLineChars="0"/>
        <w:jc w:val="center"/>
        <w:rPr>
          <w:rFonts w:hint="default"/>
          <w:b/>
          <w:bCs/>
          <w:sz w:val="28"/>
          <w:szCs w:val="28"/>
          <w:lang w:val="en-US" w:eastAsia="zh-CN"/>
        </w:rPr>
      </w:pPr>
      <w:r>
        <w:rPr>
          <w:sz w:val="28"/>
        </w:rPr>
        <mc:AlternateContent>
          <mc:Choice Requires="wps">
            <w:drawing>
              <wp:anchor distT="0" distB="0" distL="114300" distR="114300" simplePos="0" relativeHeight="251685888" behindDoc="0" locked="0" layoutInCell="1" allowOverlap="1">
                <wp:simplePos x="0" y="0"/>
                <wp:positionH relativeFrom="column">
                  <wp:posOffset>2226945</wp:posOffset>
                </wp:positionH>
                <wp:positionV relativeFrom="paragraph">
                  <wp:posOffset>363220</wp:posOffset>
                </wp:positionV>
                <wp:extent cx="1057275" cy="923925"/>
                <wp:effectExtent l="8255" t="9525" r="1270" b="0"/>
                <wp:wrapNone/>
                <wp:docPr id="47" name="直接箭头连接符 47"/>
                <wp:cNvGraphicFramePr/>
                <a:graphic xmlns:a="http://schemas.openxmlformats.org/drawingml/2006/main">
                  <a:graphicData uri="http://schemas.microsoft.com/office/word/2010/wordprocessingShape">
                    <wps:wsp>
                      <wps:cNvCnPr/>
                      <wps:spPr>
                        <a:xfrm>
                          <a:off x="3131820" y="2489200"/>
                          <a:ext cx="1057275" cy="923925"/>
                        </a:xfrm>
                        <a:prstGeom prst="straightConnector1">
                          <a:avLst/>
                        </a:prstGeom>
                        <a:ln>
                          <a:tailEnd type="arrow" w="med" len="med"/>
                        </a:ln>
                      </wps:spPr>
                      <wps:style>
                        <a:lnRef idx="2">
                          <a:prstClr val="black"/>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75.35pt;margin-top:28.6pt;height:72.75pt;width:83.25pt;z-index:251685888;mso-width-relative:page;mso-height-relative:page;" filled="f" stroked="t" coordsize="21600,21600" o:gfxdata="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EGKMzaAAAACgEAAA8A&#10;AAAAAAAAAQAgAAAAIgAAAGRycy9kb3ducmV2LnhtbFBLAQIUABQAAAAIAIdO4kAc77PqFQIAAOwD&#10;AAAOAAAAAAAAAAEAIAAAACkBAABkcnMvZTJvRG9jLnhtbFBLBQYAAAAABgAGAFkBAACwBQAAAAA=&#10;">
                <v:fill on="f" focussize="0,0"/>
                <v:stroke weight="2pt" color="#000000" joinstyle="round" endarrow="open"/>
                <v:imagedata o:title=""/>
                <o:lock v:ext="edit" aspectratio="f"/>
              </v:shape>
            </w:pict>
          </mc:Fallback>
        </mc:AlternateContent>
      </w:r>
      <w:r>
        <w:rPr>
          <w:sz w:val="28"/>
        </w:rPr>
        <mc:AlternateContent>
          <mc:Choice Requires="wps">
            <w:drawing>
              <wp:anchor distT="0" distB="0" distL="114300" distR="114300" simplePos="0" relativeHeight="251682816" behindDoc="0" locked="0" layoutInCell="1" allowOverlap="1">
                <wp:simplePos x="0" y="0"/>
                <wp:positionH relativeFrom="column">
                  <wp:posOffset>3179445</wp:posOffset>
                </wp:positionH>
                <wp:positionV relativeFrom="paragraph">
                  <wp:posOffset>372745</wp:posOffset>
                </wp:positionV>
                <wp:extent cx="1438275" cy="82931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438275" cy="829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7507F0">
                            <w:pPr>
                              <w:jc w:val="center"/>
                              <w:rPr>
                                <w:rFonts w:hint="eastAsia" w:eastAsia="宋体"/>
                                <w:sz w:val="28"/>
                                <w:szCs w:val="28"/>
                                <w:lang w:val="en-US" w:eastAsia="zh-CN"/>
                              </w:rPr>
                            </w:pPr>
                            <w:r>
                              <w:rPr>
                                <w:rFonts w:hint="eastAsia" w:eastAsia="宋体"/>
                                <w:sz w:val="28"/>
                                <w:szCs w:val="28"/>
                                <w:lang w:val="en-US" w:eastAsia="zh-CN"/>
                              </w:rPr>
                              <w:t>宏启胜</w:t>
                            </w:r>
                          </w:p>
                          <w:p w14:paraId="1C5FBE22">
                            <w:pPr>
                              <w:jc w:val="center"/>
                              <w:rPr>
                                <w:rFonts w:hint="default" w:eastAsia="宋体"/>
                                <w:sz w:val="28"/>
                                <w:szCs w:val="28"/>
                                <w:lang w:val="en-US" w:eastAsia="zh-CN"/>
                              </w:rPr>
                            </w:pPr>
                            <w:r>
                              <w:rPr>
                                <w:rFonts w:hint="eastAsia" w:eastAsia="宋体"/>
                                <w:sz w:val="28"/>
                                <w:szCs w:val="28"/>
                                <w:lang w:val="en-US" w:eastAsia="zh-CN"/>
                              </w:rPr>
                              <w:t>精密电子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0.35pt;margin-top:29.35pt;height:65.3pt;width:113.25pt;z-index:251682816;mso-width-relative:page;mso-height-relative:page;" filled="f" stroked="f" coordsize="21600,21600" o:gfxdata="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Sxq4w2gAAAAoBAAAPAAAAAAAAAAEAIAAAACIAAABk&#10;cnMvZG93bnJldi54bWxQSwECFAAUAAAACACHTuJAZ75TPz0CAABoBAAADgAAAAAAAAABACAAAAAp&#10;AQAAZHJzL2Uyb0RvYy54bWxQSwUGAAAAAAYABgBZAQAA2AUAAAAA&#10;">
                <v:fill on="f" focussize="0,0"/>
                <v:stroke on="f" weight="0.5pt"/>
                <v:imagedata o:title=""/>
                <o:lock v:ext="edit" aspectratio="f"/>
                <v:textbox>
                  <w:txbxContent>
                    <w:p w14:paraId="677507F0">
                      <w:pPr>
                        <w:jc w:val="center"/>
                        <w:rPr>
                          <w:rFonts w:hint="eastAsia" w:eastAsia="宋体"/>
                          <w:sz w:val="28"/>
                          <w:szCs w:val="28"/>
                          <w:lang w:val="en-US" w:eastAsia="zh-CN"/>
                        </w:rPr>
                      </w:pPr>
                      <w:r>
                        <w:rPr>
                          <w:rFonts w:hint="eastAsia" w:eastAsia="宋体"/>
                          <w:sz w:val="28"/>
                          <w:szCs w:val="28"/>
                          <w:lang w:val="en-US" w:eastAsia="zh-CN"/>
                        </w:rPr>
                        <w:t>宏启胜</w:t>
                      </w:r>
                    </w:p>
                    <w:p w14:paraId="1C5FBE22">
                      <w:pPr>
                        <w:jc w:val="center"/>
                        <w:rPr>
                          <w:rFonts w:hint="default" w:eastAsia="宋体"/>
                          <w:sz w:val="28"/>
                          <w:szCs w:val="28"/>
                          <w:lang w:val="en-US" w:eastAsia="zh-CN"/>
                        </w:rPr>
                      </w:pPr>
                      <w:r>
                        <w:rPr>
                          <w:rFonts w:hint="eastAsia" w:eastAsia="宋体"/>
                          <w:sz w:val="28"/>
                          <w:szCs w:val="28"/>
                          <w:lang w:val="en-US" w:eastAsia="zh-CN"/>
                        </w:rPr>
                        <w:t>精密电子</w:t>
                      </w:r>
                    </w:p>
                  </w:txbxContent>
                </v:textbox>
              </v:shape>
            </w:pict>
          </mc:Fallback>
        </mc:AlternateContent>
      </w:r>
      <w:r>
        <w:rPr>
          <w:rFonts w:hint="eastAsia"/>
          <w:b/>
          <w:bCs/>
          <w:sz w:val="28"/>
          <w:szCs w:val="28"/>
          <w:lang w:val="en-US" w:eastAsia="zh-CN"/>
        </w:rPr>
        <w:t xml:space="preserve">                </w:t>
      </w:r>
    </w:p>
    <w:p w14:paraId="10013F34">
      <w:pPr>
        <w:pStyle w:val="34"/>
        <w:ind w:left="0" w:leftChars="0" w:firstLine="0" w:firstLineChars="0"/>
        <w:jc w:val="center"/>
        <w:rPr>
          <w:rFonts w:hint="default"/>
          <w:b/>
          <w:bCs/>
          <w:sz w:val="28"/>
          <w:szCs w:val="28"/>
          <w:lang w:val="en-US" w:eastAsia="zh-CN"/>
        </w:rPr>
      </w:pPr>
      <w:r>
        <w:rPr>
          <w:sz w:val="28"/>
        </w:rPr>
        <mc:AlternateContent>
          <mc:Choice Requires="wps">
            <w:drawing>
              <wp:anchor distT="0" distB="0" distL="114300" distR="114300" simplePos="0" relativeHeight="251686912" behindDoc="0" locked="0" layoutInCell="1" allowOverlap="1">
                <wp:simplePos x="0" y="0"/>
                <wp:positionH relativeFrom="column">
                  <wp:posOffset>2160270</wp:posOffset>
                </wp:positionH>
                <wp:positionV relativeFrom="paragraph">
                  <wp:posOffset>389890</wp:posOffset>
                </wp:positionV>
                <wp:extent cx="836930" cy="418465"/>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836930" cy="418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4D5AE2">
                            <w:pPr>
                              <w:keepNext w:val="0"/>
                              <w:keepLines w:val="0"/>
                              <w:pageBreakBefore w:val="0"/>
                              <w:widowControl w:val="0"/>
                              <w:kinsoku/>
                              <w:wordWrap/>
                              <w:overflowPunct/>
                              <w:topLinePunct w:val="0"/>
                              <w:bidi w:val="0"/>
                              <w:adjustRightInd/>
                              <w:snapToGrid/>
                              <w:ind w:firstLine="0" w:firstLineChars="0"/>
                              <w:jc w:val="center"/>
                              <w:textAlignment w:val="auto"/>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西北风</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0.1pt;margin-top:30.7pt;height:32.95pt;width:65.9pt;z-index:251686912;mso-width-relative:page;mso-height-relative:page;" filled="f" stroked="f" coordsize="21600,21600" o:gfxdata="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&#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ndNYB2gAAAAoBAAAPAAAAAAAAAAEAIAAAACIAAABk&#10;cnMvZG93bnJldi54bWxQSwECFAAUAAAACACHTuJAXhCX0z0CAABnBAAADgAAAAAAAAABACAAAAAp&#10;AQAAZHJzL2Uyb0RvYy54bWxQSwUGAAAAAAYABgBZAQAA2AUAAAAA&#10;">
                <v:fill on="f" focussize="0,0"/>
                <v:stroke on="f" weight="0.5pt"/>
                <v:imagedata o:title=""/>
                <o:lock v:ext="edit" aspectratio="f"/>
                <v:textbox>
                  <w:txbxContent>
                    <w:p w14:paraId="1D4D5AE2">
                      <w:pPr>
                        <w:keepNext w:val="0"/>
                        <w:keepLines w:val="0"/>
                        <w:pageBreakBefore w:val="0"/>
                        <w:widowControl w:val="0"/>
                        <w:kinsoku/>
                        <w:wordWrap/>
                        <w:overflowPunct/>
                        <w:topLinePunct w:val="0"/>
                        <w:bidi w:val="0"/>
                        <w:adjustRightInd/>
                        <w:snapToGrid/>
                        <w:ind w:firstLine="0" w:firstLineChars="0"/>
                        <w:jc w:val="center"/>
                        <w:textAlignment w:val="auto"/>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西北风</w:t>
                      </w:r>
                    </w:p>
                  </w:txbxContent>
                </v:textbox>
              </v:shape>
            </w:pict>
          </mc:Fallback>
        </mc:AlternateContent>
      </w:r>
      <w:r>
        <w:rPr>
          <w:rFonts w:hint="eastAsia"/>
          <w:b/>
          <w:bCs/>
          <w:sz w:val="28"/>
          <w:szCs w:val="28"/>
          <w:lang w:val="en-US" w:eastAsia="zh-CN"/>
        </w:rPr>
        <w:t xml:space="preserve">                                             </w:t>
      </w:r>
    </w:p>
    <w:p w14:paraId="062775A0">
      <w:pPr>
        <w:pStyle w:val="34"/>
        <w:ind w:left="0" w:leftChars="0" w:firstLine="0" w:firstLineChars="0"/>
        <w:jc w:val="center"/>
        <w:rPr>
          <w:rFonts w:hint="eastAsia"/>
          <w:b/>
          <w:bCs/>
          <w:sz w:val="28"/>
          <w:szCs w:val="28"/>
          <w:lang w:eastAsia="zh-CN"/>
        </w:rPr>
      </w:pPr>
    </w:p>
    <w:p w14:paraId="779D8E1B">
      <w:pPr>
        <w:pStyle w:val="34"/>
        <w:ind w:left="0" w:leftChars="0" w:firstLine="0" w:firstLineChars="0"/>
        <w:jc w:val="center"/>
        <w:rPr>
          <w:rFonts w:hint="eastAsia"/>
          <w:b/>
          <w:bCs/>
          <w:sz w:val="28"/>
          <w:szCs w:val="28"/>
          <w:lang w:eastAsia="zh-CN"/>
        </w:rPr>
      </w:pPr>
      <w:r>
        <w:rPr>
          <w:sz w:val="28"/>
        </w:rPr>
        <mc:AlternateContent>
          <mc:Choice Requires="wps">
            <w:drawing>
              <wp:anchor distT="0" distB="0" distL="114300" distR="114300" simplePos="0" relativeHeight="251684864" behindDoc="0" locked="0" layoutInCell="1" allowOverlap="1">
                <wp:simplePos x="0" y="0"/>
                <wp:positionH relativeFrom="column">
                  <wp:posOffset>5151120</wp:posOffset>
                </wp:positionH>
                <wp:positionV relativeFrom="paragraph">
                  <wp:posOffset>359410</wp:posOffset>
                </wp:positionV>
                <wp:extent cx="694690" cy="418465"/>
                <wp:effectExtent l="0" t="0" r="0" b="0"/>
                <wp:wrapNone/>
                <wp:docPr id="50" name="文本框 50"/>
                <wp:cNvGraphicFramePr/>
                <a:graphic xmlns:a="http://schemas.openxmlformats.org/drawingml/2006/main">
                  <a:graphicData uri="http://schemas.microsoft.com/office/word/2010/wordprocessingShape">
                    <wps:wsp>
                      <wps:cNvSpPr txBox="1"/>
                      <wps:spPr>
                        <a:xfrm>
                          <a:off x="6189345" y="4064635"/>
                          <a:ext cx="694690" cy="418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562B62">
                            <w:pPr>
                              <w:keepNext w:val="0"/>
                              <w:keepLines w:val="0"/>
                              <w:pageBreakBefore w:val="0"/>
                              <w:widowControl w:val="0"/>
                              <w:kinsoku/>
                              <w:wordWrap/>
                              <w:overflowPunct/>
                              <w:topLinePunct w:val="0"/>
                              <w:bidi w:val="0"/>
                              <w:adjustRightInd/>
                              <w:snapToGrid/>
                              <w:ind w:firstLine="0" w:firstLineChars="0"/>
                              <w:textAlignment w:val="auto"/>
                              <w:rPr>
                                <w:rFonts w:hint="default" w:ascii="Times New Roman" w:hAnsi="Times New Roman" w:eastAsia="宋体" w:cs="Times New Roman"/>
                                <w:sz w:val="28"/>
                                <w:szCs w:val="28"/>
                                <w:lang w:val="en-US" w:eastAsia="zh-CN"/>
                              </w:rPr>
                            </w:pPr>
                            <w:r>
                              <w:rPr>
                                <w:rFonts w:hint="default" w:ascii="Times New Roman" w:hAnsi="Times New Roman" w:cs="Times New Roman"/>
                                <w:sz w:val="28"/>
                                <w:szCs w:val="28"/>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5.6pt;margin-top:28.3pt;height:32.95pt;width:54.7pt;z-index:251684864;mso-width-relative:page;mso-height-relative:page;" filled="f" stroked="f" coordsize="21600,21600" o:gfxdata="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FZWzPzZAAAACgEAAA8AAAAAAAAAAQAg&#10;AAAAIgAAAGRycy9kb3ducmV2LnhtbFBLAQIUABQAAAAIAIdO4kBd4MWjRgIAAHMEAAAOAAAAAAAA&#10;AAEAIAAAACgBAABkcnMvZTJvRG9jLnhtbFBLBQYAAAAABgAGAFkBAADgBQAAAAA=&#10;">
                <v:fill on="f" focussize="0,0"/>
                <v:stroke on="f" weight="0.5pt"/>
                <v:imagedata o:title=""/>
                <o:lock v:ext="edit" aspectratio="f"/>
                <v:textbox>
                  <w:txbxContent>
                    <w:p w14:paraId="7D562B62">
                      <w:pPr>
                        <w:keepNext w:val="0"/>
                        <w:keepLines w:val="0"/>
                        <w:pageBreakBefore w:val="0"/>
                        <w:widowControl w:val="0"/>
                        <w:kinsoku/>
                        <w:wordWrap/>
                        <w:overflowPunct/>
                        <w:topLinePunct w:val="0"/>
                        <w:bidi w:val="0"/>
                        <w:adjustRightInd/>
                        <w:snapToGrid/>
                        <w:ind w:firstLine="0" w:firstLineChars="0"/>
                        <w:textAlignment w:val="auto"/>
                        <w:rPr>
                          <w:rFonts w:hint="default" w:ascii="Times New Roman" w:hAnsi="Times New Roman" w:eastAsia="宋体" w:cs="Times New Roman"/>
                          <w:sz w:val="28"/>
                          <w:szCs w:val="28"/>
                          <w:lang w:val="en-US" w:eastAsia="zh-CN"/>
                        </w:rPr>
                      </w:pPr>
                      <w:r>
                        <w:rPr>
                          <w:rFonts w:hint="default" w:ascii="Times New Roman" w:hAnsi="Times New Roman" w:cs="Times New Roman"/>
                          <w:sz w:val="28"/>
                          <w:szCs w:val="28"/>
                          <w:lang w:val="en-US" w:eastAsia="zh-CN"/>
                        </w:rPr>
                        <w:t>1</w:t>
                      </w:r>
                    </w:p>
                  </w:txbxContent>
                </v:textbox>
              </v:shape>
            </w:pict>
          </mc:Fallback>
        </mc:AlternateContent>
      </w:r>
    </w:p>
    <w:p w14:paraId="4ABAFA0E">
      <w:pPr>
        <w:pStyle w:val="34"/>
        <w:ind w:left="0" w:leftChars="0" w:firstLine="0" w:firstLineChars="0"/>
        <w:jc w:val="center"/>
        <w:rPr>
          <w:rFonts w:hint="eastAsia"/>
          <w:b/>
          <w:bCs/>
          <w:sz w:val="28"/>
          <w:szCs w:val="28"/>
          <w:lang w:eastAsia="zh-CN"/>
        </w:rPr>
      </w:pPr>
      <w:r>
        <w:rPr>
          <w:sz w:val="28"/>
        </w:rPr>
        <mc:AlternateContent>
          <mc:Choice Requires="wps">
            <w:drawing>
              <wp:anchor distT="0" distB="0" distL="114300" distR="114300" simplePos="0" relativeHeight="251683840" behindDoc="0" locked="0" layoutInCell="1" allowOverlap="1">
                <wp:simplePos x="0" y="0"/>
                <wp:positionH relativeFrom="column">
                  <wp:posOffset>5065395</wp:posOffset>
                </wp:positionH>
                <wp:positionV relativeFrom="paragraph">
                  <wp:posOffset>77470</wp:posOffset>
                </wp:positionV>
                <wp:extent cx="133350" cy="133350"/>
                <wp:effectExtent l="9525" t="9525" r="9525" b="9525"/>
                <wp:wrapNone/>
                <wp:docPr id="51" name="椭圆 51"/>
                <wp:cNvGraphicFramePr/>
                <a:graphic xmlns:a="http://schemas.openxmlformats.org/drawingml/2006/main">
                  <a:graphicData uri="http://schemas.microsoft.com/office/word/2010/wordprocessingShape">
                    <wps:wsp>
                      <wps:cNvSpPr/>
                      <wps:spPr>
                        <a:xfrm>
                          <a:off x="5979795" y="4055110"/>
                          <a:ext cx="133350" cy="133350"/>
                        </a:xfrm>
                        <a:prstGeom prst="ellipse">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98.85pt;margin-top:6.1pt;height:10.5pt;width:10.5pt;z-index:251683840;v-text-anchor:middle;mso-width-relative:page;mso-height-relative:page;" filled="f" stroked="t" coordsize="21600,21600" o:gfxdata="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xaIVp2QAAAAkBAAAPAAAAAAAAAAEAIAAAACIAAABkcnMvZG93bnJldi54bWxQSwEC&#10;FAAUAAAACACHTuJAKNaKgGUCAADEBAAADgAAAAAAAAABACAAAAAoAQAAZHJzL2Uyb0RvYy54bWxQ&#10;SwUGAAAAAAYABgBZAQAA/wUAAAAA&#10;">
                <v:fill on="f" focussize="0,0"/>
                <v:stroke weight="1.5pt" color="#000000 [3213]" joinstyle="round"/>
                <v:imagedata o:title=""/>
                <o:lock v:ext="edit" aspectratio="f"/>
              </v:shape>
            </w:pict>
          </mc:Fallback>
        </mc:AlternateContent>
      </w:r>
    </w:p>
    <w:p w14:paraId="3345F1E8">
      <w:pPr>
        <w:pStyle w:val="34"/>
        <w:ind w:left="0" w:leftChars="0" w:firstLine="0" w:firstLineChars="0"/>
        <w:jc w:val="center"/>
        <w:rPr>
          <w:rFonts w:hint="eastAsia"/>
          <w:b/>
          <w:bCs/>
          <w:sz w:val="28"/>
          <w:szCs w:val="28"/>
          <w:lang w:eastAsia="zh-CN"/>
        </w:rPr>
      </w:pPr>
    </w:p>
    <w:p w14:paraId="213F3087">
      <w:pPr>
        <w:pStyle w:val="34"/>
        <w:ind w:left="0" w:leftChars="0" w:firstLine="0" w:firstLineChars="0"/>
        <w:jc w:val="center"/>
        <w:rPr>
          <w:rFonts w:hint="eastAsia"/>
          <w:b/>
          <w:bCs/>
          <w:sz w:val="28"/>
          <w:szCs w:val="28"/>
          <w:lang w:eastAsia="zh-CN"/>
        </w:rPr>
      </w:pPr>
    </w:p>
    <w:p w14:paraId="0E60F692">
      <w:pPr>
        <w:pStyle w:val="34"/>
        <w:ind w:left="0" w:leftChars="0" w:firstLine="0" w:firstLineChars="0"/>
        <w:jc w:val="center"/>
        <w:rPr>
          <w:rFonts w:hint="eastAsia"/>
          <w:b/>
          <w:bCs/>
          <w:sz w:val="28"/>
          <w:szCs w:val="28"/>
          <w:lang w:val="en-US" w:eastAsia="zh-CN"/>
        </w:rPr>
      </w:pPr>
      <w:r>
        <w:rPr>
          <w:rFonts w:hint="eastAsia"/>
          <w:b/>
          <w:bCs/>
          <w:sz w:val="28"/>
          <w:szCs w:val="28"/>
          <w:lang w:eastAsia="zh-CN"/>
        </w:rPr>
        <w:t>附图</w:t>
      </w:r>
      <w:r>
        <w:rPr>
          <w:rFonts w:hint="eastAsia"/>
          <w:b/>
          <w:bCs/>
          <w:sz w:val="28"/>
          <w:szCs w:val="28"/>
          <w:lang w:val="en-US" w:eastAsia="zh-CN"/>
        </w:rPr>
        <w:t xml:space="preserve">4  </w:t>
      </w:r>
      <w:r>
        <w:rPr>
          <w:rFonts w:hint="eastAsia" w:ascii="Times New Roman" w:hAnsi="Times New Roman" w:eastAsia="宋体" w:cs="Times New Roman"/>
          <w:b/>
          <w:bCs/>
          <w:sz w:val="28"/>
          <w:szCs w:val="28"/>
          <w:lang w:val="en-US" w:eastAsia="zh-CN"/>
        </w:rPr>
        <w:t>宏启胜精密电子（秦皇岛）有限公司环境空气监测点位</w:t>
      </w:r>
      <w:r>
        <w:rPr>
          <w:rFonts w:hint="eastAsia"/>
          <w:b/>
          <w:bCs/>
          <w:sz w:val="28"/>
          <w:szCs w:val="28"/>
          <w:lang w:val="en-US" w:eastAsia="zh-CN"/>
        </w:rPr>
        <w:t>图</w:t>
      </w:r>
    </w:p>
    <w:p w14:paraId="627494D6">
      <w:pPr>
        <w:pStyle w:val="34"/>
        <w:ind w:left="0" w:leftChars="0" w:firstLine="0" w:firstLineChars="0"/>
        <w:jc w:val="center"/>
        <w:rPr>
          <w:rFonts w:hint="eastAsia"/>
          <w:b/>
          <w:bCs/>
          <w:sz w:val="28"/>
          <w:szCs w:val="28"/>
          <w:lang w:val="en-US" w:eastAsia="zh-CN"/>
        </w:rPr>
      </w:pPr>
    </w:p>
    <w:p w14:paraId="05E170CE">
      <w:pPr>
        <w:pStyle w:val="34"/>
        <w:ind w:left="0" w:leftChars="0" w:firstLine="0" w:firstLineChars="0"/>
        <w:jc w:val="center"/>
        <w:rPr>
          <w:rFonts w:hint="eastAsia"/>
          <w:b/>
          <w:bCs/>
          <w:sz w:val="28"/>
          <w:szCs w:val="28"/>
          <w:lang w:val="en-US" w:eastAsia="zh-CN"/>
        </w:rPr>
        <w:sectPr>
          <w:pgSz w:w="16838" w:h="11906" w:orient="landscape"/>
          <w:pgMar w:top="1800" w:right="1440" w:bottom="1800" w:left="1440" w:header="851" w:footer="992" w:gutter="0"/>
          <w:cols w:space="425" w:num="1"/>
          <w:docGrid w:type="lines" w:linePitch="312" w:charSpace="0"/>
        </w:sectPr>
      </w:pPr>
    </w:p>
    <w:p w14:paraId="14055D77">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b/>
          <w:bCs/>
          <w:color w:val="auto"/>
          <w:sz w:val="24"/>
          <w:highlight w:val="none"/>
          <w:lang w:val="en-US" w:eastAsia="zh-CN"/>
        </w:rPr>
      </w:pPr>
      <w:r>
        <w:rPr>
          <w:rFonts w:hint="eastAsia"/>
          <w:b/>
          <w:bCs/>
          <w:color w:val="auto"/>
          <w:sz w:val="24"/>
          <w:highlight w:val="none"/>
          <w:lang w:val="en-US" w:eastAsia="zh-CN"/>
        </w:rPr>
        <w:t>附件1营业执照</w:t>
      </w:r>
    </w:p>
    <w:p w14:paraId="1437871C">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bCs/>
          <w:color w:val="auto"/>
          <w:sz w:val="24"/>
          <w:highlight w:val="none"/>
          <w:lang w:val="en-US" w:eastAsia="zh-CN"/>
        </w:rPr>
      </w:pPr>
      <w:r>
        <w:rPr>
          <w:rFonts w:hint="eastAsia"/>
          <w:b/>
          <w:bCs/>
          <w:color w:val="auto"/>
          <w:sz w:val="24"/>
          <w:highlight w:val="none"/>
          <w:lang w:val="en-US" w:eastAsia="zh-CN"/>
        </w:rPr>
        <w:drawing>
          <wp:inline distT="0" distB="0" distL="114300" distR="114300">
            <wp:extent cx="5262880" cy="7233920"/>
            <wp:effectExtent l="0" t="0" r="13970" b="5080"/>
            <wp:docPr id="52" name="图片 1" descr="d2f9b6e54efd6a1e71dab7b232ac5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descr="d2f9b6e54efd6a1e71dab7b232ac50b"/>
                    <pic:cNvPicPr>
                      <a:picLocks noChangeAspect="1"/>
                    </pic:cNvPicPr>
                  </pic:nvPicPr>
                  <pic:blipFill>
                    <a:blip r:embed="rId136"/>
                    <a:stretch>
                      <a:fillRect/>
                    </a:stretch>
                  </pic:blipFill>
                  <pic:spPr>
                    <a:xfrm>
                      <a:off x="0" y="0"/>
                      <a:ext cx="5262880" cy="7233920"/>
                    </a:xfrm>
                    <a:prstGeom prst="rect">
                      <a:avLst/>
                    </a:prstGeom>
                    <a:noFill/>
                    <a:ln>
                      <a:noFill/>
                    </a:ln>
                  </pic:spPr>
                </pic:pic>
              </a:graphicData>
            </a:graphic>
          </wp:inline>
        </w:drawing>
      </w:r>
    </w:p>
    <w:p w14:paraId="3AE106E9">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b/>
          <w:bCs/>
          <w:color w:val="auto"/>
          <w:sz w:val="24"/>
          <w:highlight w:val="none"/>
          <w:lang w:val="en-US" w:eastAsia="zh-CN"/>
        </w:rPr>
      </w:pPr>
    </w:p>
    <w:p w14:paraId="79954D67">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b/>
          <w:bCs/>
          <w:color w:val="auto"/>
          <w:sz w:val="24"/>
          <w:highlight w:val="none"/>
          <w:lang w:val="en-US" w:eastAsia="zh-CN"/>
        </w:rPr>
      </w:pPr>
    </w:p>
    <w:p w14:paraId="1025F8FD">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b/>
          <w:bCs/>
          <w:color w:val="auto"/>
          <w:sz w:val="24"/>
          <w:highlight w:val="none"/>
          <w:lang w:val="en-US" w:eastAsia="zh-CN"/>
        </w:rPr>
      </w:pPr>
    </w:p>
    <w:p w14:paraId="4D3B1B09">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b/>
          <w:bCs/>
          <w:color w:val="auto"/>
          <w:sz w:val="24"/>
          <w:highlight w:val="none"/>
          <w:lang w:val="en-US" w:eastAsia="zh-CN"/>
        </w:rPr>
      </w:pPr>
    </w:p>
    <w:p w14:paraId="3DA1EED2">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b/>
          <w:bCs/>
          <w:color w:val="auto"/>
          <w:sz w:val="24"/>
          <w:highlight w:val="none"/>
          <w:lang w:val="en-US" w:eastAsia="zh-CN"/>
        </w:rPr>
      </w:pPr>
      <w:r>
        <w:rPr>
          <w:rFonts w:hint="eastAsia"/>
          <w:b/>
          <w:bCs/>
          <w:color w:val="auto"/>
          <w:sz w:val="24"/>
          <w:highlight w:val="none"/>
          <w:lang w:val="en-US" w:eastAsia="zh-CN"/>
        </w:rPr>
        <w:t>附件2企业投资项目备案信息</w:t>
      </w:r>
    </w:p>
    <w:p w14:paraId="76D36485">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bCs/>
          <w:color w:val="auto"/>
          <w:sz w:val="24"/>
          <w:highlight w:val="none"/>
          <w:lang w:val="en-US" w:eastAsia="zh-CN"/>
        </w:rPr>
      </w:pPr>
      <w:r>
        <w:rPr>
          <w:rFonts w:hint="eastAsia"/>
          <w:b/>
          <w:bCs/>
          <w:color w:val="auto"/>
          <w:sz w:val="24"/>
          <w:highlight w:val="none"/>
          <w:lang w:val="en-US" w:eastAsia="zh-CN"/>
        </w:rPr>
        <w:drawing>
          <wp:inline distT="0" distB="0" distL="114300" distR="114300">
            <wp:extent cx="5271135" cy="7453630"/>
            <wp:effectExtent l="0" t="0" r="5715" b="13970"/>
            <wp:docPr id="53" name="图片 2" descr="冀秦区备字〔2025〕163号秦皇岛万邦零部件加工有限公司新建二车间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descr="冀秦区备字〔2025〕163号秦皇岛万邦零部件加工有限公司新建二车间_00"/>
                    <pic:cNvPicPr>
                      <a:picLocks noChangeAspect="1"/>
                    </pic:cNvPicPr>
                  </pic:nvPicPr>
                  <pic:blipFill>
                    <a:blip r:embed="rId137"/>
                    <a:stretch>
                      <a:fillRect/>
                    </a:stretch>
                  </pic:blipFill>
                  <pic:spPr>
                    <a:xfrm>
                      <a:off x="0" y="0"/>
                      <a:ext cx="5271135" cy="7453630"/>
                    </a:xfrm>
                    <a:prstGeom prst="rect">
                      <a:avLst/>
                    </a:prstGeom>
                    <a:noFill/>
                    <a:ln>
                      <a:noFill/>
                    </a:ln>
                  </pic:spPr>
                </pic:pic>
              </a:graphicData>
            </a:graphic>
          </wp:inline>
        </w:drawing>
      </w:r>
      <w:r>
        <w:rPr>
          <w:rFonts w:hint="eastAsia"/>
          <w:b/>
          <w:bCs/>
          <w:color w:val="auto"/>
          <w:sz w:val="24"/>
          <w:highlight w:val="none"/>
          <w:lang w:val="en-US" w:eastAsia="zh-CN"/>
        </w:rPr>
        <w:drawing>
          <wp:inline distT="0" distB="0" distL="114300" distR="114300">
            <wp:extent cx="5271135" cy="7453630"/>
            <wp:effectExtent l="0" t="0" r="5715" b="13970"/>
            <wp:docPr id="54" name="图片 3" descr="冀秦区备字〔2025〕163号秦皇岛万邦零部件加工有限公司新建二车间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 descr="冀秦区备字〔2025〕163号秦皇岛万邦零部件加工有限公司新建二车间_01"/>
                    <pic:cNvPicPr>
                      <a:picLocks noChangeAspect="1"/>
                    </pic:cNvPicPr>
                  </pic:nvPicPr>
                  <pic:blipFill>
                    <a:blip r:embed="rId138"/>
                    <a:stretch>
                      <a:fillRect/>
                    </a:stretch>
                  </pic:blipFill>
                  <pic:spPr>
                    <a:xfrm>
                      <a:off x="0" y="0"/>
                      <a:ext cx="5271135" cy="7453630"/>
                    </a:xfrm>
                    <a:prstGeom prst="rect">
                      <a:avLst/>
                    </a:prstGeom>
                    <a:noFill/>
                    <a:ln>
                      <a:noFill/>
                    </a:ln>
                  </pic:spPr>
                </pic:pic>
              </a:graphicData>
            </a:graphic>
          </wp:inline>
        </w:drawing>
      </w:r>
    </w:p>
    <w:p w14:paraId="77C61712">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b/>
          <w:bCs/>
          <w:color w:val="auto"/>
          <w:sz w:val="24"/>
          <w:highlight w:val="none"/>
          <w:lang w:val="en-US" w:eastAsia="zh-CN"/>
        </w:rPr>
      </w:pPr>
    </w:p>
    <w:p w14:paraId="4100775F">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b/>
          <w:bCs/>
          <w:color w:val="auto"/>
          <w:sz w:val="24"/>
          <w:highlight w:val="none"/>
          <w:lang w:val="en-US" w:eastAsia="zh-CN"/>
        </w:rPr>
      </w:pPr>
    </w:p>
    <w:p w14:paraId="34BF89CD">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b/>
          <w:bCs/>
          <w:color w:val="auto"/>
          <w:sz w:val="24"/>
          <w:highlight w:val="none"/>
          <w:lang w:val="en-US" w:eastAsia="zh-CN"/>
        </w:rPr>
      </w:pPr>
    </w:p>
    <w:p w14:paraId="2C3F25AC">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b/>
          <w:bCs/>
          <w:color w:val="auto"/>
          <w:sz w:val="24"/>
          <w:highlight w:val="none"/>
          <w:lang w:val="en-US" w:eastAsia="zh-CN"/>
        </w:rPr>
      </w:pPr>
    </w:p>
    <w:p w14:paraId="02DBB525">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b/>
          <w:bCs/>
          <w:color w:val="auto"/>
          <w:sz w:val="24"/>
          <w:highlight w:val="none"/>
          <w:lang w:val="en-US" w:eastAsia="zh-CN"/>
        </w:rPr>
      </w:pPr>
      <w:r>
        <w:rPr>
          <w:rFonts w:hint="eastAsia"/>
          <w:b/>
          <w:bCs/>
          <w:color w:val="auto"/>
          <w:sz w:val="24"/>
          <w:highlight w:val="none"/>
          <w:lang w:val="en-US" w:eastAsia="zh-CN"/>
        </w:rPr>
        <w:t>附件3租赁合同</w:t>
      </w:r>
    </w:p>
    <w:p w14:paraId="083AF34F">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b/>
          <w:bCs/>
          <w:color w:val="auto"/>
          <w:sz w:val="24"/>
          <w:highlight w:val="none"/>
          <w:lang w:val="en-US" w:eastAsia="zh-CN"/>
        </w:rPr>
      </w:pPr>
      <w:r>
        <w:rPr>
          <w:rFonts w:hint="eastAsia"/>
          <w:b/>
          <w:bCs/>
          <w:color w:val="auto"/>
          <w:sz w:val="24"/>
          <w:highlight w:val="none"/>
          <w:lang w:val="en-US" w:eastAsia="zh-CN"/>
        </w:rPr>
        <w:drawing>
          <wp:inline distT="0" distB="0" distL="114300" distR="114300">
            <wp:extent cx="5271135" cy="7453630"/>
            <wp:effectExtent l="0" t="0" r="5715" b="13970"/>
            <wp:docPr id="55" name="图片 4" descr="房租合同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descr="房租合同_00"/>
                    <pic:cNvPicPr>
                      <a:picLocks noChangeAspect="1"/>
                    </pic:cNvPicPr>
                  </pic:nvPicPr>
                  <pic:blipFill>
                    <a:blip r:embed="rId139"/>
                    <a:stretch>
                      <a:fillRect/>
                    </a:stretch>
                  </pic:blipFill>
                  <pic:spPr>
                    <a:xfrm>
                      <a:off x="0" y="0"/>
                      <a:ext cx="5271135" cy="7453630"/>
                    </a:xfrm>
                    <a:prstGeom prst="rect">
                      <a:avLst/>
                    </a:prstGeom>
                    <a:noFill/>
                    <a:ln>
                      <a:noFill/>
                    </a:ln>
                  </pic:spPr>
                </pic:pic>
              </a:graphicData>
            </a:graphic>
          </wp:inline>
        </w:drawing>
      </w:r>
      <w:r>
        <w:rPr>
          <w:rFonts w:hint="eastAsia"/>
          <w:b/>
          <w:bCs/>
          <w:color w:val="auto"/>
          <w:sz w:val="24"/>
          <w:highlight w:val="none"/>
          <w:lang w:val="en-US" w:eastAsia="zh-CN"/>
        </w:rPr>
        <w:drawing>
          <wp:inline distT="0" distB="0" distL="114300" distR="114300">
            <wp:extent cx="5271135" cy="7453630"/>
            <wp:effectExtent l="0" t="0" r="5715" b="13970"/>
            <wp:docPr id="56" name="图片 5" descr="房租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descr="房租合同_01"/>
                    <pic:cNvPicPr>
                      <a:picLocks noChangeAspect="1"/>
                    </pic:cNvPicPr>
                  </pic:nvPicPr>
                  <pic:blipFill>
                    <a:blip r:embed="rId140"/>
                    <a:stretch>
                      <a:fillRect/>
                    </a:stretch>
                  </pic:blipFill>
                  <pic:spPr>
                    <a:xfrm>
                      <a:off x="0" y="0"/>
                      <a:ext cx="5271135" cy="7453630"/>
                    </a:xfrm>
                    <a:prstGeom prst="rect">
                      <a:avLst/>
                    </a:prstGeom>
                    <a:noFill/>
                    <a:ln>
                      <a:noFill/>
                    </a:ln>
                  </pic:spPr>
                </pic:pic>
              </a:graphicData>
            </a:graphic>
          </wp:inline>
        </w:drawing>
      </w:r>
      <w:r>
        <w:rPr>
          <w:rFonts w:hint="eastAsia"/>
          <w:b/>
          <w:bCs/>
          <w:color w:val="auto"/>
          <w:sz w:val="24"/>
          <w:highlight w:val="none"/>
          <w:lang w:val="en-US" w:eastAsia="zh-CN"/>
        </w:rPr>
        <w:drawing>
          <wp:inline distT="0" distB="0" distL="114300" distR="114300">
            <wp:extent cx="5271135" cy="7453630"/>
            <wp:effectExtent l="0" t="0" r="5715" b="13970"/>
            <wp:docPr id="57" name="图片 6" descr="房租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 descr="房租合同_02"/>
                    <pic:cNvPicPr>
                      <a:picLocks noChangeAspect="1"/>
                    </pic:cNvPicPr>
                  </pic:nvPicPr>
                  <pic:blipFill>
                    <a:blip r:embed="rId141"/>
                    <a:stretch>
                      <a:fillRect/>
                    </a:stretch>
                  </pic:blipFill>
                  <pic:spPr>
                    <a:xfrm>
                      <a:off x="0" y="0"/>
                      <a:ext cx="5271135" cy="7453630"/>
                    </a:xfrm>
                    <a:prstGeom prst="rect">
                      <a:avLst/>
                    </a:prstGeom>
                    <a:noFill/>
                    <a:ln>
                      <a:noFill/>
                    </a:ln>
                  </pic:spPr>
                </pic:pic>
              </a:graphicData>
            </a:graphic>
          </wp:inline>
        </w:drawing>
      </w:r>
      <w:r>
        <w:rPr>
          <w:rFonts w:hint="eastAsia"/>
          <w:b/>
          <w:bCs/>
          <w:color w:val="auto"/>
          <w:sz w:val="24"/>
          <w:highlight w:val="none"/>
          <w:lang w:val="en-US" w:eastAsia="zh-CN"/>
        </w:rPr>
        <w:drawing>
          <wp:inline distT="0" distB="0" distL="114300" distR="114300">
            <wp:extent cx="5271135" cy="7453630"/>
            <wp:effectExtent l="0" t="0" r="5715" b="13970"/>
            <wp:docPr id="58" name="图片 7" descr="房租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7" descr="房租合同_03"/>
                    <pic:cNvPicPr>
                      <a:picLocks noChangeAspect="1"/>
                    </pic:cNvPicPr>
                  </pic:nvPicPr>
                  <pic:blipFill>
                    <a:blip r:embed="rId142"/>
                    <a:stretch>
                      <a:fillRect/>
                    </a:stretch>
                  </pic:blipFill>
                  <pic:spPr>
                    <a:xfrm>
                      <a:off x="0" y="0"/>
                      <a:ext cx="5271135" cy="7453630"/>
                    </a:xfrm>
                    <a:prstGeom prst="rect">
                      <a:avLst/>
                    </a:prstGeom>
                    <a:noFill/>
                    <a:ln>
                      <a:noFill/>
                    </a:ln>
                  </pic:spPr>
                </pic:pic>
              </a:graphicData>
            </a:graphic>
          </wp:inline>
        </w:drawing>
      </w:r>
      <w:r>
        <w:rPr>
          <w:rFonts w:hint="eastAsia"/>
          <w:b/>
          <w:bCs/>
          <w:color w:val="auto"/>
          <w:sz w:val="24"/>
          <w:highlight w:val="none"/>
          <w:lang w:val="en-US" w:eastAsia="zh-CN"/>
        </w:rPr>
        <w:drawing>
          <wp:inline distT="0" distB="0" distL="114300" distR="114300">
            <wp:extent cx="5271135" cy="7453630"/>
            <wp:effectExtent l="0" t="0" r="5715" b="13970"/>
            <wp:docPr id="59" name="图片 8" descr="房租合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8" descr="房租合同_04"/>
                    <pic:cNvPicPr>
                      <a:picLocks noChangeAspect="1"/>
                    </pic:cNvPicPr>
                  </pic:nvPicPr>
                  <pic:blipFill>
                    <a:blip r:embed="rId143"/>
                    <a:stretch>
                      <a:fillRect/>
                    </a:stretch>
                  </pic:blipFill>
                  <pic:spPr>
                    <a:xfrm>
                      <a:off x="0" y="0"/>
                      <a:ext cx="5271135" cy="7453630"/>
                    </a:xfrm>
                    <a:prstGeom prst="rect">
                      <a:avLst/>
                    </a:prstGeom>
                    <a:noFill/>
                    <a:ln>
                      <a:noFill/>
                    </a:ln>
                  </pic:spPr>
                </pic:pic>
              </a:graphicData>
            </a:graphic>
          </wp:inline>
        </w:drawing>
      </w:r>
      <w:r>
        <w:rPr>
          <w:rFonts w:hint="eastAsia"/>
          <w:b/>
          <w:bCs/>
          <w:color w:val="auto"/>
          <w:sz w:val="24"/>
          <w:highlight w:val="none"/>
          <w:lang w:val="en-US" w:eastAsia="zh-CN"/>
        </w:rPr>
        <w:drawing>
          <wp:inline distT="0" distB="0" distL="114300" distR="114300">
            <wp:extent cx="5271135" cy="7453630"/>
            <wp:effectExtent l="0" t="0" r="5715" b="13970"/>
            <wp:docPr id="60" name="图片 9" descr="房租合同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9" descr="房租合同_05"/>
                    <pic:cNvPicPr>
                      <a:picLocks noChangeAspect="1"/>
                    </pic:cNvPicPr>
                  </pic:nvPicPr>
                  <pic:blipFill>
                    <a:blip r:embed="rId144"/>
                    <a:stretch>
                      <a:fillRect/>
                    </a:stretch>
                  </pic:blipFill>
                  <pic:spPr>
                    <a:xfrm>
                      <a:off x="0" y="0"/>
                      <a:ext cx="5271135" cy="7453630"/>
                    </a:xfrm>
                    <a:prstGeom prst="rect">
                      <a:avLst/>
                    </a:prstGeom>
                    <a:noFill/>
                    <a:ln>
                      <a:noFill/>
                    </a:ln>
                  </pic:spPr>
                </pic:pic>
              </a:graphicData>
            </a:graphic>
          </wp:inline>
        </w:drawing>
      </w:r>
    </w:p>
    <w:p w14:paraId="67CADB53">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b/>
          <w:bCs/>
          <w:color w:val="auto"/>
          <w:sz w:val="24"/>
          <w:highlight w:val="none"/>
          <w:lang w:val="en-US" w:eastAsia="zh-CN"/>
        </w:rPr>
      </w:pPr>
    </w:p>
    <w:p w14:paraId="374E5544">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b/>
          <w:bCs/>
          <w:color w:val="auto"/>
          <w:sz w:val="24"/>
          <w:highlight w:val="none"/>
          <w:lang w:val="en-US" w:eastAsia="zh-CN"/>
        </w:rPr>
      </w:pPr>
    </w:p>
    <w:p w14:paraId="5A4096F0">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b/>
          <w:bCs/>
          <w:color w:val="auto"/>
          <w:sz w:val="24"/>
          <w:highlight w:val="none"/>
          <w:lang w:val="en-US" w:eastAsia="zh-CN"/>
        </w:rPr>
      </w:pPr>
    </w:p>
    <w:p w14:paraId="7B39DAA6">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b/>
          <w:bCs/>
          <w:color w:val="auto"/>
          <w:sz w:val="24"/>
          <w:highlight w:val="none"/>
          <w:lang w:val="en-US" w:eastAsia="zh-CN"/>
        </w:rPr>
      </w:pPr>
    </w:p>
    <w:p w14:paraId="66C738C8">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eastAsia"/>
          <w:b/>
          <w:bCs/>
          <w:color w:val="auto"/>
          <w:sz w:val="24"/>
          <w:highlight w:val="none"/>
          <w:lang w:val="en-US" w:eastAsia="zh-CN"/>
        </w:rPr>
      </w:pPr>
      <w:r>
        <w:rPr>
          <w:rFonts w:hint="eastAsia"/>
          <w:b/>
          <w:bCs/>
          <w:color w:val="auto"/>
          <w:sz w:val="24"/>
          <w:highlight w:val="none"/>
          <w:lang w:val="en-US" w:eastAsia="zh-CN"/>
        </w:rPr>
        <w:t>附件4土地证</w:t>
      </w:r>
    </w:p>
    <w:p w14:paraId="18C4FE8D">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b/>
          <w:bCs/>
          <w:color w:val="auto"/>
          <w:sz w:val="24"/>
          <w:highlight w:val="none"/>
          <w:lang w:val="en-US" w:eastAsia="zh-CN"/>
        </w:rPr>
      </w:pPr>
      <w:r>
        <w:rPr>
          <w:rFonts w:hint="default"/>
          <w:b/>
          <w:bCs/>
          <w:color w:val="auto"/>
          <w:sz w:val="24"/>
          <w:highlight w:val="none"/>
          <w:lang w:val="en-US" w:eastAsia="zh-CN"/>
        </w:rPr>
        <w:drawing>
          <wp:inline distT="0" distB="0" distL="114300" distR="114300">
            <wp:extent cx="5267960" cy="7453630"/>
            <wp:effectExtent l="0" t="0" r="8890" b="13970"/>
            <wp:docPr id="61" name="图片 10" descr="2025房产证5(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0" descr="2025房产证5(1)_00"/>
                    <pic:cNvPicPr>
                      <a:picLocks noChangeAspect="1"/>
                    </pic:cNvPicPr>
                  </pic:nvPicPr>
                  <pic:blipFill>
                    <a:blip r:embed="rId145"/>
                    <a:stretch>
                      <a:fillRect/>
                    </a:stretch>
                  </pic:blipFill>
                  <pic:spPr>
                    <a:xfrm>
                      <a:off x="0" y="0"/>
                      <a:ext cx="5267960" cy="7453630"/>
                    </a:xfrm>
                    <a:prstGeom prst="rect">
                      <a:avLst/>
                    </a:prstGeom>
                    <a:noFill/>
                    <a:ln>
                      <a:noFill/>
                    </a:ln>
                  </pic:spPr>
                </pic:pic>
              </a:graphicData>
            </a:graphic>
          </wp:inline>
        </w:drawing>
      </w:r>
      <w:r>
        <w:rPr>
          <w:rFonts w:hint="default"/>
          <w:b/>
          <w:bCs/>
          <w:color w:val="auto"/>
          <w:sz w:val="24"/>
          <w:highlight w:val="none"/>
          <w:lang w:val="en-US" w:eastAsia="zh-CN"/>
        </w:rPr>
        <w:drawing>
          <wp:inline distT="0" distB="0" distL="114300" distR="114300">
            <wp:extent cx="5267960" cy="7453630"/>
            <wp:effectExtent l="0" t="0" r="8890" b="13970"/>
            <wp:docPr id="62" name="图片 11" descr="2025房产证5(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1" descr="2025房产证5(1)_01"/>
                    <pic:cNvPicPr>
                      <a:picLocks noChangeAspect="1"/>
                    </pic:cNvPicPr>
                  </pic:nvPicPr>
                  <pic:blipFill>
                    <a:blip r:embed="rId146"/>
                    <a:stretch>
                      <a:fillRect/>
                    </a:stretch>
                  </pic:blipFill>
                  <pic:spPr>
                    <a:xfrm>
                      <a:off x="0" y="0"/>
                      <a:ext cx="5267960" cy="7453630"/>
                    </a:xfrm>
                    <a:prstGeom prst="rect">
                      <a:avLst/>
                    </a:prstGeom>
                    <a:noFill/>
                    <a:ln>
                      <a:noFill/>
                    </a:ln>
                  </pic:spPr>
                </pic:pic>
              </a:graphicData>
            </a:graphic>
          </wp:inline>
        </w:drawing>
      </w:r>
      <w:r>
        <w:rPr>
          <w:rFonts w:hint="default"/>
          <w:b/>
          <w:bCs/>
          <w:color w:val="auto"/>
          <w:sz w:val="24"/>
          <w:highlight w:val="none"/>
          <w:lang w:val="en-US" w:eastAsia="zh-CN"/>
        </w:rPr>
        <w:drawing>
          <wp:inline distT="0" distB="0" distL="114300" distR="114300">
            <wp:extent cx="5267960" cy="7453630"/>
            <wp:effectExtent l="0" t="0" r="8890" b="13970"/>
            <wp:docPr id="63" name="图片 12" descr="2025房产证5(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2" descr="2025房产证5(1)_02"/>
                    <pic:cNvPicPr>
                      <a:picLocks noChangeAspect="1"/>
                    </pic:cNvPicPr>
                  </pic:nvPicPr>
                  <pic:blipFill>
                    <a:blip r:embed="rId147"/>
                    <a:stretch>
                      <a:fillRect/>
                    </a:stretch>
                  </pic:blipFill>
                  <pic:spPr>
                    <a:xfrm>
                      <a:off x="0" y="0"/>
                      <a:ext cx="5267960" cy="7453630"/>
                    </a:xfrm>
                    <a:prstGeom prst="rect">
                      <a:avLst/>
                    </a:prstGeom>
                    <a:noFill/>
                    <a:ln>
                      <a:noFill/>
                    </a:ln>
                  </pic:spPr>
                </pic:pic>
              </a:graphicData>
            </a:graphic>
          </wp:inline>
        </w:drawing>
      </w:r>
      <w:r>
        <w:rPr>
          <w:rFonts w:hint="default"/>
          <w:b/>
          <w:bCs/>
          <w:color w:val="auto"/>
          <w:sz w:val="24"/>
          <w:highlight w:val="none"/>
          <w:lang w:val="en-US" w:eastAsia="zh-CN"/>
        </w:rPr>
        <w:drawing>
          <wp:inline distT="0" distB="0" distL="114300" distR="114300">
            <wp:extent cx="5267960" cy="7453630"/>
            <wp:effectExtent l="0" t="0" r="8890" b="13970"/>
            <wp:docPr id="64" name="图片 13" descr="2025房产证5(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3" descr="2025房产证5(1)_03"/>
                    <pic:cNvPicPr>
                      <a:picLocks noChangeAspect="1"/>
                    </pic:cNvPicPr>
                  </pic:nvPicPr>
                  <pic:blipFill>
                    <a:blip r:embed="rId148"/>
                    <a:stretch>
                      <a:fillRect/>
                    </a:stretch>
                  </pic:blipFill>
                  <pic:spPr>
                    <a:xfrm>
                      <a:off x="0" y="0"/>
                      <a:ext cx="5267960" cy="7453630"/>
                    </a:xfrm>
                    <a:prstGeom prst="rect">
                      <a:avLst/>
                    </a:prstGeom>
                    <a:noFill/>
                    <a:ln>
                      <a:noFill/>
                    </a:ln>
                  </pic:spPr>
                </pic:pic>
              </a:graphicData>
            </a:graphic>
          </wp:inline>
        </w:drawing>
      </w:r>
      <w:r>
        <w:rPr>
          <w:rFonts w:hint="default"/>
          <w:b/>
          <w:bCs/>
          <w:color w:val="auto"/>
          <w:sz w:val="24"/>
          <w:highlight w:val="none"/>
          <w:lang w:val="en-US" w:eastAsia="zh-CN"/>
        </w:rPr>
        <w:drawing>
          <wp:inline distT="0" distB="0" distL="114300" distR="114300">
            <wp:extent cx="5267960" cy="7453630"/>
            <wp:effectExtent l="0" t="0" r="8890" b="13970"/>
            <wp:docPr id="65" name="图片 14" descr="2025房产证5(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4" descr="2025房产证5(1)_04"/>
                    <pic:cNvPicPr>
                      <a:picLocks noChangeAspect="1"/>
                    </pic:cNvPicPr>
                  </pic:nvPicPr>
                  <pic:blipFill>
                    <a:blip r:embed="rId149"/>
                    <a:stretch>
                      <a:fillRect/>
                    </a:stretch>
                  </pic:blipFill>
                  <pic:spPr>
                    <a:xfrm>
                      <a:off x="0" y="0"/>
                      <a:ext cx="5267960" cy="7453630"/>
                    </a:xfrm>
                    <a:prstGeom prst="rect">
                      <a:avLst/>
                    </a:prstGeom>
                    <a:noFill/>
                    <a:ln>
                      <a:noFill/>
                    </a:ln>
                  </pic:spPr>
                </pic:pic>
              </a:graphicData>
            </a:graphic>
          </wp:inline>
        </w:drawing>
      </w:r>
      <w:r>
        <w:rPr>
          <w:rFonts w:hint="default"/>
          <w:b/>
          <w:bCs/>
          <w:color w:val="auto"/>
          <w:sz w:val="24"/>
          <w:highlight w:val="none"/>
          <w:lang w:val="en-US" w:eastAsia="zh-CN"/>
        </w:rPr>
        <w:drawing>
          <wp:inline distT="0" distB="0" distL="114300" distR="114300">
            <wp:extent cx="5267960" cy="7453630"/>
            <wp:effectExtent l="0" t="0" r="8890" b="13970"/>
            <wp:docPr id="66" name="图片 15" descr="2025房产证5(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5" descr="2025房产证5(1)_05"/>
                    <pic:cNvPicPr>
                      <a:picLocks noChangeAspect="1"/>
                    </pic:cNvPicPr>
                  </pic:nvPicPr>
                  <pic:blipFill>
                    <a:blip r:embed="rId150"/>
                    <a:stretch>
                      <a:fillRect/>
                    </a:stretch>
                  </pic:blipFill>
                  <pic:spPr>
                    <a:xfrm>
                      <a:off x="0" y="0"/>
                      <a:ext cx="5267960" cy="7453630"/>
                    </a:xfrm>
                    <a:prstGeom prst="rect">
                      <a:avLst/>
                    </a:prstGeom>
                    <a:noFill/>
                    <a:ln>
                      <a:noFill/>
                    </a:ln>
                  </pic:spPr>
                </pic:pic>
              </a:graphicData>
            </a:graphic>
          </wp:inline>
        </w:drawing>
      </w:r>
      <w:r>
        <w:rPr>
          <w:rFonts w:hint="default"/>
          <w:b/>
          <w:bCs/>
          <w:color w:val="auto"/>
          <w:sz w:val="24"/>
          <w:highlight w:val="none"/>
          <w:lang w:val="en-US" w:eastAsia="zh-CN"/>
        </w:rPr>
        <w:drawing>
          <wp:inline distT="0" distB="0" distL="114300" distR="114300">
            <wp:extent cx="5267960" cy="7453630"/>
            <wp:effectExtent l="0" t="0" r="8890" b="13970"/>
            <wp:docPr id="67" name="图片 16" descr="2025房产证5(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6" descr="2025房产证5(1)_06"/>
                    <pic:cNvPicPr>
                      <a:picLocks noChangeAspect="1"/>
                    </pic:cNvPicPr>
                  </pic:nvPicPr>
                  <pic:blipFill>
                    <a:blip r:embed="rId151"/>
                    <a:stretch>
                      <a:fillRect/>
                    </a:stretch>
                  </pic:blipFill>
                  <pic:spPr>
                    <a:xfrm>
                      <a:off x="0" y="0"/>
                      <a:ext cx="5267960" cy="7453630"/>
                    </a:xfrm>
                    <a:prstGeom prst="rect">
                      <a:avLst/>
                    </a:prstGeom>
                    <a:noFill/>
                    <a:ln>
                      <a:noFill/>
                    </a:ln>
                  </pic:spPr>
                </pic:pic>
              </a:graphicData>
            </a:graphic>
          </wp:inline>
        </w:drawing>
      </w:r>
    </w:p>
    <w:p w14:paraId="5E709B93">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bCs/>
          <w:color w:val="auto"/>
          <w:sz w:val="24"/>
          <w:highlight w:val="none"/>
        </w:rPr>
      </w:pPr>
    </w:p>
    <w:p w14:paraId="67AEC38C">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bCs/>
          <w:color w:val="auto"/>
          <w:sz w:val="24"/>
          <w:highlight w:val="none"/>
        </w:rPr>
      </w:pPr>
    </w:p>
    <w:p w14:paraId="7D9C8D34">
      <w:pPr>
        <w:pStyle w:val="34"/>
        <w:ind w:left="0" w:leftChars="0" w:firstLine="0" w:firstLineChars="0"/>
        <w:rPr>
          <w:rFonts w:hint="eastAsia"/>
          <w:b/>
          <w:bCs/>
          <w:lang w:val="en-US" w:eastAsia="zh-CN"/>
        </w:rPr>
      </w:pPr>
    </w:p>
    <w:p w14:paraId="346C769A">
      <w:pPr>
        <w:pStyle w:val="34"/>
        <w:ind w:left="0" w:leftChars="0" w:firstLine="0" w:firstLineChars="0"/>
        <w:rPr>
          <w:rFonts w:hint="eastAsia"/>
          <w:b/>
          <w:bCs/>
          <w:lang w:val="en-US" w:eastAsia="zh-CN"/>
        </w:rPr>
      </w:pPr>
    </w:p>
    <w:p w14:paraId="40EE3B07">
      <w:pPr>
        <w:pStyle w:val="34"/>
        <w:ind w:left="0" w:leftChars="0" w:firstLine="0" w:firstLineChars="0"/>
        <w:rPr>
          <w:rFonts w:hint="eastAsia"/>
          <w:b/>
          <w:bCs/>
          <w:lang w:val="en-US" w:eastAsia="zh-CN"/>
        </w:rPr>
      </w:pPr>
      <w:r>
        <w:rPr>
          <w:rFonts w:hint="eastAsia"/>
          <w:b/>
          <w:bCs/>
          <w:lang w:val="en-US" w:eastAsia="zh-CN"/>
        </w:rPr>
        <w:t>附件5环保抛光打磨湿式一体机说明书</w:t>
      </w:r>
    </w:p>
    <w:p w14:paraId="69E8C870">
      <w:pPr>
        <w:pStyle w:val="34"/>
        <w:ind w:left="0" w:leftChars="0" w:firstLine="0" w:firstLineChars="0"/>
        <w:jc w:val="center"/>
        <w:rPr>
          <w:rFonts w:hint="default"/>
          <w:b/>
          <w:bCs/>
          <w:lang w:val="en-US" w:eastAsia="zh-CN"/>
        </w:rPr>
      </w:pPr>
      <w:r>
        <w:rPr>
          <w:rFonts w:hint="default"/>
          <w:b/>
          <w:bCs/>
          <w:lang w:val="en-US" w:eastAsia="zh-CN"/>
        </w:rPr>
        <w:drawing>
          <wp:inline distT="0" distB="0" distL="114300" distR="114300">
            <wp:extent cx="5271135" cy="7453630"/>
            <wp:effectExtent l="0" t="0" r="5715" b="13970"/>
            <wp:docPr id="68" name="图片 68" descr="洁霸JB-SF-2T系列打磨台说明书(2025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洁霸JB-SF-2T系列打磨台说明书(2025版）_01"/>
                    <pic:cNvPicPr>
                      <a:picLocks noChangeAspect="1"/>
                    </pic:cNvPicPr>
                  </pic:nvPicPr>
                  <pic:blipFill>
                    <a:blip r:embed="rId152"/>
                    <a:stretch>
                      <a:fillRect/>
                    </a:stretch>
                  </pic:blipFill>
                  <pic:spPr>
                    <a:xfrm>
                      <a:off x="0" y="0"/>
                      <a:ext cx="5271135" cy="7453630"/>
                    </a:xfrm>
                    <a:prstGeom prst="rect">
                      <a:avLst/>
                    </a:prstGeom>
                  </pic:spPr>
                </pic:pic>
              </a:graphicData>
            </a:graphic>
          </wp:inline>
        </w:drawing>
      </w:r>
      <w:r>
        <w:rPr>
          <w:rFonts w:hint="default"/>
          <w:b/>
          <w:bCs/>
          <w:lang w:val="en-US" w:eastAsia="zh-CN"/>
        </w:rPr>
        <w:drawing>
          <wp:inline distT="0" distB="0" distL="114300" distR="114300">
            <wp:extent cx="5271135" cy="7453630"/>
            <wp:effectExtent l="0" t="0" r="5715" b="13970"/>
            <wp:docPr id="69" name="图片 69" descr="洁霸JB-SF-2T系列打磨台说明书(2025版）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洁霸JB-SF-2T系列打磨台说明书(2025版）_02"/>
                    <pic:cNvPicPr>
                      <a:picLocks noChangeAspect="1"/>
                    </pic:cNvPicPr>
                  </pic:nvPicPr>
                  <pic:blipFill>
                    <a:blip r:embed="rId153"/>
                    <a:stretch>
                      <a:fillRect/>
                    </a:stretch>
                  </pic:blipFill>
                  <pic:spPr>
                    <a:xfrm>
                      <a:off x="0" y="0"/>
                      <a:ext cx="5271135" cy="7453630"/>
                    </a:xfrm>
                    <a:prstGeom prst="rect">
                      <a:avLst/>
                    </a:prstGeom>
                  </pic:spPr>
                </pic:pic>
              </a:graphicData>
            </a:graphic>
          </wp:inline>
        </w:drawing>
      </w:r>
      <w:r>
        <w:rPr>
          <w:rFonts w:hint="default"/>
          <w:b/>
          <w:bCs/>
          <w:lang w:val="en-US" w:eastAsia="zh-CN"/>
        </w:rPr>
        <w:drawing>
          <wp:inline distT="0" distB="0" distL="114300" distR="114300">
            <wp:extent cx="5271135" cy="7453630"/>
            <wp:effectExtent l="0" t="0" r="5715" b="13970"/>
            <wp:docPr id="70" name="图片 70" descr="洁霸JB-SF-2T系列打磨台说明书(2025版）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洁霸JB-SF-2T系列打磨台说明书(2025版）_03"/>
                    <pic:cNvPicPr>
                      <a:picLocks noChangeAspect="1"/>
                    </pic:cNvPicPr>
                  </pic:nvPicPr>
                  <pic:blipFill>
                    <a:blip r:embed="rId154"/>
                    <a:stretch>
                      <a:fillRect/>
                    </a:stretch>
                  </pic:blipFill>
                  <pic:spPr>
                    <a:xfrm>
                      <a:off x="0" y="0"/>
                      <a:ext cx="5271135" cy="7453630"/>
                    </a:xfrm>
                    <a:prstGeom prst="rect">
                      <a:avLst/>
                    </a:prstGeom>
                  </pic:spPr>
                </pic:pic>
              </a:graphicData>
            </a:graphic>
          </wp:inline>
        </w:drawing>
      </w:r>
      <w:r>
        <w:rPr>
          <w:rFonts w:hint="default"/>
          <w:b/>
          <w:bCs/>
          <w:lang w:val="en-US" w:eastAsia="zh-CN"/>
        </w:rPr>
        <w:drawing>
          <wp:inline distT="0" distB="0" distL="114300" distR="114300">
            <wp:extent cx="5271135" cy="7453630"/>
            <wp:effectExtent l="0" t="0" r="5715" b="13970"/>
            <wp:docPr id="71" name="图片 71" descr="洁霸JB-SF-2T系列打磨台说明书(2025版）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洁霸JB-SF-2T系列打磨台说明书(2025版）_04"/>
                    <pic:cNvPicPr>
                      <a:picLocks noChangeAspect="1"/>
                    </pic:cNvPicPr>
                  </pic:nvPicPr>
                  <pic:blipFill>
                    <a:blip r:embed="rId155"/>
                    <a:stretch>
                      <a:fillRect/>
                    </a:stretch>
                  </pic:blipFill>
                  <pic:spPr>
                    <a:xfrm>
                      <a:off x="0" y="0"/>
                      <a:ext cx="5271135" cy="7453630"/>
                    </a:xfrm>
                    <a:prstGeom prst="rect">
                      <a:avLst/>
                    </a:prstGeom>
                  </pic:spPr>
                </pic:pic>
              </a:graphicData>
            </a:graphic>
          </wp:inline>
        </w:drawing>
      </w:r>
      <w:r>
        <w:rPr>
          <w:rFonts w:hint="default"/>
          <w:b/>
          <w:bCs/>
          <w:lang w:val="en-US" w:eastAsia="zh-CN"/>
        </w:rPr>
        <w:drawing>
          <wp:inline distT="0" distB="0" distL="114300" distR="114300">
            <wp:extent cx="5271135" cy="7453630"/>
            <wp:effectExtent l="0" t="0" r="5715" b="13970"/>
            <wp:docPr id="72" name="图片 72" descr="洁霸JB-SF-2T系列打磨台说明书(2025版）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洁霸JB-SF-2T系列打磨台说明书(2025版）_05"/>
                    <pic:cNvPicPr>
                      <a:picLocks noChangeAspect="1"/>
                    </pic:cNvPicPr>
                  </pic:nvPicPr>
                  <pic:blipFill>
                    <a:blip r:embed="rId156"/>
                    <a:stretch>
                      <a:fillRect/>
                    </a:stretch>
                  </pic:blipFill>
                  <pic:spPr>
                    <a:xfrm>
                      <a:off x="0" y="0"/>
                      <a:ext cx="5271135" cy="7453630"/>
                    </a:xfrm>
                    <a:prstGeom prst="rect">
                      <a:avLst/>
                    </a:prstGeom>
                  </pic:spPr>
                </pic:pic>
              </a:graphicData>
            </a:graphic>
          </wp:inline>
        </w:drawing>
      </w:r>
      <w:r>
        <w:rPr>
          <w:rFonts w:hint="default"/>
          <w:b/>
          <w:bCs/>
          <w:lang w:val="en-US" w:eastAsia="zh-CN"/>
        </w:rPr>
        <w:drawing>
          <wp:inline distT="0" distB="0" distL="114300" distR="114300">
            <wp:extent cx="5271135" cy="7453630"/>
            <wp:effectExtent l="0" t="0" r="5715" b="13970"/>
            <wp:docPr id="73" name="图片 73" descr="洁霸JB-SF-2T系列打磨台说明书(2025版）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洁霸JB-SF-2T系列打磨台说明书(2025版）_06"/>
                    <pic:cNvPicPr>
                      <a:picLocks noChangeAspect="1"/>
                    </pic:cNvPicPr>
                  </pic:nvPicPr>
                  <pic:blipFill>
                    <a:blip r:embed="rId157"/>
                    <a:stretch>
                      <a:fillRect/>
                    </a:stretch>
                  </pic:blipFill>
                  <pic:spPr>
                    <a:xfrm>
                      <a:off x="0" y="0"/>
                      <a:ext cx="5271135" cy="7453630"/>
                    </a:xfrm>
                    <a:prstGeom prst="rect">
                      <a:avLst/>
                    </a:prstGeom>
                  </pic:spPr>
                </pic:pic>
              </a:graphicData>
            </a:graphic>
          </wp:inline>
        </w:drawing>
      </w:r>
      <w:r>
        <w:rPr>
          <w:rFonts w:hint="default"/>
          <w:b/>
          <w:bCs/>
          <w:lang w:val="en-US" w:eastAsia="zh-CN"/>
        </w:rPr>
        <w:drawing>
          <wp:inline distT="0" distB="0" distL="114300" distR="114300">
            <wp:extent cx="5271135" cy="7453630"/>
            <wp:effectExtent l="0" t="0" r="5715" b="13970"/>
            <wp:docPr id="74" name="图片 74" descr="洁霸JB-SF-2T系列打磨台说明书(2025版）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洁霸JB-SF-2T系列打磨台说明书(2025版）_07"/>
                    <pic:cNvPicPr>
                      <a:picLocks noChangeAspect="1"/>
                    </pic:cNvPicPr>
                  </pic:nvPicPr>
                  <pic:blipFill>
                    <a:blip r:embed="rId158"/>
                    <a:stretch>
                      <a:fillRect/>
                    </a:stretch>
                  </pic:blipFill>
                  <pic:spPr>
                    <a:xfrm>
                      <a:off x="0" y="0"/>
                      <a:ext cx="5271135" cy="7453630"/>
                    </a:xfrm>
                    <a:prstGeom prst="rect">
                      <a:avLst/>
                    </a:prstGeom>
                  </pic:spPr>
                </pic:pic>
              </a:graphicData>
            </a:graphic>
          </wp:inline>
        </w:drawing>
      </w:r>
      <w:r>
        <w:rPr>
          <w:rFonts w:hint="default"/>
          <w:b/>
          <w:bCs/>
          <w:lang w:val="en-US" w:eastAsia="zh-CN"/>
        </w:rPr>
        <w:drawing>
          <wp:inline distT="0" distB="0" distL="114300" distR="114300">
            <wp:extent cx="5271135" cy="7453630"/>
            <wp:effectExtent l="0" t="0" r="5715" b="13970"/>
            <wp:docPr id="75" name="图片 75" descr="洁霸JB-SF-2T系列打磨台说明书(2025版）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洁霸JB-SF-2T系列打磨台说明书(2025版）_08"/>
                    <pic:cNvPicPr>
                      <a:picLocks noChangeAspect="1"/>
                    </pic:cNvPicPr>
                  </pic:nvPicPr>
                  <pic:blipFill>
                    <a:blip r:embed="rId159"/>
                    <a:stretch>
                      <a:fillRect/>
                    </a:stretch>
                  </pic:blipFill>
                  <pic:spPr>
                    <a:xfrm>
                      <a:off x="0" y="0"/>
                      <a:ext cx="5271135" cy="7453630"/>
                    </a:xfrm>
                    <a:prstGeom prst="rect">
                      <a:avLst/>
                    </a:prstGeom>
                  </pic:spPr>
                </pic:pic>
              </a:graphicData>
            </a:graphic>
          </wp:inline>
        </w:drawing>
      </w:r>
      <w:r>
        <w:rPr>
          <w:rFonts w:hint="default"/>
          <w:b/>
          <w:bCs/>
          <w:lang w:val="en-US" w:eastAsia="zh-CN"/>
        </w:rPr>
        <w:drawing>
          <wp:inline distT="0" distB="0" distL="114300" distR="114300">
            <wp:extent cx="5271135" cy="7453630"/>
            <wp:effectExtent l="0" t="0" r="5715" b="13970"/>
            <wp:docPr id="76" name="图片 76" descr="洁霸JB-SF-2T系列打磨台说明书(2025版）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洁霸JB-SF-2T系列打磨台说明书(2025版）_09"/>
                    <pic:cNvPicPr>
                      <a:picLocks noChangeAspect="1"/>
                    </pic:cNvPicPr>
                  </pic:nvPicPr>
                  <pic:blipFill>
                    <a:blip r:embed="rId160"/>
                    <a:stretch>
                      <a:fillRect/>
                    </a:stretch>
                  </pic:blipFill>
                  <pic:spPr>
                    <a:xfrm>
                      <a:off x="0" y="0"/>
                      <a:ext cx="5271135" cy="7453630"/>
                    </a:xfrm>
                    <a:prstGeom prst="rect">
                      <a:avLst/>
                    </a:prstGeom>
                  </pic:spPr>
                </pic:pic>
              </a:graphicData>
            </a:graphic>
          </wp:inline>
        </w:drawing>
      </w:r>
      <w:r>
        <w:rPr>
          <w:rFonts w:hint="default"/>
          <w:b/>
          <w:bCs/>
          <w:lang w:val="en-US" w:eastAsia="zh-CN"/>
        </w:rPr>
        <w:drawing>
          <wp:inline distT="0" distB="0" distL="114300" distR="114300">
            <wp:extent cx="5271135" cy="7453630"/>
            <wp:effectExtent l="0" t="0" r="5715" b="13970"/>
            <wp:docPr id="77" name="图片 77" descr="洁霸JB-SF-2T系列打磨台说明书(2025版）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洁霸JB-SF-2T系列打磨台说明书(2025版）_10"/>
                    <pic:cNvPicPr>
                      <a:picLocks noChangeAspect="1"/>
                    </pic:cNvPicPr>
                  </pic:nvPicPr>
                  <pic:blipFill>
                    <a:blip r:embed="rId161"/>
                    <a:stretch>
                      <a:fillRect/>
                    </a:stretch>
                  </pic:blipFill>
                  <pic:spPr>
                    <a:xfrm>
                      <a:off x="0" y="0"/>
                      <a:ext cx="5271135" cy="7453630"/>
                    </a:xfrm>
                    <a:prstGeom prst="rect">
                      <a:avLst/>
                    </a:prstGeom>
                  </pic:spPr>
                </pic:pic>
              </a:graphicData>
            </a:graphic>
          </wp:inline>
        </w:drawing>
      </w:r>
      <w:r>
        <w:rPr>
          <w:rFonts w:hint="default"/>
          <w:b/>
          <w:bCs/>
          <w:lang w:val="en-US" w:eastAsia="zh-CN"/>
        </w:rPr>
        <w:drawing>
          <wp:inline distT="0" distB="0" distL="114300" distR="114300">
            <wp:extent cx="5271135" cy="7453630"/>
            <wp:effectExtent l="0" t="0" r="5715" b="13970"/>
            <wp:docPr id="78" name="图片 78" descr="洁霸JB-SF-2T系列打磨台说明书(2025版）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洁霸JB-SF-2T系列打磨台说明书(2025版）_11"/>
                    <pic:cNvPicPr>
                      <a:picLocks noChangeAspect="1"/>
                    </pic:cNvPicPr>
                  </pic:nvPicPr>
                  <pic:blipFill>
                    <a:blip r:embed="rId162"/>
                    <a:stretch>
                      <a:fillRect/>
                    </a:stretch>
                  </pic:blipFill>
                  <pic:spPr>
                    <a:xfrm>
                      <a:off x="0" y="0"/>
                      <a:ext cx="5271135" cy="7453630"/>
                    </a:xfrm>
                    <a:prstGeom prst="rect">
                      <a:avLst/>
                    </a:prstGeom>
                  </pic:spPr>
                </pic:pic>
              </a:graphicData>
            </a:graphic>
          </wp:inline>
        </w:drawing>
      </w:r>
    </w:p>
    <w:p w14:paraId="533E17BE">
      <w:pPr>
        <w:pStyle w:val="34"/>
        <w:ind w:left="0" w:leftChars="0" w:firstLine="0" w:firstLineChars="0"/>
      </w:pPr>
    </w:p>
    <w:p w14:paraId="58D0C58E">
      <w:pPr>
        <w:pStyle w:val="34"/>
        <w:ind w:left="0" w:leftChars="0" w:firstLine="0" w:firstLineChars="0"/>
        <w:rPr>
          <w:rFonts w:hint="eastAsia"/>
          <w:lang w:val="en-US" w:eastAsia="zh-CN"/>
        </w:rPr>
      </w:pPr>
    </w:p>
    <w:p w14:paraId="70529847">
      <w:pPr>
        <w:pStyle w:val="34"/>
        <w:ind w:left="0" w:leftChars="0" w:firstLine="0" w:firstLineChars="0"/>
        <w:rPr>
          <w:rFonts w:hint="eastAsia"/>
          <w:lang w:val="en-US" w:eastAsia="zh-CN"/>
        </w:rPr>
      </w:pPr>
    </w:p>
    <w:p w14:paraId="11751778">
      <w:pPr>
        <w:pStyle w:val="34"/>
        <w:ind w:left="0" w:leftChars="0" w:firstLine="0" w:firstLineChars="0"/>
        <w:rPr>
          <w:rFonts w:hint="eastAsia"/>
          <w:b/>
          <w:bCs/>
          <w:lang w:val="en-US" w:eastAsia="zh-CN"/>
        </w:rPr>
      </w:pPr>
    </w:p>
    <w:p w14:paraId="1F682770">
      <w:pPr>
        <w:pStyle w:val="34"/>
        <w:ind w:left="0" w:leftChars="0" w:firstLine="0" w:firstLineChars="0"/>
        <w:rPr>
          <w:rFonts w:hint="eastAsia"/>
          <w:b/>
          <w:bCs/>
          <w:lang w:val="en-US" w:eastAsia="zh-CN"/>
        </w:rPr>
      </w:pPr>
      <w:r>
        <w:rPr>
          <w:rFonts w:hint="eastAsia"/>
          <w:b/>
          <w:bCs/>
          <w:lang w:val="en-US" w:eastAsia="zh-CN"/>
        </w:rPr>
        <w:t>附件6环境现状监测报告</w:t>
      </w:r>
    </w:p>
    <w:p w14:paraId="382B3408">
      <w:pPr>
        <w:pStyle w:val="34"/>
        <w:ind w:left="0" w:leftChars="0" w:firstLine="0" w:firstLineChars="0"/>
        <w:jc w:val="center"/>
        <w:rPr>
          <w:rFonts w:hint="default"/>
          <w:b/>
          <w:bCs/>
          <w:lang w:val="en-US" w:eastAsia="zh-CN"/>
        </w:rPr>
      </w:pPr>
      <w:r>
        <w:rPr>
          <w:rFonts w:hint="default"/>
          <w:b/>
          <w:bCs/>
          <w:lang w:val="en-US" w:eastAsia="zh-CN"/>
        </w:rPr>
        <w:drawing>
          <wp:inline distT="0" distB="0" distL="114300" distR="114300">
            <wp:extent cx="5269230" cy="7474585"/>
            <wp:effectExtent l="0" t="0" r="7620" b="12065"/>
            <wp:docPr id="79" name="图片 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1"/>
                    <pic:cNvPicPr>
                      <a:picLocks noChangeAspect="1"/>
                    </pic:cNvPicPr>
                  </pic:nvPicPr>
                  <pic:blipFill>
                    <a:blip r:embed="rId163"/>
                    <a:stretch>
                      <a:fillRect/>
                    </a:stretch>
                  </pic:blipFill>
                  <pic:spPr>
                    <a:xfrm>
                      <a:off x="0" y="0"/>
                      <a:ext cx="5269230" cy="7474585"/>
                    </a:xfrm>
                    <a:prstGeom prst="rect">
                      <a:avLst/>
                    </a:prstGeom>
                  </pic:spPr>
                </pic:pic>
              </a:graphicData>
            </a:graphic>
          </wp:inline>
        </w:drawing>
      </w:r>
      <w:r>
        <w:rPr>
          <w:rFonts w:hint="default"/>
          <w:b/>
          <w:bCs/>
          <w:lang w:val="en-US" w:eastAsia="zh-CN"/>
        </w:rPr>
        <w:drawing>
          <wp:inline distT="0" distB="0" distL="114300" distR="114300">
            <wp:extent cx="5269230" cy="7494905"/>
            <wp:effectExtent l="0" t="0" r="7620" b="10795"/>
            <wp:docPr id="80" name="图片 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2"/>
                    <pic:cNvPicPr>
                      <a:picLocks noChangeAspect="1"/>
                    </pic:cNvPicPr>
                  </pic:nvPicPr>
                  <pic:blipFill>
                    <a:blip r:embed="rId164"/>
                    <a:stretch>
                      <a:fillRect/>
                    </a:stretch>
                  </pic:blipFill>
                  <pic:spPr>
                    <a:xfrm>
                      <a:off x="0" y="0"/>
                      <a:ext cx="5269230" cy="7494905"/>
                    </a:xfrm>
                    <a:prstGeom prst="rect">
                      <a:avLst/>
                    </a:prstGeom>
                  </pic:spPr>
                </pic:pic>
              </a:graphicData>
            </a:graphic>
          </wp:inline>
        </w:drawing>
      </w:r>
      <w:r>
        <w:rPr>
          <w:rFonts w:hint="default"/>
          <w:b/>
          <w:bCs/>
          <w:lang w:val="en-US" w:eastAsia="zh-CN"/>
        </w:rPr>
        <w:drawing>
          <wp:inline distT="0" distB="0" distL="114300" distR="114300">
            <wp:extent cx="5269230" cy="7474585"/>
            <wp:effectExtent l="0" t="0" r="7620" b="12065"/>
            <wp:docPr id="81" name="图片 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3"/>
                    <pic:cNvPicPr>
                      <a:picLocks noChangeAspect="1"/>
                    </pic:cNvPicPr>
                  </pic:nvPicPr>
                  <pic:blipFill>
                    <a:blip r:embed="rId165"/>
                    <a:stretch>
                      <a:fillRect/>
                    </a:stretch>
                  </pic:blipFill>
                  <pic:spPr>
                    <a:xfrm>
                      <a:off x="0" y="0"/>
                      <a:ext cx="5269230" cy="7474585"/>
                    </a:xfrm>
                    <a:prstGeom prst="rect">
                      <a:avLst/>
                    </a:prstGeom>
                  </pic:spPr>
                </pic:pic>
              </a:graphicData>
            </a:graphic>
          </wp:inline>
        </w:drawing>
      </w:r>
      <w:r>
        <w:rPr>
          <w:rFonts w:hint="default"/>
          <w:b/>
          <w:bCs/>
          <w:lang w:val="en-US" w:eastAsia="zh-CN"/>
        </w:rPr>
        <w:drawing>
          <wp:inline distT="0" distB="0" distL="114300" distR="114300">
            <wp:extent cx="5273040" cy="7518400"/>
            <wp:effectExtent l="0" t="0" r="3810" b="6350"/>
            <wp:docPr id="82" name="图片 8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4"/>
                    <pic:cNvPicPr>
                      <a:picLocks noChangeAspect="1"/>
                    </pic:cNvPicPr>
                  </pic:nvPicPr>
                  <pic:blipFill>
                    <a:blip r:embed="rId166"/>
                    <a:stretch>
                      <a:fillRect/>
                    </a:stretch>
                  </pic:blipFill>
                  <pic:spPr>
                    <a:xfrm>
                      <a:off x="0" y="0"/>
                      <a:ext cx="5273040" cy="7518400"/>
                    </a:xfrm>
                    <a:prstGeom prst="rect">
                      <a:avLst/>
                    </a:prstGeom>
                  </pic:spPr>
                </pic:pic>
              </a:graphicData>
            </a:graphic>
          </wp:inline>
        </w:drawing>
      </w:r>
      <w:r>
        <w:rPr>
          <w:rFonts w:hint="default"/>
          <w:b/>
          <w:bCs/>
          <w:lang w:val="en-US" w:eastAsia="zh-CN"/>
        </w:rPr>
        <w:drawing>
          <wp:inline distT="0" distB="0" distL="114300" distR="114300">
            <wp:extent cx="5273040" cy="7510780"/>
            <wp:effectExtent l="0" t="0" r="3810" b="13970"/>
            <wp:docPr id="83" name="图片 8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5"/>
                    <pic:cNvPicPr>
                      <a:picLocks noChangeAspect="1"/>
                    </pic:cNvPicPr>
                  </pic:nvPicPr>
                  <pic:blipFill>
                    <a:blip r:embed="rId167"/>
                    <a:stretch>
                      <a:fillRect/>
                    </a:stretch>
                  </pic:blipFill>
                  <pic:spPr>
                    <a:xfrm>
                      <a:off x="0" y="0"/>
                      <a:ext cx="5273040" cy="7510780"/>
                    </a:xfrm>
                    <a:prstGeom prst="rect">
                      <a:avLst/>
                    </a:prstGeom>
                  </pic:spPr>
                </pic:pic>
              </a:graphicData>
            </a:graphic>
          </wp:inline>
        </w:drawing>
      </w:r>
      <w:r>
        <w:rPr>
          <w:rFonts w:hint="default"/>
          <w:b/>
          <w:bCs/>
          <w:lang w:val="en-US" w:eastAsia="zh-CN"/>
        </w:rPr>
        <w:drawing>
          <wp:inline distT="0" distB="0" distL="114300" distR="114300">
            <wp:extent cx="5269230" cy="7474585"/>
            <wp:effectExtent l="0" t="0" r="7620" b="12065"/>
            <wp:docPr id="84" name="图片 8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6"/>
                    <pic:cNvPicPr>
                      <a:picLocks noChangeAspect="1"/>
                    </pic:cNvPicPr>
                  </pic:nvPicPr>
                  <pic:blipFill>
                    <a:blip r:embed="rId168"/>
                    <a:stretch>
                      <a:fillRect/>
                    </a:stretch>
                  </pic:blipFill>
                  <pic:spPr>
                    <a:xfrm>
                      <a:off x="0" y="0"/>
                      <a:ext cx="5269230" cy="7474585"/>
                    </a:xfrm>
                    <a:prstGeom prst="rect">
                      <a:avLst/>
                    </a:prstGeom>
                  </pic:spPr>
                </pic:pic>
              </a:graphicData>
            </a:graphic>
          </wp:inline>
        </w:drawing>
      </w:r>
      <w:r>
        <w:rPr>
          <w:rFonts w:hint="default"/>
          <w:b/>
          <w:bCs/>
          <w:lang w:val="en-US" w:eastAsia="zh-CN"/>
        </w:rPr>
        <w:drawing>
          <wp:inline distT="0" distB="0" distL="114300" distR="114300">
            <wp:extent cx="5269230" cy="7494905"/>
            <wp:effectExtent l="0" t="0" r="7620" b="10795"/>
            <wp:docPr id="85" name="图片 8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7"/>
                    <pic:cNvPicPr>
                      <a:picLocks noChangeAspect="1"/>
                    </pic:cNvPicPr>
                  </pic:nvPicPr>
                  <pic:blipFill>
                    <a:blip r:embed="rId169"/>
                    <a:stretch>
                      <a:fillRect/>
                    </a:stretch>
                  </pic:blipFill>
                  <pic:spPr>
                    <a:xfrm>
                      <a:off x="0" y="0"/>
                      <a:ext cx="5269230" cy="7494905"/>
                    </a:xfrm>
                    <a:prstGeom prst="rect">
                      <a:avLst/>
                    </a:prstGeom>
                  </pic:spPr>
                </pic:pic>
              </a:graphicData>
            </a:graphic>
          </wp:inline>
        </w:drawing>
      </w:r>
      <w:r>
        <w:rPr>
          <w:rFonts w:hint="default"/>
          <w:b/>
          <w:bCs/>
          <w:lang w:val="en-US" w:eastAsia="zh-CN"/>
        </w:rPr>
        <w:drawing>
          <wp:inline distT="0" distB="0" distL="114300" distR="114300">
            <wp:extent cx="5269230" cy="7498715"/>
            <wp:effectExtent l="0" t="0" r="7620" b="6985"/>
            <wp:docPr id="86" name="图片 8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8"/>
                    <pic:cNvPicPr>
                      <a:picLocks noChangeAspect="1"/>
                    </pic:cNvPicPr>
                  </pic:nvPicPr>
                  <pic:blipFill>
                    <a:blip r:embed="rId170"/>
                    <a:stretch>
                      <a:fillRect/>
                    </a:stretch>
                  </pic:blipFill>
                  <pic:spPr>
                    <a:xfrm>
                      <a:off x="0" y="0"/>
                      <a:ext cx="5269230" cy="7498715"/>
                    </a:xfrm>
                    <a:prstGeom prst="rect">
                      <a:avLst/>
                    </a:prstGeom>
                  </pic:spPr>
                </pic:pic>
              </a:graphicData>
            </a:graphic>
          </wp:inline>
        </w:drawing>
      </w:r>
    </w:p>
    <w:p w14:paraId="09DFC39B">
      <w:pPr>
        <w:jc w:val="both"/>
        <w:rPr>
          <w:bCs/>
          <w:color w:val="auto"/>
          <w:szCs w:val="21"/>
          <w:highlight w:val="none"/>
        </w:rPr>
      </w:pPr>
    </w:p>
    <w:p w14:paraId="77B10177">
      <w:pPr>
        <w:jc w:val="both"/>
        <w:rPr>
          <w:bCs/>
          <w:color w:val="auto"/>
          <w:szCs w:val="21"/>
          <w:highlight w:val="none"/>
        </w:rPr>
      </w:pPr>
    </w:p>
    <w:p w14:paraId="0BD04C5A">
      <w:pPr>
        <w:jc w:val="both"/>
        <w:rPr>
          <w:bCs/>
          <w:color w:val="auto"/>
          <w:szCs w:val="21"/>
          <w:highlight w:val="none"/>
        </w:rPr>
      </w:pPr>
    </w:p>
    <w:p w14:paraId="5968CF6C">
      <w:pPr>
        <w:jc w:val="both"/>
        <w:rPr>
          <w:bCs/>
          <w:color w:val="auto"/>
          <w:szCs w:val="21"/>
          <w:highlight w:val="none"/>
        </w:rPr>
      </w:pPr>
    </w:p>
    <w:p w14:paraId="431A7AC9">
      <w:pPr>
        <w:jc w:val="both"/>
        <w:rPr>
          <w:bCs/>
          <w:color w:val="auto"/>
          <w:szCs w:val="21"/>
          <w:highlight w:val="none"/>
        </w:rPr>
      </w:pPr>
    </w:p>
    <w:p w14:paraId="297AAD22">
      <w:pPr>
        <w:jc w:val="both"/>
        <w:rPr>
          <w:bCs/>
          <w:color w:val="auto"/>
          <w:szCs w:val="21"/>
          <w:highlight w:val="none"/>
        </w:rPr>
      </w:pPr>
    </w:p>
    <w:p w14:paraId="5F7A6350">
      <w:pPr>
        <w:jc w:val="center"/>
        <w:rPr>
          <w:rFonts w:hint="eastAsia" w:eastAsia="宋体"/>
          <w:bCs/>
          <w:color w:val="auto"/>
          <w:szCs w:val="21"/>
          <w:highlight w:val="none"/>
          <w:lang w:eastAsia="zh-CN"/>
        </w:rPr>
      </w:pPr>
      <w:r>
        <w:rPr>
          <w:rFonts w:hint="eastAsia" w:eastAsia="宋体"/>
          <w:bCs/>
          <w:color w:val="auto"/>
          <w:szCs w:val="21"/>
          <w:highlight w:val="none"/>
          <w:lang w:eastAsia="zh-CN"/>
        </w:rPr>
        <w:drawing>
          <wp:inline distT="0" distB="0" distL="114300" distR="114300">
            <wp:extent cx="5257800" cy="7437755"/>
            <wp:effectExtent l="0" t="0" r="0" b="10795"/>
            <wp:docPr id="99" name="图片 99" descr="万邦零部件专家意见+名单+确认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万邦零部件专家意见+名单+确认单_01"/>
                    <pic:cNvPicPr>
                      <a:picLocks noChangeAspect="1"/>
                    </pic:cNvPicPr>
                  </pic:nvPicPr>
                  <pic:blipFill>
                    <a:blip r:embed="rId171"/>
                    <a:stretch>
                      <a:fillRect/>
                    </a:stretch>
                  </pic:blipFill>
                  <pic:spPr>
                    <a:xfrm>
                      <a:off x="0" y="0"/>
                      <a:ext cx="5257800" cy="7437755"/>
                    </a:xfrm>
                    <a:prstGeom prst="rect">
                      <a:avLst/>
                    </a:prstGeom>
                  </pic:spPr>
                </pic:pic>
              </a:graphicData>
            </a:graphic>
          </wp:inline>
        </w:drawing>
      </w:r>
      <w:r>
        <w:rPr>
          <w:rFonts w:hint="eastAsia" w:eastAsia="宋体"/>
          <w:bCs/>
          <w:color w:val="auto"/>
          <w:szCs w:val="21"/>
          <w:highlight w:val="none"/>
          <w:lang w:eastAsia="zh-CN"/>
        </w:rPr>
        <w:drawing>
          <wp:inline distT="0" distB="0" distL="114300" distR="114300">
            <wp:extent cx="5257800" cy="7437755"/>
            <wp:effectExtent l="0" t="0" r="0" b="10795"/>
            <wp:docPr id="97" name="图片 97" descr="万邦零部件专家意见+名单+确认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万邦零部件专家意见+名单+确认单_02"/>
                    <pic:cNvPicPr>
                      <a:picLocks noChangeAspect="1"/>
                    </pic:cNvPicPr>
                  </pic:nvPicPr>
                  <pic:blipFill>
                    <a:blip r:embed="rId172"/>
                    <a:stretch>
                      <a:fillRect/>
                    </a:stretch>
                  </pic:blipFill>
                  <pic:spPr>
                    <a:xfrm>
                      <a:off x="0" y="0"/>
                      <a:ext cx="5257800" cy="7437755"/>
                    </a:xfrm>
                    <a:prstGeom prst="rect">
                      <a:avLst/>
                    </a:prstGeom>
                  </pic:spPr>
                </pic:pic>
              </a:graphicData>
            </a:graphic>
          </wp:inline>
        </w:drawing>
      </w:r>
      <w:r>
        <w:rPr>
          <w:rFonts w:hint="eastAsia" w:eastAsia="宋体"/>
          <w:bCs/>
          <w:color w:val="auto"/>
          <w:szCs w:val="21"/>
          <w:highlight w:val="none"/>
          <w:lang w:eastAsia="zh-CN"/>
        </w:rPr>
        <w:drawing>
          <wp:inline distT="0" distB="0" distL="114300" distR="114300">
            <wp:extent cx="5257800" cy="7437755"/>
            <wp:effectExtent l="0" t="0" r="0" b="10795"/>
            <wp:docPr id="87" name="图片 87" descr="万邦零部件专家意见+名单+确认单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万邦零部件专家意见+名单+确认单_03"/>
                    <pic:cNvPicPr>
                      <a:picLocks noChangeAspect="1"/>
                    </pic:cNvPicPr>
                  </pic:nvPicPr>
                  <pic:blipFill>
                    <a:blip r:embed="rId173"/>
                    <a:stretch>
                      <a:fillRect/>
                    </a:stretch>
                  </pic:blipFill>
                  <pic:spPr>
                    <a:xfrm>
                      <a:off x="0" y="0"/>
                      <a:ext cx="5257800" cy="7437755"/>
                    </a:xfrm>
                    <a:prstGeom prst="rect">
                      <a:avLst/>
                    </a:prstGeom>
                  </pic:spPr>
                </pic:pic>
              </a:graphicData>
            </a:graphic>
          </wp:inline>
        </w:drawing>
      </w:r>
      <w:r>
        <w:rPr>
          <w:rFonts w:hint="eastAsia" w:eastAsia="宋体"/>
          <w:bCs/>
          <w:color w:val="auto"/>
          <w:szCs w:val="21"/>
          <w:highlight w:val="none"/>
          <w:lang w:eastAsia="zh-CN"/>
        </w:rPr>
        <w:drawing>
          <wp:inline distT="0" distB="0" distL="114300" distR="114300">
            <wp:extent cx="5257800" cy="7437755"/>
            <wp:effectExtent l="0" t="0" r="0" b="10795"/>
            <wp:docPr id="21" name="图片 21" descr="万邦零部件专家意见+名单+确认单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万邦零部件专家意见+名单+确认单_04"/>
                    <pic:cNvPicPr>
                      <a:picLocks noChangeAspect="1"/>
                    </pic:cNvPicPr>
                  </pic:nvPicPr>
                  <pic:blipFill>
                    <a:blip r:embed="rId174"/>
                    <a:stretch>
                      <a:fillRect/>
                    </a:stretch>
                  </pic:blipFill>
                  <pic:spPr>
                    <a:xfrm>
                      <a:off x="0" y="0"/>
                      <a:ext cx="5257800" cy="7437755"/>
                    </a:xfrm>
                    <a:prstGeom prst="rect">
                      <a:avLst/>
                    </a:prstGeom>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34"/>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A518F371-45BB-407B-9935-FCD2B6A2056B}"/>
  </w:font>
  <w:font w:name="黑体">
    <w:panose1 w:val="02010609060101010101"/>
    <w:charset w:val="86"/>
    <w:family w:val="auto"/>
    <w:pitch w:val="default"/>
    <w:sig w:usb0="800002BF" w:usb1="38CF7CFA" w:usb2="00000016" w:usb3="00000000" w:csb0="00040001" w:csb1="00000000"/>
    <w:embedRegular r:id="rId2" w:fontKey="{030EE97A-E569-44B2-BB27-1DC25AF9C873}"/>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embedRegular r:id="rId3" w:fontKey="{4F2079DA-80C2-4D58-BEBB-EE94B1902F9A}"/>
  </w:font>
  <w:font w:name="Calibri Light">
    <w:altName w:val="Calibri"/>
    <w:panose1 w:val="020F0302020204030204"/>
    <w:charset w:val="00"/>
    <w:family w:val="swiss"/>
    <w:pitch w:val="default"/>
    <w:sig w:usb0="00000000" w:usb1="00000000" w:usb2="00000009" w:usb3="00000000" w:csb0="200001FF" w:csb1="00000000"/>
  </w:font>
  <w:font w:name="仿宋_GB2312">
    <w:panose1 w:val="02010609030101010101"/>
    <w:charset w:val="86"/>
    <w:family w:val="modern"/>
    <w:pitch w:val="default"/>
    <w:sig w:usb0="00000001" w:usb1="080E0000" w:usb2="00000000" w:usb3="00000000" w:csb0="00040000" w:csb1="00000000"/>
    <w:embedRegular r:id="rId4" w:fontKey="{6FF4B004-CBC1-40E9-A691-03A92712041C}"/>
  </w:font>
  <w:font w:name="楷体_GB2312">
    <w:panose1 w:val="02010609030101010101"/>
    <w:charset w:val="86"/>
    <w:family w:val="modern"/>
    <w:pitch w:val="default"/>
    <w:sig w:usb0="00000001" w:usb1="080E0000" w:usb2="00000000" w:usb3="00000000" w:csb0="00040000" w:csb1="00000000"/>
    <w:embedRegular r:id="rId5" w:fontKey="{4D701268-0C30-40A3-9B3D-6B1DFBCFFE4A}"/>
  </w:font>
  <w:font w:name="方正小标宋_GBK">
    <w:panose1 w:val="03000509000000000000"/>
    <w:charset w:val="86"/>
    <w:family w:val="script"/>
    <w:pitch w:val="default"/>
    <w:sig w:usb0="00000001" w:usb1="080E0000" w:usb2="00000000" w:usb3="00000000" w:csb0="00040000" w:csb1="00000000"/>
    <w:embedRegular r:id="rId6" w:fontKey="{420532EE-B394-4523-AAD2-5E0DEB408D06}"/>
  </w:font>
  <w:font w:name="华文仿宋">
    <w:panose1 w:val="02010600040101010101"/>
    <w:charset w:val="86"/>
    <w:family w:val="auto"/>
    <w:pitch w:val="default"/>
    <w:sig w:usb0="00000287" w:usb1="080F0000" w:usb2="00000000" w:usb3="00000000" w:csb0="0004009F" w:csb1="DFD70000"/>
    <w:embedRegular r:id="rId7" w:fontKey="{0B97D09D-BE62-4D21-9D1B-CE7FBE238216}"/>
  </w:font>
  <w:font w:name="仿宋">
    <w:panose1 w:val="02010609060101010101"/>
    <w:charset w:val="86"/>
    <w:family w:val="modern"/>
    <w:pitch w:val="default"/>
    <w:sig w:usb0="800002BF" w:usb1="38CF7CFA" w:usb2="00000016" w:usb3="00000000" w:csb0="00040001" w:csb1="00000000"/>
    <w:embedRegular r:id="rId8" w:fontKey="{C81614E8-5A24-4FC3-976D-C53594758E63}"/>
  </w:font>
  <w:font w:name="方正小标宋">
    <w:altName w:val="宋体"/>
    <w:panose1 w:val="00000000000000000000"/>
    <w:charset w:val="86"/>
    <w:family w:val="roman"/>
    <w:pitch w:val="default"/>
    <w:sig w:usb0="00000000" w:usb1="00000000" w:usb2="00000000" w:usb3="00000000" w:csb0="00040001" w:csb1="00000000"/>
    <w:embedRegular r:id="rId9" w:fontKey="{EE6532E0-28FF-4DF7-ADA7-85BD330B3D5B}"/>
  </w:font>
  <w:font w:name="华文中宋">
    <w:panose1 w:val="02010600040101010101"/>
    <w:charset w:val="86"/>
    <w:family w:val="auto"/>
    <w:pitch w:val="default"/>
    <w:sig w:usb0="00000287" w:usb1="080F0000" w:usb2="00000000" w:usb3="00000000" w:csb0="0004009F" w:csb1="DFD70000"/>
    <w:embedRegular r:id="rId10" w:fontKey="{CB1513FF-2BDE-4CCA-A923-FDC96B816BF3}"/>
  </w:font>
  <w:font w:name="Wingdings 2">
    <w:panose1 w:val="05020102010507070707"/>
    <w:charset w:val="02"/>
    <w:family w:val="roman"/>
    <w:pitch w:val="default"/>
    <w:sig w:usb0="00000000" w:usb1="00000000" w:usb2="00000000" w:usb3="00000000" w:csb0="80000000" w:csb1="00000000"/>
    <w:embedRegular r:id="rId11" w:fontKey="{1D0AC421-968D-466F-9CC3-49909F2BF936}"/>
  </w:font>
  <w:font w:name="WPSEMBED1">
    <w:panose1 w:val="050201020105070707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84459C">
    <w:pPr>
      <w:pStyle w:val="22"/>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AAF668">
    <w:pPr>
      <w:pStyle w:val="22"/>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7373A3">
    <w:pPr>
      <w:pStyle w:val="22"/>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B3669E">
    <w:pPr>
      <w:pStyle w:val="22"/>
      <w:framePr w:wrap="around" w:vAnchor="text" w:hAnchor="margin" w:xAlign="outside" w:y="1"/>
      <w:rPr>
        <w:rStyle w:val="39"/>
        <w:rFonts w:ascii="宋体" w:hAnsi="宋体"/>
        <w:sz w:val="28"/>
        <w:szCs w:val="28"/>
      </w:rPr>
    </w:pPr>
    <w:r>
      <w:rPr>
        <w:rStyle w:val="39"/>
        <w:rFonts w:hint="eastAsia" w:ascii="宋体" w:hAnsi="宋体"/>
        <w:sz w:val="28"/>
        <w:szCs w:val="28"/>
      </w:rPr>
      <w:t>—</w:t>
    </w:r>
    <w:r>
      <w:rPr>
        <w:rStyle w:val="39"/>
        <w:rFonts w:hint="eastAsia" w:ascii="宋体" w:hAnsi="宋体"/>
        <w:sz w:val="20"/>
      </w:rPr>
      <w:t xml:space="preserve">  </w:t>
    </w:r>
    <w:r>
      <w:rPr>
        <w:rFonts w:ascii="宋体" w:hAnsi="宋体"/>
        <w:sz w:val="26"/>
        <w:szCs w:val="26"/>
      </w:rPr>
      <w:fldChar w:fldCharType="begin"/>
    </w:r>
    <w:r>
      <w:rPr>
        <w:rStyle w:val="39"/>
        <w:rFonts w:ascii="宋体" w:hAnsi="宋体"/>
        <w:sz w:val="26"/>
        <w:szCs w:val="26"/>
      </w:rPr>
      <w:instrText xml:space="preserve">PAGE  </w:instrText>
    </w:r>
    <w:r>
      <w:rPr>
        <w:rFonts w:ascii="宋体" w:hAnsi="宋体"/>
        <w:sz w:val="26"/>
        <w:szCs w:val="26"/>
      </w:rPr>
      <w:fldChar w:fldCharType="separate"/>
    </w:r>
    <w:r>
      <w:rPr>
        <w:rStyle w:val="39"/>
        <w:rFonts w:ascii="宋体" w:hAnsi="宋体"/>
        <w:sz w:val="26"/>
        <w:szCs w:val="26"/>
      </w:rPr>
      <w:t>17</w:t>
    </w:r>
    <w:r>
      <w:rPr>
        <w:rFonts w:ascii="宋体" w:hAnsi="宋体"/>
        <w:sz w:val="26"/>
        <w:szCs w:val="26"/>
      </w:rPr>
      <w:fldChar w:fldCharType="end"/>
    </w:r>
    <w:r>
      <w:rPr>
        <w:rStyle w:val="39"/>
        <w:rFonts w:hint="eastAsia" w:ascii="宋体" w:hAnsi="宋体"/>
        <w:sz w:val="20"/>
      </w:rPr>
      <w:t xml:space="preserve">  </w:t>
    </w:r>
    <w:r>
      <w:rPr>
        <w:rStyle w:val="39"/>
        <w:rFonts w:hint="eastAsia" w:ascii="宋体" w:hAnsi="宋体"/>
        <w:sz w:val="28"/>
        <w:szCs w:val="28"/>
      </w:rPr>
      <w:t>—</w:t>
    </w:r>
  </w:p>
  <w:p w14:paraId="6674C7E3">
    <w:pPr>
      <w:pStyle w:val="22"/>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48E0F8">
    <w:pPr>
      <w:pStyle w:val="22"/>
      <w:framePr w:wrap="around" w:vAnchor="text" w:hAnchor="margin" w:xAlign="outside" w:y="1"/>
      <w:rPr>
        <w:rStyle w:val="39"/>
        <w:rFonts w:ascii="宋体" w:hAnsi="宋体"/>
        <w:sz w:val="28"/>
        <w:szCs w:val="28"/>
      </w:rPr>
    </w:pPr>
    <w:r>
      <w:rPr>
        <w:rStyle w:val="39"/>
        <w:rFonts w:hint="eastAsia" w:ascii="宋体" w:hAnsi="宋体"/>
        <w:sz w:val="28"/>
        <w:szCs w:val="28"/>
      </w:rPr>
      <w:t>—</w:t>
    </w:r>
    <w:r>
      <w:rPr>
        <w:rStyle w:val="39"/>
        <w:rFonts w:hint="eastAsia" w:ascii="宋体" w:hAnsi="宋体"/>
        <w:sz w:val="20"/>
      </w:rPr>
      <w:t xml:space="preserve">  </w:t>
    </w:r>
    <w:r>
      <w:rPr>
        <w:rFonts w:ascii="宋体" w:hAnsi="宋体"/>
        <w:sz w:val="26"/>
        <w:szCs w:val="26"/>
      </w:rPr>
      <w:fldChar w:fldCharType="begin"/>
    </w:r>
    <w:r>
      <w:rPr>
        <w:rStyle w:val="39"/>
        <w:rFonts w:ascii="宋体" w:hAnsi="宋体"/>
        <w:sz w:val="26"/>
        <w:szCs w:val="26"/>
      </w:rPr>
      <w:instrText xml:space="preserve">PAGE  </w:instrText>
    </w:r>
    <w:r>
      <w:rPr>
        <w:rFonts w:ascii="宋体" w:hAnsi="宋体"/>
        <w:sz w:val="26"/>
        <w:szCs w:val="26"/>
      </w:rPr>
      <w:fldChar w:fldCharType="separate"/>
    </w:r>
    <w:r>
      <w:rPr>
        <w:rStyle w:val="39"/>
        <w:rFonts w:ascii="宋体" w:hAnsi="宋体"/>
        <w:sz w:val="26"/>
        <w:szCs w:val="26"/>
      </w:rPr>
      <w:t>17</w:t>
    </w:r>
    <w:r>
      <w:rPr>
        <w:rFonts w:ascii="宋体" w:hAnsi="宋体"/>
        <w:sz w:val="26"/>
        <w:szCs w:val="26"/>
      </w:rPr>
      <w:fldChar w:fldCharType="end"/>
    </w:r>
    <w:r>
      <w:rPr>
        <w:rStyle w:val="39"/>
        <w:rFonts w:hint="eastAsia" w:ascii="宋体" w:hAnsi="宋体"/>
        <w:sz w:val="20"/>
      </w:rPr>
      <w:t xml:space="preserve">  </w:t>
    </w:r>
    <w:r>
      <w:rPr>
        <w:rStyle w:val="39"/>
        <w:rFonts w:hint="eastAsia" w:ascii="宋体" w:hAnsi="宋体"/>
        <w:sz w:val="28"/>
        <w:szCs w:val="28"/>
      </w:rPr>
      <w:t>—</w:t>
    </w:r>
  </w:p>
  <w:p w14:paraId="60F3C7EA">
    <w:pPr>
      <w:pStyle w:val="22"/>
      <w:ind w:right="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BA0304">
    <w:pPr>
      <w:pStyle w:val="2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580B707"/>
    <w:multiLevelType w:val="singleLevel"/>
    <w:tmpl w:val="D580B707"/>
    <w:lvl w:ilvl="0" w:tentative="0">
      <w:start w:val="2"/>
      <w:numFmt w:val="chineseCounting"/>
      <w:suff w:val="nothing"/>
      <w:lvlText w:val="%1、"/>
      <w:lvlJc w:val="left"/>
      <w:rPr>
        <w:rFonts w:hint="eastAsia"/>
      </w:rPr>
    </w:lvl>
  </w:abstractNum>
  <w:abstractNum w:abstractNumId="1">
    <w:nsid w:val="1C655710"/>
    <w:multiLevelType w:val="singleLevel"/>
    <w:tmpl w:val="1C655710"/>
    <w:lvl w:ilvl="0" w:tentative="0">
      <w:start w:val="1"/>
      <w:numFmt w:val="decimal"/>
      <w:suff w:val="nothing"/>
      <w:lvlText w:val="%1、"/>
      <w:lvlJc w:val="left"/>
    </w:lvl>
  </w:abstractNum>
  <w:abstractNum w:abstractNumId="2">
    <w:nsid w:val="260DD062"/>
    <w:multiLevelType w:val="singleLevel"/>
    <w:tmpl w:val="260DD062"/>
    <w:lvl w:ilvl="0" w:tentative="0">
      <w:start w:val="1"/>
      <w:numFmt w:val="decimal"/>
      <w:suff w:val="nothing"/>
      <w:lvlText w:val="%1、"/>
      <w:lvlJc w:val="left"/>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Q3YTA0YmRmYzZmNmQwZTNhNTVhOTRlMmVmYzZmNTIifQ=="/>
  </w:docVars>
  <w:rsids>
    <w:rsidRoot w:val="00172A27"/>
    <w:rsid w:val="000060B3"/>
    <w:rsid w:val="0004364B"/>
    <w:rsid w:val="00052A18"/>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31077"/>
    <w:rsid w:val="00131F42"/>
    <w:rsid w:val="001357F1"/>
    <w:rsid w:val="00140FA8"/>
    <w:rsid w:val="00142FEB"/>
    <w:rsid w:val="00143A2D"/>
    <w:rsid w:val="00145A41"/>
    <w:rsid w:val="00151675"/>
    <w:rsid w:val="00157435"/>
    <w:rsid w:val="00172A27"/>
    <w:rsid w:val="0017504D"/>
    <w:rsid w:val="0017671A"/>
    <w:rsid w:val="00177422"/>
    <w:rsid w:val="00184590"/>
    <w:rsid w:val="0018697D"/>
    <w:rsid w:val="001870D1"/>
    <w:rsid w:val="0018781E"/>
    <w:rsid w:val="0019262D"/>
    <w:rsid w:val="001A1B35"/>
    <w:rsid w:val="001A48A2"/>
    <w:rsid w:val="001A6EB9"/>
    <w:rsid w:val="001A6F61"/>
    <w:rsid w:val="001B72B8"/>
    <w:rsid w:val="001C69B3"/>
    <w:rsid w:val="001D5595"/>
    <w:rsid w:val="001D6376"/>
    <w:rsid w:val="001D7874"/>
    <w:rsid w:val="001D7F22"/>
    <w:rsid w:val="001F09D9"/>
    <w:rsid w:val="001F0F17"/>
    <w:rsid w:val="001F3347"/>
    <w:rsid w:val="001F69E4"/>
    <w:rsid w:val="0020709F"/>
    <w:rsid w:val="00207852"/>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92BAB"/>
    <w:rsid w:val="00296707"/>
    <w:rsid w:val="002A168C"/>
    <w:rsid w:val="002A3DC7"/>
    <w:rsid w:val="002B49E2"/>
    <w:rsid w:val="002B7B00"/>
    <w:rsid w:val="002B7C44"/>
    <w:rsid w:val="002C2B17"/>
    <w:rsid w:val="002D3DD0"/>
    <w:rsid w:val="002E1F3A"/>
    <w:rsid w:val="002E298A"/>
    <w:rsid w:val="00301978"/>
    <w:rsid w:val="0030332C"/>
    <w:rsid w:val="003051C2"/>
    <w:rsid w:val="00311A5F"/>
    <w:rsid w:val="00312296"/>
    <w:rsid w:val="00314DFB"/>
    <w:rsid w:val="00314F0E"/>
    <w:rsid w:val="00321D8E"/>
    <w:rsid w:val="00323899"/>
    <w:rsid w:val="00325928"/>
    <w:rsid w:val="00327CB1"/>
    <w:rsid w:val="00332863"/>
    <w:rsid w:val="0033684D"/>
    <w:rsid w:val="00337B42"/>
    <w:rsid w:val="00341B42"/>
    <w:rsid w:val="0034348F"/>
    <w:rsid w:val="00356653"/>
    <w:rsid w:val="0035743F"/>
    <w:rsid w:val="00357BE2"/>
    <w:rsid w:val="0036170C"/>
    <w:rsid w:val="00366E0F"/>
    <w:rsid w:val="00371287"/>
    <w:rsid w:val="00381A72"/>
    <w:rsid w:val="00384676"/>
    <w:rsid w:val="00390857"/>
    <w:rsid w:val="003A4BF3"/>
    <w:rsid w:val="003B420D"/>
    <w:rsid w:val="003C6C16"/>
    <w:rsid w:val="003D794D"/>
    <w:rsid w:val="003E3058"/>
    <w:rsid w:val="003E39CC"/>
    <w:rsid w:val="003E76A9"/>
    <w:rsid w:val="003F0809"/>
    <w:rsid w:val="003F6A8C"/>
    <w:rsid w:val="003F755C"/>
    <w:rsid w:val="00406F01"/>
    <w:rsid w:val="00416D50"/>
    <w:rsid w:val="00416FD5"/>
    <w:rsid w:val="00417772"/>
    <w:rsid w:val="00420E6A"/>
    <w:rsid w:val="00423C6D"/>
    <w:rsid w:val="00425A9E"/>
    <w:rsid w:val="00426D6B"/>
    <w:rsid w:val="00431E6C"/>
    <w:rsid w:val="00433CE7"/>
    <w:rsid w:val="00452738"/>
    <w:rsid w:val="00456091"/>
    <w:rsid w:val="00466321"/>
    <w:rsid w:val="00484B9B"/>
    <w:rsid w:val="004855F6"/>
    <w:rsid w:val="0048661E"/>
    <w:rsid w:val="00494670"/>
    <w:rsid w:val="004A3823"/>
    <w:rsid w:val="004C7717"/>
    <w:rsid w:val="004E2611"/>
    <w:rsid w:val="004E6946"/>
    <w:rsid w:val="004F1AD8"/>
    <w:rsid w:val="004F77CC"/>
    <w:rsid w:val="005039CB"/>
    <w:rsid w:val="0050558F"/>
    <w:rsid w:val="00506286"/>
    <w:rsid w:val="00510813"/>
    <w:rsid w:val="00511990"/>
    <w:rsid w:val="00511DE0"/>
    <w:rsid w:val="005127D5"/>
    <w:rsid w:val="00514870"/>
    <w:rsid w:val="00514B9B"/>
    <w:rsid w:val="00517F02"/>
    <w:rsid w:val="00524303"/>
    <w:rsid w:val="005258A2"/>
    <w:rsid w:val="005401AE"/>
    <w:rsid w:val="00542E07"/>
    <w:rsid w:val="0054508A"/>
    <w:rsid w:val="00545424"/>
    <w:rsid w:val="0055182B"/>
    <w:rsid w:val="00554A7B"/>
    <w:rsid w:val="0055572C"/>
    <w:rsid w:val="0056106A"/>
    <w:rsid w:val="00564C73"/>
    <w:rsid w:val="005720AE"/>
    <w:rsid w:val="00594D77"/>
    <w:rsid w:val="005969E4"/>
    <w:rsid w:val="005A06B7"/>
    <w:rsid w:val="005A1759"/>
    <w:rsid w:val="005A68A7"/>
    <w:rsid w:val="005D36AB"/>
    <w:rsid w:val="00610F01"/>
    <w:rsid w:val="00617CC3"/>
    <w:rsid w:val="00621C19"/>
    <w:rsid w:val="006377A6"/>
    <w:rsid w:val="00637A3D"/>
    <w:rsid w:val="00640428"/>
    <w:rsid w:val="006411EF"/>
    <w:rsid w:val="006703F2"/>
    <w:rsid w:val="006748B8"/>
    <w:rsid w:val="006775C3"/>
    <w:rsid w:val="00684412"/>
    <w:rsid w:val="006918CD"/>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382E"/>
    <w:rsid w:val="007940EA"/>
    <w:rsid w:val="007967E8"/>
    <w:rsid w:val="00797934"/>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65D70"/>
    <w:rsid w:val="0087135F"/>
    <w:rsid w:val="00872D94"/>
    <w:rsid w:val="00880364"/>
    <w:rsid w:val="00891592"/>
    <w:rsid w:val="00891E9E"/>
    <w:rsid w:val="008A2F68"/>
    <w:rsid w:val="008B4FA6"/>
    <w:rsid w:val="008B5282"/>
    <w:rsid w:val="008B7C17"/>
    <w:rsid w:val="008C2D01"/>
    <w:rsid w:val="008C40E6"/>
    <w:rsid w:val="008C7C28"/>
    <w:rsid w:val="008D0F7A"/>
    <w:rsid w:val="008D68E4"/>
    <w:rsid w:val="008E0506"/>
    <w:rsid w:val="008E0CFF"/>
    <w:rsid w:val="008E424A"/>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3B3"/>
    <w:rsid w:val="009A1BB4"/>
    <w:rsid w:val="009A2628"/>
    <w:rsid w:val="009A3200"/>
    <w:rsid w:val="009B0897"/>
    <w:rsid w:val="009B7BD9"/>
    <w:rsid w:val="009C7DD5"/>
    <w:rsid w:val="009D18E6"/>
    <w:rsid w:val="009E227D"/>
    <w:rsid w:val="009E5019"/>
    <w:rsid w:val="009F4C1B"/>
    <w:rsid w:val="00A04F1B"/>
    <w:rsid w:val="00A0501B"/>
    <w:rsid w:val="00A14947"/>
    <w:rsid w:val="00A163A1"/>
    <w:rsid w:val="00A3295D"/>
    <w:rsid w:val="00A32A83"/>
    <w:rsid w:val="00A368DB"/>
    <w:rsid w:val="00A423AA"/>
    <w:rsid w:val="00A53EC6"/>
    <w:rsid w:val="00A55C0F"/>
    <w:rsid w:val="00A71994"/>
    <w:rsid w:val="00A75E85"/>
    <w:rsid w:val="00A824E5"/>
    <w:rsid w:val="00A8713F"/>
    <w:rsid w:val="00A90BA1"/>
    <w:rsid w:val="00A97A9A"/>
    <w:rsid w:val="00AA0671"/>
    <w:rsid w:val="00AA2531"/>
    <w:rsid w:val="00AA4813"/>
    <w:rsid w:val="00AB1E09"/>
    <w:rsid w:val="00AB5330"/>
    <w:rsid w:val="00AB7747"/>
    <w:rsid w:val="00AC14CE"/>
    <w:rsid w:val="00AC2A56"/>
    <w:rsid w:val="00AD055E"/>
    <w:rsid w:val="00AD47A7"/>
    <w:rsid w:val="00AD558A"/>
    <w:rsid w:val="00AF0CBF"/>
    <w:rsid w:val="00AF257F"/>
    <w:rsid w:val="00AF33CF"/>
    <w:rsid w:val="00AF4D50"/>
    <w:rsid w:val="00AF54E8"/>
    <w:rsid w:val="00AF6179"/>
    <w:rsid w:val="00B02113"/>
    <w:rsid w:val="00B1295A"/>
    <w:rsid w:val="00B20A45"/>
    <w:rsid w:val="00B22C5C"/>
    <w:rsid w:val="00B24F30"/>
    <w:rsid w:val="00B31ABF"/>
    <w:rsid w:val="00B33BE3"/>
    <w:rsid w:val="00B53B5D"/>
    <w:rsid w:val="00B541D2"/>
    <w:rsid w:val="00B6055E"/>
    <w:rsid w:val="00B6313B"/>
    <w:rsid w:val="00B6317D"/>
    <w:rsid w:val="00B7723F"/>
    <w:rsid w:val="00B80534"/>
    <w:rsid w:val="00B8433C"/>
    <w:rsid w:val="00B87491"/>
    <w:rsid w:val="00BA29E9"/>
    <w:rsid w:val="00BA7142"/>
    <w:rsid w:val="00BB237C"/>
    <w:rsid w:val="00BB306A"/>
    <w:rsid w:val="00BB41A3"/>
    <w:rsid w:val="00BC32DC"/>
    <w:rsid w:val="00BC35B6"/>
    <w:rsid w:val="00BD1B51"/>
    <w:rsid w:val="00BD4596"/>
    <w:rsid w:val="00BD7861"/>
    <w:rsid w:val="00BE1405"/>
    <w:rsid w:val="00BE312D"/>
    <w:rsid w:val="00BF1C20"/>
    <w:rsid w:val="00C10578"/>
    <w:rsid w:val="00C1153A"/>
    <w:rsid w:val="00C135BC"/>
    <w:rsid w:val="00C14B91"/>
    <w:rsid w:val="00C15C95"/>
    <w:rsid w:val="00C2596A"/>
    <w:rsid w:val="00C27537"/>
    <w:rsid w:val="00C328FE"/>
    <w:rsid w:val="00C33507"/>
    <w:rsid w:val="00C36B5B"/>
    <w:rsid w:val="00C4409D"/>
    <w:rsid w:val="00C44E72"/>
    <w:rsid w:val="00C45A06"/>
    <w:rsid w:val="00C47E5B"/>
    <w:rsid w:val="00C61E4B"/>
    <w:rsid w:val="00C640CC"/>
    <w:rsid w:val="00C64BFF"/>
    <w:rsid w:val="00C704E9"/>
    <w:rsid w:val="00C763C9"/>
    <w:rsid w:val="00C80057"/>
    <w:rsid w:val="00C82232"/>
    <w:rsid w:val="00C82913"/>
    <w:rsid w:val="00C972B1"/>
    <w:rsid w:val="00CA2CCE"/>
    <w:rsid w:val="00CA43FD"/>
    <w:rsid w:val="00CA7EF8"/>
    <w:rsid w:val="00CC489B"/>
    <w:rsid w:val="00CD2BCD"/>
    <w:rsid w:val="00CD3A4C"/>
    <w:rsid w:val="00CD4407"/>
    <w:rsid w:val="00CE10E9"/>
    <w:rsid w:val="00CE2910"/>
    <w:rsid w:val="00CE5393"/>
    <w:rsid w:val="00CF36BE"/>
    <w:rsid w:val="00CF6000"/>
    <w:rsid w:val="00D003F3"/>
    <w:rsid w:val="00D0364F"/>
    <w:rsid w:val="00D06834"/>
    <w:rsid w:val="00D308ED"/>
    <w:rsid w:val="00D36D86"/>
    <w:rsid w:val="00D428AA"/>
    <w:rsid w:val="00D50A34"/>
    <w:rsid w:val="00D53EFA"/>
    <w:rsid w:val="00D91BB8"/>
    <w:rsid w:val="00D94A7C"/>
    <w:rsid w:val="00D95896"/>
    <w:rsid w:val="00DB2983"/>
    <w:rsid w:val="00DC1257"/>
    <w:rsid w:val="00DC3DC0"/>
    <w:rsid w:val="00DC5B2B"/>
    <w:rsid w:val="00DD2AFD"/>
    <w:rsid w:val="00DD318D"/>
    <w:rsid w:val="00DE041C"/>
    <w:rsid w:val="00DF2E12"/>
    <w:rsid w:val="00DF4AB4"/>
    <w:rsid w:val="00DF514A"/>
    <w:rsid w:val="00DF6690"/>
    <w:rsid w:val="00DF6804"/>
    <w:rsid w:val="00E0358D"/>
    <w:rsid w:val="00E04323"/>
    <w:rsid w:val="00E070A2"/>
    <w:rsid w:val="00E0756A"/>
    <w:rsid w:val="00E2656A"/>
    <w:rsid w:val="00E412D0"/>
    <w:rsid w:val="00E519F5"/>
    <w:rsid w:val="00E56322"/>
    <w:rsid w:val="00E60982"/>
    <w:rsid w:val="00E62C62"/>
    <w:rsid w:val="00E654C1"/>
    <w:rsid w:val="00E65D97"/>
    <w:rsid w:val="00E72A5A"/>
    <w:rsid w:val="00E73354"/>
    <w:rsid w:val="00E8322A"/>
    <w:rsid w:val="00E86D3B"/>
    <w:rsid w:val="00E9242D"/>
    <w:rsid w:val="00EA4386"/>
    <w:rsid w:val="00EB5255"/>
    <w:rsid w:val="00EB5C47"/>
    <w:rsid w:val="00ED0639"/>
    <w:rsid w:val="00EE78C8"/>
    <w:rsid w:val="00EF4755"/>
    <w:rsid w:val="00EF7135"/>
    <w:rsid w:val="00F027DB"/>
    <w:rsid w:val="00F0580A"/>
    <w:rsid w:val="00F14A7A"/>
    <w:rsid w:val="00F22985"/>
    <w:rsid w:val="00F229F0"/>
    <w:rsid w:val="00F3383E"/>
    <w:rsid w:val="00F33AD6"/>
    <w:rsid w:val="00F465A7"/>
    <w:rsid w:val="00F50B7C"/>
    <w:rsid w:val="00F550E6"/>
    <w:rsid w:val="00F5574E"/>
    <w:rsid w:val="00F74345"/>
    <w:rsid w:val="00F76805"/>
    <w:rsid w:val="00F80A0A"/>
    <w:rsid w:val="00F82B19"/>
    <w:rsid w:val="00F85097"/>
    <w:rsid w:val="00F9212D"/>
    <w:rsid w:val="00F965DA"/>
    <w:rsid w:val="00FA3D57"/>
    <w:rsid w:val="00FA406A"/>
    <w:rsid w:val="00FB503A"/>
    <w:rsid w:val="00FB516C"/>
    <w:rsid w:val="00FD0236"/>
    <w:rsid w:val="00FD18F4"/>
    <w:rsid w:val="00FD54DB"/>
    <w:rsid w:val="00FD619F"/>
    <w:rsid w:val="00FF1460"/>
    <w:rsid w:val="0110079C"/>
    <w:rsid w:val="0122648C"/>
    <w:rsid w:val="01253372"/>
    <w:rsid w:val="01290F7E"/>
    <w:rsid w:val="01374E54"/>
    <w:rsid w:val="013E1311"/>
    <w:rsid w:val="01485097"/>
    <w:rsid w:val="015D1E09"/>
    <w:rsid w:val="0166143D"/>
    <w:rsid w:val="016C6BFF"/>
    <w:rsid w:val="017B5688"/>
    <w:rsid w:val="01833C12"/>
    <w:rsid w:val="018779D5"/>
    <w:rsid w:val="01883901"/>
    <w:rsid w:val="018A0D81"/>
    <w:rsid w:val="018F5175"/>
    <w:rsid w:val="01911287"/>
    <w:rsid w:val="019F5CAD"/>
    <w:rsid w:val="01A7055A"/>
    <w:rsid w:val="01A71FD9"/>
    <w:rsid w:val="01A73D87"/>
    <w:rsid w:val="01A80266"/>
    <w:rsid w:val="01B42E29"/>
    <w:rsid w:val="01D14504"/>
    <w:rsid w:val="01D628BE"/>
    <w:rsid w:val="01DE208E"/>
    <w:rsid w:val="01E0693A"/>
    <w:rsid w:val="01EC2469"/>
    <w:rsid w:val="01F67790"/>
    <w:rsid w:val="01F96243"/>
    <w:rsid w:val="02014B81"/>
    <w:rsid w:val="020405FB"/>
    <w:rsid w:val="02244839"/>
    <w:rsid w:val="023E2807"/>
    <w:rsid w:val="024113B0"/>
    <w:rsid w:val="02607B10"/>
    <w:rsid w:val="02697903"/>
    <w:rsid w:val="027E2984"/>
    <w:rsid w:val="028B18FB"/>
    <w:rsid w:val="028C0517"/>
    <w:rsid w:val="029D4E8D"/>
    <w:rsid w:val="029E56AD"/>
    <w:rsid w:val="02B63ACF"/>
    <w:rsid w:val="02B70639"/>
    <w:rsid w:val="02DF39F5"/>
    <w:rsid w:val="02EB3840"/>
    <w:rsid w:val="02ED42DD"/>
    <w:rsid w:val="02EE4E00"/>
    <w:rsid w:val="02F17201"/>
    <w:rsid w:val="02F54FC6"/>
    <w:rsid w:val="02F96569"/>
    <w:rsid w:val="03114750"/>
    <w:rsid w:val="031E4665"/>
    <w:rsid w:val="031F3DF1"/>
    <w:rsid w:val="03217B69"/>
    <w:rsid w:val="03250C7E"/>
    <w:rsid w:val="03292809"/>
    <w:rsid w:val="032C6FE8"/>
    <w:rsid w:val="033730A2"/>
    <w:rsid w:val="03436570"/>
    <w:rsid w:val="0344546B"/>
    <w:rsid w:val="03451873"/>
    <w:rsid w:val="034653AB"/>
    <w:rsid w:val="034A3E61"/>
    <w:rsid w:val="03500C36"/>
    <w:rsid w:val="035241C7"/>
    <w:rsid w:val="035D3D0B"/>
    <w:rsid w:val="035F0179"/>
    <w:rsid w:val="03631847"/>
    <w:rsid w:val="03665EFA"/>
    <w:rsid w:val="03721E66"/>
    <w:rsid w:val="0373219A"/>
    <w:rsid w:val="03733022"/>
    <w:rsid w:val="037A0F1B"/>
    <w:rsid w:val="038F1B92"/>
    <w:rsid w:val="039849D5"/>
    <w:rsid w:val="039D18E6"/>
    <w:rsid w:val="03A34FB5"/>
    <w:rsid w:val="03AF306F"/>
    <w:rsid w:val="03BE4902"/>
    <w:rsid w:val="03CC6A4B"/>
    <w:rsid w:val="03CE16F6"/>
    <w:rsid w:val="03CF1646"/>
    <w:rsid w:val="03E47515"/>
    <w:rsid w:val="03EA7B21"/>
    <w:rsid w:val="03ED37E2"/>
    <w:rsid w:val="03EE3EEF"/>
    <w:rsid w:val="03EE65A8"/>
    <w:rsid w:val="03F62DA4"/>
    <w:rsid w:val="03F92894"/>
    <w:rsid w:val="04153039"/>
    <w:rsid w:val="04161698"/>
    <w:rsid w:val="041B0A5C"/>
    <w:rsid w:val="042E103D"/>
    <w:rsid w:val="042E69E2"/>
    <w:rsid w:val="044275CA"/>
    <w:rsid w:val="0446278E"/>
    <w:rsid w:val="04463BA7"/>
    <w:rsid w:val="044C2F86"/>
    <w:rsid w:val="04532D85"/>
    <w:rsid w:val="046A643B"/>
    <w:rsid w:val="046B3792"/>
    <w:rsid w:val="04753563"/>
    <w:rsid w:val="047E150D"/>
    <w:rsid w:val="047F7B10"/>
    <w:rsid w:val="048077BF"/>
    <w:rsid w:val="048C1320"/>
    <w:rsid w:val="049A1710"/>
    <w:rsid w:val="04B27D91"/>
    <w:rsid w:val="04BE5FB8"/>
    <w:rsid w:val="04BF3474"/>
    <w:rsid w:val="04C16DE5"/>
    <w:rsid w:val="04C2712A"/>
    <w:rsid w:val="04C540A4"/>
    <w:rsid w:val="04C71819"/>
    <w:rsid w:val="04DC4690"/>
    <w:rsid w:val="04E24126"/>
    <w:rsid w:val="04E56FB9"/>
    <w:rsid w:val="0506761B"/>
    <w:rsid w:val="05083149"/>
    <w:rsid w:val="05152207"/>
    <w:rsid w:val="05172853"/>
    <w:rsid w:val="052B4CCF"/>
    <w:rsid w:val="052E416D"/>
    <w:rsid w:val="053E2C54"/>
    <w:rsid w:val="055E32F7"/>
    <w:rsid w:val="05807827"/>
    <w:rsid w:val="058B39C0"/>
    <w:rsid w:val="058D598A"/>
    <w:rsid w:val="0598566E"/>
    <w:rsid w:val="05AA02EA"/>
    <w:rsid w:val="05C36B5E"/>
    <w:rsid w:val="05DF0374"/>
    <w:rsid w:val="05E139C0"/>
    <w:rsid w:val="05E80E12"/>
    <w:rsid w:val="05E929D4"/>
    <w:rsid w:val="05F81EA8"/>
    <w:rsid w:val="05F83EAE"/>
    <w:rsid w:val="05FB5635"/>
    <w:rsid w:val="06050E25"/>
    <w:rsid w:val="061439B5"/>
    <w:rsid w:val="06282F4D"/>
    <w:rsid w:val="062948E0"/>
    <w:rsid w:val="062C0CFF"/>
    <w:rsid w:val="0638394D"/>
    <w:rsid w:val="063A78C0"/>
    <w:rsid w:val="063E506D"/>
    <w:rsid w:val="063E7D85"/>
    <w:rsid w:val="067508F8"/>
    <w:rsid w:val="068428E9"/>
    <w:rsid w:val="068B513E"/>
    <w:rsid w:val="068C63F6"/>
    <w:rsid w:val="06943516"/>
    <w:rsid w:val="06A25B53"/>
    <w:rsid w:val="06A82192"/>
    <w:rsid w:val="06AC5FFC"/>
    <w:rsid w:val="06C4362D"/>
    <w:rsid w:val="06C54CB0"/>
    <w:rsid w:val="06C774B9"/>
    <w:rsid w:val="06CA05B5"/>
    <w:rsid w:val="06CB3C0E"/>
    <w:rsid w:val="06CC3E3A"/>
    <w:rsid w:val="06D01F8C"/>
    <w:rsid w:val="06D1266D"/>
    <w:rsid w:val="06D3119C"/>
    <w:rsid w:val="06D53790"/>
    <w:rsid w:val="06D7384E"/>
    <w:rsid w:val="06D97352"/>
    <w:rsid w:val="06DF3672"/>
    <w:rsid w:val="06E94E42"/>
    <w:rsid w:val="06EC7548"/>
    <w:rsid w:val="06F061D0"/>
    <w:rsid w:val="070103DE"/>
    <w:rsid w:val="07041C7C"/>
    <w:rsid w:val="07155C37"/>
    <w:rsid w:val="07192174"/>
    <w:rsid w:val="071C432E"/>
    <w:rsid w:val="0721330F"/>
    <w:rsid w:val="072269F5"/>
    <w:rsid w:val="07293586"/>
    <w:rsid w:val="07295285"/>
    <w:rsid w:val="073D167E"/>
    <w:rsid w:val="074D53D1"/>
    <w:rsid w:val="0756536A"/>
    <w:rsid w:val="075E138C"/>
    <w:rsid w:val="07636392"/>
    <w:rsid w:val="07700DB6"/>
    <w:rsid w:val="07770C56"/>
    <w:rsid w:val="078057E9"/>
    <w:rsid w:val="0781151E"/>
    <w:rsid w:val="0787399D"/>
    <w:rsid w:val="078F7DD4"/>
    <w:rsid w:val="07CF228A"/>
    <w:rsid w:val="07DC6755"/>
    <w:rsid w:val="07EC2321"/>
    <w:rsid w:val="080F08D8"/>
    <w:rsid w:val="080F6B2A"/>
    <w:rsid w:val="081303C8"/>
    <w:rsid w:val="081351AB"/>
    <w:rsid w:val="082779D0"/>
    <w:rsid w:val="082A3DEC"/>
    <w:rsid w:val="082E32A2"/>
    <w:rsid w:val="08377E4E"/>
    <w:rsid w:val="084E60B4"/>
    <w:rsid w:val="08642FA8"/>
    <w:rsid w:val="08744BDF"/>
    <w:rsid w:val="087D3A94"/>
    <w:rsid w:val="08852948"/>
    <w:rsid w:val="088E7A4F"/>
    <w:rsid w:val="08914928"/>
    <w:rsid w:val="089209CE"/>
    <w:rsid w:val="089B216C"/>
    <w:rsid w:val="08A4386F"/>
    <w:rsid w:val="08A5267F"/>
    <w:rsid w:val="08BB636A"/>
    <w:rsid w:val="08BE501B"/>
    <w:rsid w:val="08C00C4D"/>
    <w:rsid w:val="08C227B2"/>
    <w:rsid w:val="08DD09D6"/>
    <w:rsid w:val="08E33883"/>
    <w:rsid w:val="08E87302"/>
    <w:rsid w:val="08E91C0A"/>
    <w:rsid w:val="08E93645"/>
    <w:rsid w:val="08F33D56"/>
    <w:rsid w:val="09120680"/>
    <w:rsid w:val="092217DD"/>
    <w:rsid w:val="092B29F7"/>
    <w:rsid w:val="093645B1"/>
    <w:rsid w:val="09384BA1"/>
    <w:rsid w:val="093A7294"/>
    <w:rsid w:val="094D790A"/>
    <w:rsid w:val="094F1720"/>
    <w:rsid w:val="095C5810"/>
    <w:rsid w:val="097E5D15"/>
    <w:rsid w:val="098307E8"/>
    <w:rsid w:val="098D41AA"/>
    <w:rsid w:val="099C43EE"/>
    <w:rsid w:val="09A022C8"/>
    <w:rsid w:val="09A81168"/>
    <w:rsid w:val="09B05932"/>
    <w:rsid w:val="09C0632E"/>
    <w:rsid w:val="09C474A0"/>
    <w:rsid w:val="09DE67B4"/>
    <w:rsid w:val="09ED2E9B"/>
    <w:rsid w:val="09F920A7"/>
    <w:rsid w:val="0A075AEF"/>
    <w:rsid w:val="0A0855DF"/>
    <w:rsid w:val="0A092BFF"/>
    <w:rsid w:val="0A0D0E47"/>
    <w:rsid w:val="0A0F4BBF"/>
    <w:rsid w:val="0A0F696E"/>
    <w:rsid w:val="0A17666B"/>
    <w:rsid w:val="0A235375"/>
    <w:rsid w:val="0A263993"/>
    <w:rsid w:val="0A2829C8"/>
    <w:rsid w:val="0A2D3AC2"/>
    <w:rsid w:val="0A36214C"/>
    <w:rsid w:val="0A375A2C"/>
    <w:rsid w:val="0A4A1013"/>
    <w:rsid w:val="0A595397"/>
    <w:rsid w:val="0A5D17DF"/>
    <w:rsid w:val="0A6842D0"/>
    <w:rsid w:val="0A7333A0"/>
    <w:rsid w:val="0A7D5399"/>
    <w:rsid w:val="0A896457"/>
    <w:rsid w:val="0A8F5D00"/>
    <w:rsid w:val="0AA3355A"/>
    <w:rsid w:val="0AA7304A"/>
    <w:rsid w:val="0AA755DF"/>
    <w:rsid w:val="0AB315F5"/>
    <w:rsid w:val="0ABA0FCF"/>
    <w:rsid w:val="0ABE2142"/>
    <w:rsid w:val="0AC260D6"/>
    <w:rsid w:val="0ACB4717"/>
    <w:rsid w:val="0ACE4A7B"/>
    <w:rsid w:val="0ACF434F"/>
    <w:rsid w:val="0ADD2F10"/>
    <w:rsid w:val="0AE733CB"/>
    <w:rsid w:val="0AE75A64"/>
    <w:rsid w:val="0AE778EA"/>
    <w:rsid w:val="0AF53DB5"/>
    <w:rsid w:val="0AF80B83"/>
    <w:rsid w:val="0AF81AF7"/>
    <w:rsid w:val="0AFA5B66"/>
    <w:rsid w:val="0AFB5144"/>
    <w:rsid w:val="0AFC15E8"/>
    <w:rsid w:val="0AFE0F80"/>
    <w:rsid w:val="0B0A6AEB"/>
    <w:rsid w:val="0B120D44"/>
    <w:rsid w:val="0B136931"/>
    <w:rsid w:val="0B1A0483"/>
    <w:rsid w:val="0B2867EA"/>
    <w:rsid w:val="0B311C96"/>
    <w:rsid w:val="0B320A8B"/>
    <w:rsid w:val="0B35386F"/>
    <w:rsid w:val="0B36691F"/>
    <w:rsid w:val="0B3F14D4"/>
    <w:rsid w:val="0B416FFB"/>
    <w:rsid w:val="0B447765"/>
    <w:rsid w:val="0B49021A"/>
    <w:rsid w:val="0B566B24"/>
    <w:rsid w:val="0B58398D"/>
    <w:rsid w:val="0B5E4779"/>
    <w:rsid w:val="0B74576E"/>
    <w:rsid w:val="0B845139"/>
    <w:rsid w:val="0B907341"/>
    <w:rsid w:val="0B957346"/>
    <w:rsid w:val="0B9D61FB"/>
    <w:rsid w:val="0BA404B0"/>
    <w:rsid w:val="0BA439FA"/>
    <w:rsid w:val="0BBE3719"/>
    <w:rsid w:val="0BC72FA2"/>
    <w:rsid w:val="0BCA5242"/>
    <w:rsid w:val="0BCD088E"/>
    <w:rsid w:val="0BD240F7"/>
    <w:rsid w:val="0BD27BF6"/>
    <w:rsid w:val="0BD7795F"/>
    <w:rsid w:val="0BD92D35"/>
    <w:rsid w:val="0BE65DF4"/>
    <w:rsid w:val="0BE730F8"/>
    <w:rsid w:val="0C027923"/>
    <w:rsid w:val="0C070640"/>
    <w:rsid w:val="0C0C4CCC"/>
    <w:rsid w:val="0C1163E6"/>
    <w:rsid w:val="0C1237BE"/>
    <w:rsid w:val="0C160487"/>
    <w:rsid w:val="0C175FAD"/>
    <w:rsid w:val="0C1F0CC7"/>
    <w:rsid w:val="0C2B1D26"/>
    <w:rsid w:val="0C2C7CAB"/>
    <w:rsid w:val="0C3B3C7D"/>
    <w:rsid w:val="0C4D64BE"/>
    <w:rsid w:val="0C594818"/>
    <w:rsid w:val="0C673071"/>
    <w:rsid w:val="0C6D0CE9"/>
    <w:rsid w:val="0C7358DA"/>
    <w:rsid w:val="0C745CE5"/>
    <w:rsid w:val="0C7D22B4"/>
    <w:rsid w:val="0C84711B"/>
    <w:rsid w:val="0C9B346B"/>
    <w:rsid w:val="0CAB2EAE"/>
    <w:rsid w:val="0CAF61E6"/>
    <w:rsid w:val="0CB11F5E"/>
    <w:rsid w:val="0CB3217A"/>
    <w:rsid w:val="0CBB4B8B"/>
    <w:rsid w:val="0CC31C91"/>
    <w:rsid w:val="0CD619C5"/>
    <w:rsid w:val="0CD914B5"/>
    <w:rsid w:val="0CDA205D"/>
    <w:rsid w:val="0D051EE6"/>
    <w:rsid w:val="0D0522AA"/>
    <w:rsid w:val="0D0E6BC9"/>
    <w:rsid w:val="0D1129FD"/>
    <w:rsid w:val="0D156DE5"/>
    <w:rsid w:val="0D1960A8"/>
    <w:rsid w:val="0D197B03"/>
    <w:rsid w:val="0D211A66"/>
    <w:rsid w:val="0D3136F1"/>
    <w:rsid w:val="0D384699"/>
    <w:rsid w:val="0D5B5971"/>
    <w:rsid w:val="0D621C7D"/>
    <w:rsid w:val="0D651C72"/>
    <w:rsid w:val="0D780CCE"/>
    <w:rsid w:val="0D7F585B"/>
    <w:rsid w:val="0D864BDF"/>
    <w:rsid w:val="0D8B27AF"/>
    <w:rsid w:val="0D8C4FFC"/>
    <w:rsid w:val="0D8C6527"/>
    <w:rsid w:val="0D9A6E96"/>
    <w:rsid w:val="0DAB4685"/>
    <w:rsid w:val="0DAB7D47"/>
    <w:rsid w:val="0DAE649D"/>
    <w:rsid w:val="0DB241E0"/>
    <w:rsid w:val="0DB314C5"/>
    <w:rsid w:val="0DC363ED"/>
    <w:rsid w:val="0DCB52A1"/>
    <w:rsid w:val="0DEC33DE"/>
    <w:rsid w:val="0DEF71E2"/>
    <w:rsid w:val="0DF7152D"/>
    <w:rsid w:val="0E05145E"/>
    <w:rsid w:val="0E122ED0"/>
    <w:rsid w:val="0E1D18E9"/>
    <w:rsid w:val="0E2465AF"/>
    <w:rsid w:val="0E2C0C7D"/>
    <w:rsid w:val="0E355A5F"/>
    <w:rsid w:val="0E3746E5"/>
    <w:rsid w:val="0E4017EB"/>
    <w:rsid w:val="0E412690"/>
    <w:rsid w:val="0E4532A6"/>
    <w:rsid w:val="0E4D5CB6"/>
    <w:rsid w:val="0E5D717C"/>
    <w:rsid w:val="0E616C9D"/>
    <w:rsid w:val="0E73034D"/>
    <w:rsid w:val="0E7345C6"/>
    <w:rsid w:val="0E772D33"/>
    <w:rsid w:val="0E805DE2"/>
    <w:rsid w:val="0E8A1801"/>
    <w:rsid w:val="0E8A6F0A"/>
    <w:rsid w:val="0E8B0214"/>
    <w:rsid w:val="0EA87391"/>
    <w:rsid w:val="0EB12EAC"/>
    <w:rsid w:val="0EB41C90"/>
    <w:rsid w:val="0EB54247"/>
    <w:rsid w:val="0ECC7DBC"/>
    <w:rsid w:val="0EDC38F0"/>
    <w:rsid w:val="0EE06B2A"/>
    <w:rsid w:val="0EE83C31"/>
    <w:rsid w:val="0EE84765"/>
    <w:rsid w:val="0EEA79E1"/>
    <w:rsid w:val="0EF95E3E"/>
    <w:rsid w:val="0EFB0258"/>
    <w:rsid w:val="0F002F42"/>
    <w:rsid w:val="0F0632F7"/>
    <w:rsid w:val="0F0767AD"/>
    <w:rsid w:val="0F080A8B"/>
    <w:rsid w:val="0F081C15"/>
    <w:rsid w:val="0F13775A"/>
    <w:rsid w:val="0F190E46"/>
    <w:rsid w:val="0F274759"/>
    <w:rsid w:val="0F2C2BCE"/>
    <w:rsid w:val="0F303CC5"/>
    <w:rsid w:val="0F3052F1"/>
    <w:rsid w:val="0F477032"/>
    <w:rsid w:val="0F487DF7"/>
    <w:rsid w:val="0F4A0345"/>
    <w:rsid w:val="0F4D2096"/>
    <w:rsid w:val="0F5F45FE"/>
    <w:rsid w:val="0F7A1790"/>
    <w:rsid w:val="0F7B6853"/>
    <w:rsid w:val="0F7F7F8C"/>
    <w:rsid w:val="0F8570FA"/>
    <w:rsid w:val="0F8A6A96"/>
    <w:rsid w:val="0F8B118C"/>
    <w:rsid w:val="0F8B2F3A"/>
    <w:rsid w:val="0F9A112B"/>
    <w:rsid w:val="0F9E3CBF"/>
    <w:rsid w:val="0F9F566C"/>
    <w:rsid w:val="0FA364D6"/>
    <w:rsid w:val="0FAC20BF"/>
    <w:rsid w:val="0FC02939"/>
    <w:rsid w:val="0FCE2E27"/>
    <w:rsid w:val="0FDF6DE2"/>
    <w:rsid w:val="0FE15E72"/>
    <w:rsid w:val="0FE81779"/>
    <w:rsid w:val="0FE90FFC"/>
    <w:rsid w:val="0FED5C47"/>
    <w:rsid w:val="0FEF457C"/>
    <w:rsid w:val="0FF64198"/>
    <w:rsid w:val="0FF87EA4"/>
    <w:rsid w:val="0FF97C8A"/>
    <w:rsid w:val="0FFF2314"/>
    <w:rsid w:val="10091E0C"/>
    <w:rsid w:val="101C15ED"/>
    <w:rsid w:val="1021564D"/>
    <w:rsid w:val="102E1B18"/>
    <w:rsid w:val="10484987"/>
    <w:rsid w:val="10523A58"/>
    <w:rsid w:val="105D4B7B"/>
    <w:rsid w:val="10613C9B"/>
    <w:rsid w:val="106D2F64"/>
    <w:rsid w:val="10871251"/>
    <w:rsid w:val="108A4FA0"/>
    <w:rsid w:val="1095271D"/>
    <w:rsid w:val="10A84A5E"/>
    <w:rsid w:val="10B178E1"/>
    <w:rsid w:val="10B40B4D"/>
    <w:rsid w:val="10B63710"/>
    <w:rsid w:val="10BC3AA5"/>
    <w:rsid w:val="10BD35C7"/>
    <w:rsid w:val="10C61D50"/>
    <w:rsid w:val="10D316C5"/>
    <w:rsid w:val="10F10820"/>
    <w:rsid w:val="11005262"/>
    <w:rsid w:val="110A7E8F"/>
    <w:rsid w:val="111C2F7A"/>
    <w:rsid w:val="112B73EC"/>
    <w:rsid w:val="11383402"/>
    <w:rsid w:val="113B0990"/>
    <w:rsid w:val="1142587A"/>
    <w:rsid w:val="115D0906"/>
    <w:rsid w:val="11665CA1"/>
    <w:rsid w:val="11763776"/>
    <w:rsid w:val="118149B8"/>
    <w:rsid w:val="11934328"/>
    <w:rsid w:val="119773A9"/>
    <w:rsid w:val="119D06BE"/>
    <w:rsid w:val="11A117AE"/>
    <w:rsid w:val="11BB68E0"/>
    <w:rsid w:val="11BB723F"/>
    <w:rsid w:val="11C22850"/>
    <w:rsid w:val="11D94580"/>
    <w:rsid w:val="11F1278C"/>
    <w:rsid w:val="12011292"/>
    <w:rsid w:val="120343C6"/>
    <w:rsid w:val="12042B30"/>
    <w:rsid w:val="12062D4C"/>
    <w:rsid w:val="120D4A41"/>
    <w:rsid w:val="121C60CC"/>
    <w:rsid w:val="1222745A"/>
    <w:rsid w:val="12272E75"/>
    <w:rsid w:val="122F22A3"/>
    <w:rsid w:val="12385D4A"/>
    <w:rsid w:val="12485112"/>
    <w:rsid w:val="124B4C03"/>
    <w:rsid w:val="125A3098"/>
    <w:rsid w:val="12660F89"/>
    <w:rsid w:val="126B0D65"/>
    <w:rsid w:val="126E269F"/>
    <w:rsid w:val="12705D85"/>
    <w:rsid w:val="12746430"/>
    <w:rsid w:val="12833A99"/>
    <w:rsid w:val="1285502A"/>
    <w:rsid w:val="12895F35"/>
    <w:rsid w:val="129640D0"/>
    <w:rsid w:val="12A10CC7"/>
    <w:rsid w:val="12A3292A"/>
    <w:rsid w:val="12A367ED"/>
    <w:rsid w:val="12A5248F"/>
    <w:rsid w:val="12BF6DB2"/>
    <w:rsid w:val="12C30C3D"/>
    <w:rsid w:val="12C53B69"/>
    <w:rsid w:val="12D40754"/>
    <w:rsid w:val="12E94387"/>
    <w:rsid w:val="13001C37"/>
    <w:rsid w:val="13021765"/>
    <w:rsid w:val="13036C64"/>
    <w:rsid w:val="131229C5"/>
    <w:rsid w:val="13155517"/>
    <w:rsid w:val="131B4E1E"/>
    <w:rsid w:val="13386500"/>
    <w:rsid w:val="133B124F"/>
    <w:rsid w:val="133D4E31"/>
    <w:rsid w:val="13416CAD"/>
    <w:rsid w:val="13495A7D"/>
    <w:rsid w:val="13523D0A"/>
    <w:rsid w:val="1353747A"/>
    <w:rsid w:val="135B65C1"/>
    <w:rsid w:val="1367781A"/>
    <w:rsid w:val="13683F83"/>
    <w:rsid w:val="136C5805"/>
    <w:rsid w:val="137912FC"/>
    <w:rsid w:val="13835BCB"/>
    <w:rsid w:val="13867DB6"/>
    <w:rsid w:val="138B1BD0"/>
    <w:rsid w:val="138C334A"/>
    <w:rsid w:val="13951726"/>
    <w:rsid w:val="13AA093A"/>
    <w:rsid w:val="13B02C39"/>
    <w:rsid w:val="13BA642C"/>
    <w:rsid w:val="13BD7A6F"/>
    <w:rsid w:val="13BF22AD"/>
    <w:rsid w:val="13D529D6"/>
    <w:rsid w:val="13D9212E"/>
    <w:rsid w:val="13E72709"/>
    <w:rsid w:val="13E91920"/>
    <w:rsid w:val="13F54E26"/>
    <w:rsid w:val="14092680"/>
    <w:rsid w:val="14151024"/>
    <w:rsid w:val="142D7245"/>
    <w:rsid w:val="14352CA4"/>
    <w:rsid w:val="1437543F"/>
    <w:rsid w:val="14396509"/>
    <w:rsid w:val="143D1022"/>
    <w:rsid w:val="1444190A"/>
    <w:rsid w:val="144638D4"/>
    <w:rsid w:val="144F0058"/>
    <w:rsid w:val="145A2E88"/>
    <w:rsid w:val="145B63C0"/>
    <w:rsid w:val="146F0576"/>
    <w:rsid w:val="14812B5E"/>
    <w:rsid w:val="14846E96"/>
    <w:rsid w:val="148B578A"/>
    <w:rsid w:val="14A800EA"/>
    <w:rsid w:val="14A979BF"/>
    <w:rsid w:val="14AB7BDB"/>
    <w:rsid w:val="14B97D49"/>
    <w:rsid w:val="14CD7B51"/>
    <w:rsid w:val="14DD2C3C"/>
    <w:rsid w:val="14E27C94"/>
    <w:rsid w:val="14FB646C"/>
    <w:rsid w:val="14FF7589"/>
    <w:rsid w:val="150426E8"/>
    <w:rsid w:val="151E1407"/>
    <w:rsid w:val="152014A9"/>
    <w:rsid w:val="15232182"/>
    <w:rsid w:val="15237EEB"/>
    <w:rsid w:val="153B0F5F"/>
    <w:rsid w:val="15437E13"/>
    <w:rsid w:val="15545B7C"/>
    <w:rsid w:val="15581B10"/>
    <w:rsid w:val="155C2EC7"/>
    <w:rsid w:val="155E2E9F"/>
    <w:rsid w:val="156A35F2"/>
    <w:rsid w:val="156A61CD"/>
    <w:rsid w:val="157F33FE"/>
    <w:rsid w:val="15837FC3"/>
    <w:rsid w:val="1585411A"/>
    <w:rsid w:val="158647C3"/>
    <w:rsid w:val="15900F66"/>
    <w:rsid w:val="159B3CF9"/>
    <w:rsid w:val="15A703A2"/>
    <w:rsid w:val="15B605E5"/>
    <w:rsid w:val="15BD60A9"/>
    <w:rsid w:val="15C03212"/>
    <w:rsid w:val="15C56A7A"/>
    <w:rsid w:val="15CE79F6"/>
    <w:rsid w:val="15D53161"/>
    <w:rsid w:val="15DD5982"/>
    <w:rsid w:val="15EE083B"/>
    <w:rsid w:val="15F82E15"/>
    <w:rsid w:val="15FB1672"/>
    <w:rsid w:val="16002E0D"/>
    <w:rsid w:val="16087E1D"/>
    <w:rsid w:val="160F7CF5"/>
    <w:rsid w:val="16116963"/>
    <w:rsid w:val="161F297C"/>
    <w:rsid w:val="16210154"/>
    <w:rsid w:val="163559AE"/>
    <w:rsid w:val="16393CC7"/>
    <w:rsid w:val="16435D95"/>
    <w:rsid w:val="164976AB"/>
    <w:rsid w:val="165878EE"/>
    <w:rsid w:val="16612C47"/>
    <w:rsid w:val="167419DC"/>
    <w:rsid w:val="167C35DD"/>
    <w:rsid w:val="167D1692"/>
    <w:rsid w:val="167F30CD"/>
    <w:rsid w:val="16970417"/>
    <w:rsid w:val="16A843D2"/>
    <w:rsid w:val="16B34B25"/>
    <w:rsid w:val="16B8213B"/>
    <w:rsid w:val="16C66A38"/>
    <w:rsid w:val="16D75796"/>
    <w:rsid w:val="16DA6555"/>
    <w:rsid w:val="16DE7DF3"/>
    <w:rsid w:val="16DF4232"/>
    <w:rsid w:val="16E01DBD"/>
    <w:rsid w:val="16F226A6"/>
    <w:rsid w:val="16F3088D"/>
    <w:rsid w:val="16F92E7F"/>
    <w:rsid w:val="17035AAC"/>
    <w:rsid w:val="17065AFE"/>
    <w:rsid w:val="17092996"/>
    <w:rsid w:val="17173305"/>
    <w:rsid w:val="17274FCE"/>
    <w:rsid w:val="172A4DE7"/>
    <w:rsid w:val="17385DDD"/>
    <w:rsid w:val="173C0FBE"/>
    <w:rsid w:val="17405787"/>
    <w:rsid w:val="17463416"/>
    <w:rsid w:val="174A36DB"/>
    <w:rsid w:val="174C7453"/>
    <w:rsid w:val="174D2A38"/>
    <w:rsid w:val="174F40F1"/>
    <w:rsid w:val="17683B61"/>
    <w:rsid w:val="17701D14"/>
    <w:rsid w:val="1772678E"/>
    <w:rsid w:val="17735226"/>
    <w:rsid w:val="17766998"/>
    <w:rsid w:val="178A3AD7"/>
    <w:rsid w:val="17A358B5"/>
    <w:rsid w:val="17B01E78"/>
    <w:rsid w:val="17B46DA6"/>
    <w:rsid w:val="17BF26E5"/>
    <w:rsid w:val="17C0399D"/>
    <w:rsid w:val="17C72A4B"/>
    <w:rsid w:val="17CC2342"/>
    <w:rsid w:val="17D140FD"/>
    <w:rsid w:val="17D178B3"/>
    <w:rsid w:val="17D4236C"/>
    <w:rsid w:val="17D56CAB"/>
    <w:rsid w:val="17D61EB9"/>
    <w:rsid w:val="17D82A95"/>
    <w:rsid w:val="17DB4333"/>
    <w:rsid w:val="17DF02C7"/>
    <w:rsid w:val="17F35B20"/>
    <w:rsid w:val="17F51899"/>
    <w:rsid w:val="1804388A"/>
    <w:rsid w:val="18086235"/>
    <w:rsid w:val="18090EA0"/>
    <w:rsid w:val="180E295A"/>
    <w:rsid w:val="181141F9"/>
    <w:rsid w:val="1813260C"/>
    <w:rsid w:val="18133E6F"/>
    <w:rsid w:val="1821268E"/>
    <w:rsid w:val="18283E16"/>
    <w:rsid w:val="182B350C"/>
    <w:rsid w:val="182B52BA"/>
    <w:rsid w:val="182B7143"/>
    <w:rsid w:val="182C4B8E"/>
    <w:rsid w:val="183569CC"/>
    <w:rsid w:val="18392C19"/>
    <w:rsid w:val="183C6A3D"/>
    <w:rsid w:val="184B0368"/>
    <w:rsid w:val="185D743E"/>
    <w:rsid w:val="18770171"/>
    <w:rsid w:val="188417AA"/>
    <w:rsid w:val="189C5720"/>
    <w:rsid w:val="189D3F55"/>
    <w:rsid w:val="189F624C"/>
    <w:rsid w:val="18A169B6"/>
    <w:rsid w:val="18A2159D"/>
    <w:rsid w:val="18B04503"/>
    <w:rsid w:val="18B057C0"/>
    <w:rsid w:val="18B74DA0"/>
    <w:rsid w:val="18BB2808"/>
    <w:rsid w:val="18BF3D63"/>
    <w:rsid w:val="18BF5A03"/>
    <w:rsid w:val="18C13529"/>
    <w:rsid w:val="18DA6CE0"/>
    <w:rsid w:val="18DE232D"/>
    <w:rsid w:val="18F34329"/>
    <w:rsid w:val="19061883"/>
    <w:rsid w:val="19143FA0"/>
    <w:rsid w:val="19186EAF"/>
    <w:rsid w:val="191C4C03"/>
    <w:rsid w:val="192252CF"/>
    <w:rsid w:val="19251B9B"/>
    <w:rsid w:val="193D5422"/>
    <w:rsid w:val="194755B0"/>
    <w:rsid w:val="194D2CE1"/>
    <w:rsid w:val="1956106E"/>
    <w:rsid w:val="19570331"/>
    <w:rsid w:val="195720DF"/>
    <w:rsid w:val="19597C05"/>
    <w:rsid w:val="195A2A2F"/>
    <w:rsid w:val="19602F0F"/>
    <w:rsid w:val="19622F5E"/>
    <w:rsid w:val="19630A84"/>
    <w:rsid w:val="196842EC"/>
    <w:rsid w:val="19693402"/>
    <w:rsid w:val="196C2DB4"/>
    <w:rsid w:val="196D491E"/>
    <w:rsid w:val="197238BF"/>
    <w:rsid w:val="199030F5"/>
    <w:rsid w:val="19A15111"/>
    <w:rsid w:val="19CE23A1"/>
    <w:rsid w:val="19D43730"/>
    <w:rsid w:val="19D83220"/>
    <w:rsid w:val="19D95DFA"/>
    <w:rsid w:val="19E64F1C"/>
    <w:rsid w:val="19E93BC8"/>
    <w:rsid w:val="19EC6CCB"/>
    <w:rsid w:val="19F74F8A"/>
    <w:rsid w:val="19F871CA"/>
    <w:rsid w:val="19FA5578"/>
    <w:rsid w:val="1A0916E3"/>
    <w:rsid w:val="1A0C3DE5"/>
    <w:rsid w:val="1A1078F0"/>
    <w:rsid w:val="1A1C66C0"/>
    <w:rsid w:val="1A1C7F18"/>
    <w:rsid w:val="1A1D145C"/>
    <w:rsid w:val="1A266AA0"/>
    <w:rsid w:val="1A421274"/>
    <w:rsid w:val="1A42393B"/>
    <w:rsid w:val="1A454F8C"/>
    <w:rsid w:val="1A4E703E"/>
    <w:rsid w:val="1A5F090E"/>
    <w:rsid w:val="1A6A2211"/>
    <w:rsid w:val="1A6A5FB9"/>
    <w:rsid w:val="1A6C2A9B"/>
    <w:rsid w:val="1A700765"/>
    <w:rsid w:val="1A855520"/>
    <w:rsid w:val="1A8B6EDD"/>
    <w:rsid w:val="1A9A6727"/>
    <w:rsid w:val="1A9B7B90"/>
    <w:rsid w:val="1A9D32A1"/>
    <w:rsid w:val="1AA350E9"/>
    <w:rsid w:val="1AA44EB0"/>
    <w:rsid w:val="1AAD45DE"/>
    <w:rsid w:val="1AAD645B"/>
    <w:rsid w:val="1AB1724B"/>
    <w:rsid w:val="1ABA0B77"/>
    <w:rsid w:val="1ABA4DC3"/>
    <w:rsid w:val="1AC217DA"/>
    <w:rsid w:val="1AC32C8E"/>
    <w:rsid w:val="1AC44AE1"/>
    <w:rsid w:val="1AC63078"/>
    <w:rsid w:val="1ACD2659"/>
    <w:rsid w:val="1ADA00A6"/>
    <w:rsid w:val="1ADC0AEE"/>
    <w:rsid w:val="1ADF3E4E"/>
    <w:rsid w:val="1AE23C2A"/>
    <w:rsid w:val="1AE71241"/>
    <w:rsid w:val="1AE9320B"/>
    <w:rsid w:val="1AEF1C3D"/>
    <w:rsid w:val="1AF079B0"/>
    <w:rsid w:val="1B033B37"/>
    <w:rsid w:val="1B046F80"/>
    <w:rsid w:val="1B131259"/>
    <w:rsid w:val="1B132036"/>
    <w:rsid w:val="1B1572EB"/>
    <w:rsid w:val="1B170789"/>
    <w:rsid w:val="1B1B169D"/>
    <w:rsid w:val="1B1B2E9B"/>
    <w:rsid w:val="1B1F390C"/>
    <w:rsid w:val="1B2B4F76"/>
    <w:rsid w:val="1B2B6103"/>
    <w:rsid w:val="1B2C07EA"/>
    <w:rsid w:val="1B3267B5"/>
    <w:rsid w:val="1B3844CA"/>
    <w:rsid w:val="1B3F69F6"/>
    <w:rsid w:val="1B40161D"/>
    <w:rsid w:val="1B441859"/>
    <w:rsid w:val="1B4641B9"/>
    <w:rsid w:val="1B471F3D"/>
    <w:rsid w:val="1B4D5254"/>
    <w:rsid w:val="1B5830BF"/>
    <w:rsid w:val="1B5F63B8"/>
    <w:rsid w:val="1B660570"/>
    <w:rsid w:val="1B6606B1"/>
    <w:rsid w:val="1B692F38"/>
    <w:rsid w:val="1B74347D"/>
    <w:rsid w:val="1B8279C1"/>
    <w:rsid w:val="1B9703C5"/>
    <w:rsid w:val="1BA00FAC"/>
    <w:rsid w:val="1BA14075"/>
    <w:rsid w:val="1BA57132"/>
    <w:rsid w:val="1BA63824"/>
    <w:rsid w:val="1BB13295"/>
    <w:rsid w:val="1BB50563"/>
    <w:rsid w:val="1BC34FA2"/>
    <w:rsid w:val="1BCB2B71"/>
    <w:rsid w:val="1BDD4D19"/>
    <w:rsid w:val="1BEC2FB3"/>
    <w:rsid w:val="1BF43C15"/>
    <w:rsid w:val="1C014BF4"/>
    <w:rsid w:val="1C155A59"/>
    <w:rsid w:val="1C1A1511"/>
    <w:rsid w:val="1C2B0D30"/>
    <w:rsid w:val="1C2F2E9F"/>
    <w:rsid w:val="1C314E69"/>
    <w:rsid w:val="1C381D54"/>
    <w:rsid w:val="1C404B9C"/>
    <w:rsid w:val="1C427C25"/>
    <w:rsid w:val="1C434874"/>
    <w:rsid w:val="1C512E16"/>
    <w:rsid w:val="1C522596"/>
    <w:rsid w:val="1C5B06B9"/>
    <w:rsid w:val="1C5B486B"/>
    <w:rsid w:val="1C5E7925"/>
    <w:rsid w:val="1C600961"/>
    <w:rsid w:val="1C6172DD"/>
    <w:rsid w:val="1C654B13"/>
    <w:rsid w:val="1C66778B"/>
    <w:rsid w:val="1C6954DB"/>
    <w:rsid w:val="1C723671"/>
    <w:rsid w:val="1C77581C"/>
    <w:rsid w:val="1C8C6544"/>
    <w:rsid w:val="1C8E7BC6"/>
    <w:rsid w:val="1C926A40"/>
    <w:rsid w:val="1C994D2B"/>
    <w:rsid w:val="1CA57AA3"/>
    <w:rsid w:val="1CAB13A8"/>
    <w:rsid w:val="1CCE3FCC"/>
    <w:rsid w:val="1CE974F2"/>
    <w:rsid w:val="1CF571BC"/>
    <w:rsid w:val="1CFC3627"/>
    <w:rsid w:val="1CFD070F"/>
    <w:rsid w:val="1CFF6D16"/>
    <w:rsid w:val="1D012242"/>
    <w:rsid w:val="1D063C00"/>
    <w:rsid w:val="1D0A7658"/>
    <w:rsid w:val="1D0B3F40"/>
    <w:rsid w:val="1D1A53A3"/>
    <w:rsid w:val="1D23605B"/>
    <w:rsid w:val="1D29143B"/>
    <w:rsid w:val="1D327B8F"/>
    <w:rsid w:val="1D39494C"/>
    <w:rsid w:val="1D4110DC"/>
    <w:rsid w:val="1D456B20"/>
    <w:rsid w:val="1D496B96"/>
    <w:rsid w:val="1D4F6B81"/>
    <w:rsid w:val="1D547E80"/>
    <w:rsid w:val="1D5F6196"/>
    <w:rsid w:val="1D6132A5"/>
    <w:rsid w:val="1D702844"/>
    <w:rsid w:val="1D7517AA"/>
    <w:rsid w:val="1D780222"/>
    <w:rsid w:val="1D8E56D5"/>
    <w:rsid w:val="1D9F5E03"/>
    <w:rsid w:val="1DB53CD6"/>
    <w:rsid w:val="1DB81665"/>
    <w:rsid w:val="1DBC7F86"/>
    <w:rsid w:val="1DBF42C5"/>
    <w:rsid w:val="1DD04C16"/>
    <w:rsid w:val="1DD43CFE"/>
    <w:rsid w:val="1DE506C7"/>
    <w:rsid w:val="1DE91601"/>
    <w:rsid w:val="1DFD26DA"/>
    <w:rsid w:val="1E110FD6"/>
    <w:rsid w:val="1E200CF1"/>
    <w:rsid w:val="1E2527AC"/>
    <w:rsid w:val="1E2E5904"/>
    <w:rsid w:val="1E582538"/>
    <w:rsid w:val="1E5E7A6C"/>
    <w:rsid w:val="1E674731"/>
    <w:rsid w:val="1E786D7F"/>
    <w:rsid w:val="1E796654"/>
    <w:rsid w:val="1E7A43DA"/>
    <w:rsid w:val="1E8223CA"/>
    <w:rsid w:val="1E86760A"/>
    <w:rsid w:val="1E876E88"/>
    <w:rsid w:val="1E892ACD"/>
    <w:rsid w:val="1E8F4108"/>
    <w:rsid w:val="1E90231B"/>
    <w:rsid w:val="1E967206"/>
    <w:rsid w:val="1E9811D0"/>
    <w:rsid w:val="1E994851"/>
    <w:rsid w:val="1EA638ED"/>
    <w:rsid w:val="1EAE09F3"/>
    <w:rsid w:val="1EB12291"/>
    <w:rsid w:val="1EC03267"/>
    <w:rsid w:val="1ED750D8"/>
    <w:rsid w:val="1EE35706"/>
    <w:rsid w:val="1F036180"/>
    <w:rsid w:val="1F251FBC"/>
    <w:rsid w:val="1F2C36C6"/>
    <w:rsid w:val="1F347325"/>
    <w:rsid w:val="1F35643E"/>
    <w:rsid w:val="1F4153C3"/>
    <w:rsid w:val="1F4F2A60"/>
    <w:rsid w:val="1F545C16"/>
    <w:rsid w:val="1F640406"/>
    <w:rsid w:val="1F725AC9"/>
    <w:rsid w:val="1F731CFE"/>
    <w:rsid w:val="1F784B5D"/>
    <w:rsid w:val="1F7C2D3B"/>
    <w:rsid w:val="1F832E62"/>
    <w:rsid w:val="1F844AB7"/>
    <w:rsid w:val="1F845C8A"/>
    <w:rsid w:val="1F86727A"/>
    <w:rsid w:val="1F9C4CF0"/>
    <w:rsid w:val="1FA061B1"/>
    <w:rsid w:val="1FB047B9"/>
    <w:rsid w:val="1FB43003"/>
    <w:rsid w:val="1FBB33C8"/>
    <w:rsid w:val="1FC57DA2"/>
    <w:rsid w:val="1FC93034"/>
    <w:rsid w:val="1FCA5BC6"/>
    <w:rsid w:val="1FE7539E"/>
    <w:rsid w:val="1FEB5DF2"/>
    <w:rsid w:val="1FEC06BC"/>
    <w:rsid w:val="1FFD0165"/>
    <w:rsid w:val="2006781F"/>
    <w:rsid w:val="20120B0E"/>
    <w:rsid w:val="2015308D"/>
    <w:rsid w:val="20261E39"/>
    <w:rsid w:val="2032059A"/>
    <w:rsid w:val="20397E8F"/>
    <w:rsid w:val="203A55E6"/>
    <w:rsid w:val="203C098B"/>
    <w:rsid w:val="205239FA"/>
    <w:rsid w:val="205E1F20"/>
    <w:rsid w:val="20644815"/>
    <w:rsid w:val="20671BE0"/>
    <w:rsid w:val="20705BE2"/>
    <w:rsid w:val="207B4905"/>
    <w:rsid w:val="208B7348"/>
    <w:rsid w:val="208F215E"/>
    <w:rsid w:val="20963CB8"/>
    <w:rsid w:val="20A10D4E"/>
    <w:rsid w:val="20A43E5C"/>
    <w:rsid w:val="20A81A1B"/>
    <w:rsid w:val="20B07FB6"/>
    <w:rsid w:val="20B255A1"/>
    <w:rsid w:val="20B47E17"/>
    <w:rsid w:val="20B646FB"/>
    <w:rsid w:val="20CC6F0F"/>
    <w:rsid w:val="20D50A99"/>
    <w:rsid w:val="20D80D33"/>
    <w:rsid w:val="20F21BE4"/>
    <w:rsid w:val="20F85AC8"/>
    <w:rsid w:val="210C4466"/>
    <w:rsid w:val="21102FBB"/>
    <w:rsid w:val="211B5733"/>
    <w:rsid w:val="211C60E8"/>
    <w:rsid w:val="212669F8"/>
    <w:rsid w:val="21274A8D"/>
    <w:rsid w:val="213351E0"/>
    <w:rsid w:val="213716BC"/>
    <w:rsid w:val="213B74B1"/>
    <w:rsid w:val="21475722"/>
    <w:rsid w:val="215A2310"/>
    <w:rsid w:val="216129B6"/>
    <w:rsid w:val="21692CD3"/>
    <w:rsid w:val="216E6218"/>
    <w:rsid w:val="2183690F"/>
    <w:rsid w:val="21893052"/>
    <w:rsid w:val="219043E0"/>
    <w:rsid w:val="2190618E"/>
    <w:rsid w:val="219E4C9A"/>
    <w:rsid w:val="21A221B3"/>
    <w:rsid w:val="21A96177"/>
    <w:rsid w:val="21AA4292"/>
    <w:rsid w:val="21B15694"/>
    <w:rsid w:val="21BA52AB"/>
    <w:rsid w:val="21BB001E"/>
    <w:rsid w:val="21BB268C"/>
    <w:rsid w:val="21C4408A"/>
    <w:rsid w:val="21C77B3B"/>
    <w:rsid w:val="21D3322B"/>
    <w:rsid w:val="21D557DA"/>
    <w:rsid w:val="21DE318A"/>
    <w:rsid w:val="21E0264C"/>
    <w:rsid w:val="21ED35E0"/>
    <w:rsid w:val="21ED6FB1"/>
    <w:rsid w:val="21EF5B80"/>
    <w:rsid w:val="21F347BD"/>
    <w:rsid w:val="21F70B61"/>
    <w:rsid w:val="21FA7AAB"/>
    <w:rsid w:val="22052B1B"/>
    <w:rsid w:val="2208041A"/>
    <w:rsid w:val="2215150D"/>
    <w:rsid w:val="221B63A0"/>
    <w:rsid w:val="221F4881"/>
    <w:rsid w:val="22300326"/>
    <w:rsid w:val="223022A6"/>
    <w:rsid w:val="223D55F1"/>
    <w:rsid w:val="22576990"/>
    <w:rsid w:val="22602004"/>
    <w:rsid w:val="226D317A"/>
    <w:rsid w:val="22721758"/>
    <w:rsid w:val="227B6E3E"/>
    <w:rsid w:val="227E632C"/>
    <w:rsid w:val="22965A26"/>
    <w:rsid w:val="22A75E85"/>
    <w:rsid w:val="22AE0FC2"/>
    <w:rsid w:val="22BF10AE"/>
    <w:rsid w:val="22C00CF5"/>
    <w:rsid w:val="22D24584"/>
    <w:rsid w:val="22D7429E"/>
    <w:rsid w:val="22DA1DB7"/>
    <w:rsid w:val="22E26EBD"/>
    <w:rsid w:val="22F015DA"/>
    <w:rsid w:val="22F47480"/>
    <w:rsid w:val="230010F2"/>
    <w:rsid w:val="23046278"/>
    <w:rsid w:val="23063026"/>
    <w:rsid w:val="231057D9"/>
    <w:rsid w:val="2313524B"/>
    <w:rsid w:val="2315370F"/>
    <w:rsid w:val="23157D2B"/>
    <w:rsid w:val="23244DE0"/>
    <w:rsid w:val="23264FFC"/>
    <w:rsid w:val="232F3539"/>
    <w:rsid w:val="23392382"/>
    <w:rsid w:val="23396B62"/>
    <w:rsid w:val="233A4928"/>
    <w:rsid w:val="233D40F4"/>
    <w:rsid w:val="234E74F4"/>
    <w:rsid w:val="235042D2"/>
    <w:rsid w:val="23623B5A"/>
    <w:rsid w:val="23690159"/>
    <w:rsid w:val="23693C6E"/>
    <w:rsid w:val="23725C86"/>
    <w:rsid w:val="237748EB"/>
    <w:rsid w:val="237F295E"/>
    <w:rsid w:val="23827D58"/>
    <w:rsid w:val="23847F75"/>
    <w:rsid w:val="2394535A"/>
    <w:rsid w:val="23A67EEB"/>
    <w:rsid w:val="23CA033F"/>
    <w:rsid w:val="23CD36CA"/>
    <w:rsid w:val="23CE11F0"/>
    <w:rsid w:val="23CE2F9E"/>
    <w:rsid w:val="23DA28F3"/>
    <w:rsid w:val="23DE1C48"/>
    <w:rsid w:val="23E20D71"/>
    <w:rsid w:val="23EB3B50"/>
    <w:rsid w:val="23EB7FF4"/>
    <w:rsid w:val="23F00895"/>
    <w:rsid w:val="23F30C56"/>
    <w:rsid w:val="23F52C20"/>
    <w:rsid w:val="23F54522"/>
    <w:rsid w:val="23F70746"/>
    <w:rsid w:val="23F8626D"/>
    <w:rsid w:val="23FF0FDA"/>
    <w:rsid w:val="240210CD"/>
    <w:rsid w:val="240370EB"/>
    <w:rsid w:val="240D7F6A"/>
    <w:rsid w:val="240F0EF6"/>
    <w:rsid w:val="24140B3E"/>
    <w:rsid w:val="24151A5C"/>
    <w:rsid w:val="2419690F"/>
    <w:rsid w:val="242557AE"/>
    <w:rsid w:val="2425794E"/>
    <w:rsid w:val="2437615F"/>
    <w:rsid w:val="244871F4"/>
    <w:rsid w:val="24496B25"/>
    <w:rsid w:val="244F0582"/>
    <w:rsid w:val="24542930"/>
    <w:rsid w:val="24575689"/>
    <w:rsid w:val="24634D4A"/>
    <w:rsid w:val="24661428"/>
    <w:rsid w:val="2479115B"/>
    <w:rsid w:val="247B2446"/>
    <w:rsid w:val="248D6603"/>
    <w:rsid w:val="24927341"/>
    <w:rsid w:val="249C309C"/>
    <w:rsid w:val="24A614DE"/>
    <w:rsid w:val="24AB32DF"/>
    <w:rsid w:val="24B71C84"/>
    <w:rsid w:val="24BD373E"/>
    <w:rsid w:val="24BF09F7"/>
    <w:rsid w:val="24C3687B"/>
    <w:rsid w:val="24D42836"/>
    <w:rsid w:val="24EC4023"/>
    <w:rsid w:val="24F829C8"/>
    <w:rsid w:val="2500362B"/>
    <w:rsid w:val="25207829"/>
    <w:rsid w:val="25272128"/>
    <w:rsid w:val="252D53FE"/>
    <w:rsid w:val="25394852"/>
    <w:rsid w:val="253A0222"/>
    <w:rsid w:val="254C1338"/>
    <w:rsid w:val="254F010E"/>
    <w:rsid w:val="25535E50"/>
    <w:rsid w:val="2561612C"/>
    <w:rsid w:val="2567568B"/>
    <w:rsid w:val="25695674"/>
    <w:rsid w:val="256E4199"/>
    <w:rsid w:val="256F255E"/>
    <w:rsid w:val="25733DFD"/>
    <w:rsid w:val="25827970"/>
    <w:rsid w:val="258765F2"/>
    <w:rsid w:val="259B66F7"/>
    <w:rsid w:val="259D7C58"/>
    <w:rsid w:val="25B43B59"/>
    <w:rsid w:val="25B515CF"/>
    <w:rsid w:val="25B61F3B"/>
    <w:rsid w:val="25C710C2"/>
    <w:rsid w:val="25CD1A5D"/>
    <w:rsid w:val="25E1345C"/>
    <w:rsid w:val="25E56F88"/>
    <w:rsid w:val="25E62821"/>
    <w:rsid w:val="25E95111"/>
    <w:rsid w:val="25EC2D81"/>
    <w:rsid w:val="261F3F85"/>
    <w:rsid w:val="26236E2D"/>
    <w:rsid w:val="262F09A5"/>
    <w:rsid w:val="26321F0A"/>
    <w:rsid w:val="26331504"/>
    <w:rsid w:val="264E0B2B"/>
    <w:rsid w:val="265E4AAD"/>
    <w:rsid w:val="265F7A8B"/>
    <w:rsid w:val="267052F4"/>
    <w:rsid w:val="26774D24"/>
    <w:rsid w:val="26823A31"/>
    <w:rsid w:val="268B6D35"/>
    <w:rsid w:val="26A65FE2"/>
    <w:rsid w:val="26C02E84"/>
    <w:rsid w:val="26C12D48"/>
    <w:rsid w:val="26C30DB4"/>
    <w:rsid w:val="26C54B2C"/>
    <w:rsid w:val="26D63A6D"/>
    <w:rsid w:val="26E1123A"/>
    <w:rsid w:val="26E314A8"/>
    <w:rsid w:val="26EB28DA"/>
    <w:rsid w:val="26FC6074"/>
    <w:rsid w:val="27005865"/>
    <w:rsid w:val="27022407"/>
    <w:rsid w:val="270C10BB"/>
    <w:rsid w:val="270C4509"/>
    <w:rsid w:val="27117D71"/>
    <w:rsid w:val="27127645"/>
    <w:rsid w:val="271511A5"/>
    <w:rsid w:val="271C2272"/>
    <w:rsid w:val="27222D1F"/>
    <w:rsid w:val="27223C24"/>
    <w:rsid w:val="27263AB9"/>
    <w:rsid w:val="272F46AD"/>
    <w:rsid w:val="27376B63"/>
    <w:rsid w:val="273778B2"/>
    <w:rsid w:val="273D1AD3"/>
    <w:rsid w:val="273D2914"/>
    <w:rsid w:val="27533EE6"/>
    <w:rsid w:val="275541DD"/>
    <w:rsid w:val="27644345"/>
    <w:rsid w:val="276500BD"/>
    <w:rsid w:val="27652B8D"/>
    <w:rsid w:val="276E5C21"/>
    <w:rsid w:val="2770525C"/>
    <w:rsid w:val="277057A2"/>
    <w:rsid w:val="277E06CB"/>
    <w:rsid w:val="27816C71"/>
    <w:rsid w:val="27826579"/>
    <w:rsid w:val="278368F8"/>
    <w:rsid w:val="278808C4"/>
    <w:rsid w:val="2791112C"/>
    <w:rsid w:val="27A720A4"/>
    <w:rsid w:val="27B611DB"/>
    <w:rsid w:val="27D838A4"/>
    <w:rsid w:val="27FF34BF"/>
    <w:rsid w:val="280671AA"/>
    <w:rsid w:val="280C63D2"/>
    <w:rsid w:val="2811483E"/>
    <w:rsid w:val="281641CC"/>
    <w:rsid w:val="28373807"/>
    <w:rsid w:val="283F1945"/>
    <w:rsid w:val="285A2D09"/>
    <w:rsid w:val="285F2D5E"/>
    <w:rsid w:val="286610A6"/>
    <w:rsid w:val="287612ED"/>
    <w:rsid w:val="287E4F92"/>
    <w:rsid w:val="287E6B82"/>
    <w:rsid w:val="28835B1D"/>
    <w:rsid w:val="288B5901"/>
    <w:rsid w:val="289F315B"/>
    <w:rsid w:val="28AA222B"/>
    <w:rsid w:val="28B00F06"/>
    <w:rsid w:val="28B409B4"/>
    <w:rsid w:val="28C92E4A"/>
    <w:rsid w:val="28DF17A9"/>
    <w:rsid w:val="28EE6DC7"/>
    <w:rsid w:val="28F74C18"/>
    <w:rsid w:val="28F93B9C"/>
    <w:rsid w:val="28FB2A87"/>
    <w:rsid w:val="28FE4325"/>
    <w:rsid w:val="29080BC2"/>
    <w:rsid w:val="290A2CCA"/>
    <w:rsid w:val="290F2E7F"/>
    <w:rsid w:val="291E4F61"/>
    <w:rsid w:val="291F2C90"/>
    <w:rsid w:val="29206EB8"/>
    <w:rsid w:val="292F3ABA"/>
    <w:rsid w:val="293971B4"/>
    <w:rsid w:val="29443055"/>
    <w:rsid w:val="29447308"/>
    <w:rsid w:val="295201CD"/>
    <w:rsid w:val="29595666"/>
    <w:rsid w:val="295F7136"/>
    <w:rsid w:val="29600B3C"/>
    <w:rsid w:val="29726A7A"/>
    <w:rsid w:val="297D16EE"/>
    <w:rsid w:val="29874881"/>
    <w:rsid w:val="29961A49"/>
    <w:rsid w:val="299B6018"/>
    <w:rsid w:val="29A547A1"/>
    <w:rsid w:val="29BE09B3"/>
    <w:rsid w:val="29C015DB"/>
    <w:rsid w:val="29C85C71"/>
    <w:rsid w:val="29C9059D"/>
    <w:rsid w:val="29D515DD"/>
    <w:rsid w:val="29DF5F05"/>
    <w:rsid w:val="29E325E0"/>
    <w:rsid w:val="29EB2AFB"/>
    <w:rsid w:val="2A1D7B71"/>
    <w:rsid w:val="2A2E3D2E"/>
    <w:rsid w:val="2A452503"/>
    <w:rsid w:val="2A4C592B"/>
    <w:rsid w:val="2A516871"/>
    <w:rsid w:val="2A522E46"/>
    <w:rsid w:val="2A551386"/>
    <w:rsid w:val="2A58405A"/>
    <w:rsid w:val="2A5D4DCE"/>
    <w:rsid w:val="2A600608"/>
    <w:rsid w:val="2A614B6C"/>
    <w:rsid w:val="2A65681A"/>
    <w:rsid w:val="2A6E1037"/>
    <w:rsid w:val="2A842608"/>
    <w:rsid w:val="2A8940C2"/>
    <w:rsid w:val="2A930A9D"/>
    <w:rsid w:val="2A957144"/>
    <w:rsid w:val="2A997305"/>
    <w:rsid w:val="2A9F5AB1"/>
    <w:rsid w:val="2AA446AC"/>
    <w:rsid w:val="2AA66E23"/>
    <w:rsid w:val="2AAF288F"/>
    <w:rsid w:val="2AC33130"/>
    <w:rsid w:val="2AC64FAB"/>
    <w:rsid w:val="2AD846FB"/>
    <w:rsid w:val="2ADC41F2"/>
    <w:rsid w:val="2AE5579D"/>
    <w:rsid w:val="2AE82B97"/>
    <w:rsid w:val="2AE8703B"/>
    <w:rsid w:val="2AEC15BF"/>
    <w:rsid w:val="2AF40099"/>
    <w:rsid w:val="2AF4778E"/>
    <w:rsid w:val="2AFD2DA5"/>
    <w:rsid w:val="2B0D33EC"/>
    <w:rsid w:val="2B0F281A"/>
    <w:rsid w:val="2B1A2D53"/>
    <w:rsid w:val="2B434271"/>
    <w:rsid w:val="2B451FC5"/>
    <w:rsid w:val="2B535B75"/>
    <w:rsid w:val="2B603075"/>
    <w:rsid w:val="2B6A46DF"/>
    <w:rsid w:val="2B74502C"/>
    <w:rsid w:val="2B7C2EFB"/>
    <w:rsid w:val="2B9423AF"/>
    <w:rsid w:val="2B96058E"/>
    <w:rsid w:val="2B9E6BFE"/>
    <w:rsid w:val="2BA54F2C"/>
    <w:rsid w:val="2BA936A8"/>
    <w:rsid w:val="2BAE6E60"/>
    <w:rsid w:val="2BB06975"/>
    <w:rsid w:val="2BB32B9B"/>
    <w:rsid w:val="2BB62C95"/>
    <w:rsid w:val="2BB84D0A"/>
    <w:rsid w:val="2BBC00D0"/>
    <w:rsid w:val="2BC524C3"/>
    <w:rsid w:val="2BC938AC"/>
    <w:rsid w:val="2BCF6FEA"/>
    <w:rsid w:val="2BD57D58"/>
    <w:rsid w:val="2BD650E5"/>
    <w:rsid w:val="2BDB6BA0"/>
    <w:rsid w:val="2BDD1D57"/>
    <w:rsid w:val="2BE23A8A"/>
    <w:rsid w:val="2BE54C47"/>
    <w:rsid w:val="2BEC2335"/>
    <w:rsid w:val="2BEC4909"/>
    <w:rsid w:val="2BF0305D"/>
    <w:rsid w:val="2BF055DC"/>
    <w:rsid w:val="2BF65288"/>
    <w:rsid w:val="2C0859FB"/>
    <w:rsid w:val="2C153C69"/>
    <w:rsid w:val="2C1D4AC2"/>
    <w:rsid w:val="2C2440A3"/>
    <w:rsid w:val="2C264776"/>
    <w:rsid w:val="2C315A5A"/>
    <w:rsid w:val="2C335B67"/>
    <w:rsid w:val="2C4B1C25"/>
    <w:rsid w:val="2C714E0E"/>
    <w:rsid w:val="2C8D1C48"/>
    <w:rsid w:val="2C8D3363"/>
    <w:rsid w:val="2CA33F93"/>
    <w:rsid w:val="2CA70830"/>
    <w:rsid w:val="2CA72AF1"/>
    <w:rsid w:val="2CAD22EA"/>
    <w:rsid w:val="2CB03C75"/>
    <w:rsid w:val="2CB66CA9"/>
    <w:rsid w:val="2CBB3E45"/>
    <w:rsid w:val="2CBF0DFC"/>
    <w:rsid w:val="2CC00B40"/>
    <w:rsid w:val="2CC47634"/>
    <w:rsid w:val="2CC855DD"/>
    <w:rsid w:val="2CC86C41"/>
    <w:rsid w:val="2CF0667B"/>
    <w:rsid w:val="2CF63C91"/>
    <w:rsid w:val="2D020C43"/>
    <w:rsid w:val="2D0644E5"/>
    <w:rsid w:val="2D0F46AD"/>
    <w:rsid w:val="2D1C2FCC"/>
    <w:rsid w:val="2D222353"/>
    <w:rsid w:val="2D2D51D9"/>
    <w:rsid w:val="2D306A77"/>
    <w:rsid w:val="2D351C62"/>
    <w:rsid w:val="2D396595"/>
    <w:rsid w:val="2D3D2EDC"/>
    <w:rsid w:val="2D3E16EE"/>
    <w:rsid w:val="2D432443"/>
    <w:rsid w:val="2D4F59B5"/>
    <w:rsid w:val="2D517119"/>
    <w:rsid w:val="2D552E8F"/>
    <w:rsid w:val="2D686AC2"/>
    <w:rsid w:val="2D7050C6"/>
    <w:rsid w:val="2D716D25"/>
    <w:rsid w:val="2D7716EE"/>
    <w:rsid w:val="2D7B482E"/>
    <w:rsid w:val="2D7C3A6A"/>
    <w:rsid w:val="2D7C4DC9"/>
    <w:rsid w:val="2D8017AD"/>
    <w:rsid w:val="2D811081"/>
    <w:rsid w:val="2D856DC3"/>
    <w:rsid w:val="2D8C4723"/>
    <w:rsid w:val="2D8D7A26"/>
    <w:rsid w:val="2D902D6D"/>
    <w:rsid w:val="2D9E56F5"/>
    <w:rsid w:val="2DAA2DE5"/>
    <w:rsid w:val="2DAF3E40"/>
    <w:rsid w:val="2DB546B6"/>
    <w:rsid w:val="2DE61313"/>
    <w:rsid w:val="2DE94BBA"/>
    <w:rsid w:val="2DF16231"/>
    <w:rsid w:val="2E006A16"/>
    <w:rsid w:val="2E0473D1"/>
    <w:rsid w:val="2E0F3F33"/>
    <w:rsid w:val="2E165C6D"/>
    <w:rsid w:val="2E180E5B"/>
    <w:rsid w:val="2E185FAA"/>
    <w:rsid w:val="2E187C37"/>
    <w:rsid w:val="2E1B3283"/>
    <w:rsid w:val="2E1C5B2B"/>
    <w:rsid w:val="2E220AE3"/>
    <w:rsid w:val="2E34013B"/>
    <w:rsid w:val="2E364C2F"/>
    <w:rsid w:val="2E385BE3"/>
    <w:rsid w:val="2E450300"/>
    <w:rsid w:val="2E483BD5"/>
    <w:rsid w:val="2E5A0266"/>
    <w:rsid w:val="2E64260C"/>
    <w:rsid w:val="2E667F96"/>
    <w:rsid w:val="2E6D1023"/>
    <w:rsid w:val="2E6E5700"/>
    <w:rsid w:val="2E735FA2"/>
    <w:rsid w:val="2E756E38"/>
    <w:rsid w:val="2E8226AB"/>
    <w:rsid w:val="2E976711"/>
    <w:rsid w:val="2E982B26"/>
    <w:rsid w:val="2EB9021D"/>
    <w:rsid w:val="2EBA0CEE"/>
    <w:rsid w:val="2ED55B28"/>
    <w:rsid w:val="2ED753FC"/>
    <w:rsid w:val="2EE43FBD"/>
    <w:rsid w:val="2EE644C2"/>
    <w:rsid w:val="2EF67C47"/>
    <w:rsid w:val="2EFF0FAA"/>
    <w:rsid w:val="2F063F34"/>
    <w:rsid w:val="2F0F21C4"/>
    <w:rsid w:val="2F10505F"/>
    <w:rsid w:val="2F164660"/>
    <w:rsid w:val="2F197C32"/>
    <w:rsid w:val="2F1C3757"/>
    <w:rsid w:val="2F2C4026"/>
    <w:rsid w:val="2F2D326E"/>
    <w:rsid w:val="2F300FB0"/>
    <w:rsid w:val="2F324D29"/>
    <w:rsid w:val="2F371852"/>
    <w:rsid w:val="2F3960B7"/>
    <w:rsid w:val="2F422B76"/>
    <w:rsid w:val="2F5563CB"/>
    <w:rsid w:val="2F5D4FD4"/>
    <w:rsid w:val="2F5E7ADC"/>
    <w:rsid w:val="2F6D3FB3"/>
    <w:rsid w:val="2F7075FF"/>
    <w:rsid w:val="2F7D2FC4"/>
    <w:rsid w:val="2F8E5E34"/>
    <w:rsid w:val="2F9C21A2"/>
    <w:rsid w:val="2FA47EA9"/>
    <w:rsid w:val="2FB21103"/>
    <w:rsid w:val="2FB4500E"/>
    <w:rsid w:val="2FB83480"/>
    <w:rsid w:val="2FC30B74"/>
    <w:rsid w:val="2FC70511"/>
    <w:rsid w:val="2FCA31B3"/>
    <w:rsid w:val="2FCF07C9"/>
    <w:rsid w:val="2FCF4325"/>
    <w:rsid w:val="2FD065E6"/>
    <w:rsid w:val="2FD20FE8"/>
    <w:rsid w:val="2FD87C56"/>
    <w:rsid w:val="2FD96870"/>
    <w:rsid w:val="2FDC6A42"/>
    <w:rsid w:val="2FE14059"/>
    <w:rsid w:val="2FF12B23"/>
    <w:rsid w:val="2FF767FC"/>
    <w:rsid w:val="2FFB15BE"/>
    <w:rsid w:val="300559C4"/>
    <w:rsid w:val="300966D1"/>
    <w:rsid w:val="300C7328"/>
    <w:rsid w:val="30140059"/>
    <w:rsid w:val="302E38BD"/>
    <w:rsid w:val="3038636F"/>
    <w:rsid w:val="30564A47"/>
    <w:rsid w:val="30580BC9"/>
    <w:rsid w:val="305875FE"/>
    <w:rsid w:val="305A0495"/>
    <w:rsid w:val="305A7D48"/>
    <w:rsid w:val="305E00A1"/>
    <w:rsid w:val="30627A12"/>
    <w:rsid w:val="30651D38"/>
    <w:rsid w:val="30662EDC"/>
    <w:rsid w:val="30663BF6"/>
    <w:rsid w:val="306E1CCD"/>
    <w:rsid w:val="30703942"/>
    <w:rsid w:val="307F3F9D"/>
    <w:rsid w:val="30817D16"/>
    <w:rsid w:val="309A2B85"/>
    <w:rsid w:val="30A47560"/>
    <w:rsid w:val="30AE21CD"/>
    <w:rsid w:val="30B04A42"/>
    <w:rsid w:val="30B67293"/>
    <w:rsid w:val="30BC0D4E"/>
    <w:rsid w:val="30C65728"/>
    <w:rsid w:val="30D26850"/>
    <w:rsid w:val="30ED4178"/>
    <w:rsid w:val="30F4744C"/>
    <w:rsid w:val="30FA783A"/>
    <w:rsid w:val="30FC4126"/>
    <w:rsid w:val="30FE2C27"/>
    <w:rsid w:val="31095EC7"/>
    <w:rsid w:val="31124E12"/>
    <w:rsid w:val="31155262"/>
    <w:rsid w:val="31180235"/>
    <w:rsid w:val="311961A0"/>
    <w:rsid w:val="31197F4E"/>
    <w:rsid w:val="311E2ED7"/>
    <w:rsid w:val="31212557"/>
    <w:rsid w:val="312E59CC"/>
    <w:rsid w:val="31323639"/>
    <w:rsid w:val="31335077"/>
    <w:rsid w:val="313D4B16"/>
    <w:rsid w:val="313E1763"/>
    <w:rsid w:val="3146704B"/>
    <w:rsid w:val="3150452F"/>
    <w:rsid w:val="315619EE"/>
    <w:rsid w:val="315C449C"/>
    <w:rsid w:val="315D61AF"/>
    <w:rsid w:val="315E00D7"/>
    <w:rsid w:val="31696398"/>
    <w:rsid w:val="3179375F"/>
    <w:rsid w:val="317C672F"/>
    <w:rsid w:val="31840767"/>
    <w:rsid w:val="31981BB8"/>
    <w:rsid w:val="31992E3D"/>
    <w:rsid w:val="319E6025"/>
    <w:rsid w:val="31A46F31"/>
    <w:rsid w:val="31A529A8"/>
    <w:rsid w:val="31A8186E"/>
    <w:rsid w:val="31A9329D"/>
    <w:rsid w:val="31A97CD4"/>
    <w:rsid w:val="31B04B94"/>
    <w:rsid w:val="31B31066"/>
    <w:rsid w:val="31B82709"/>
    <w:rsid w:val="31C6581B"/>
    <w:rsid w:val="31C7080D"/>
    <w:rsid w:val="31CE34E0"/>
    <w:rsid w:val="31D05482"/>
    <w:rsid w:val="31EA18EB"/>
    <w:rsid w:val="31EA2B3A"/>
    <w:rsid w:val="31F2254D"/>
    <w:rsid w:val="31F542FA"/>
    <w:rsid w:val="31F938DC"/>
    <w:rsid w:val="32100587"/>
    <w:rsid w:val="32143220"/>
    <w:rsid w:val="32193F7E"/>
    <w:rsid w:val="321E5FF6"/>
    <w:rsid w:val="32332F77"/>
    <w:rsid w:val="32395861"/>
    <w:rsid w:val="32400B34"/>
    <w:rsid w:val="32527C28"/>
    <w:rsid w:val="32537490"/>
    <w:rsid w:val="32562ADC"/>
    <w:rsid w:val="32655415"/>
    <w:rsid w:val="32780CA4"/>
    <w:rsid w:val="3279330C"/>
    <w:rsid w:val="328B6984"/>
    <w:rsid w:val="32940D38"/>
    <w:rsid w:val="32974B1E"/>
    <w:rsid w:val="329E6876"/>
    <w:rsid w:val="329F0927"/>
    <w:rsid w:val="32A23F73"/>
    <w:rsid w:val="32B83797"/>
    <w:rsid w:val="32BF68D3"/>
    <w:rsid w:val="32C25636"/>
    <w:rsid w:val="32C70234"/>
    <w:rsid w:val="32E7604E"/>
    <w:rsid w:val="32EA32BE"/>
    <w:rsid w:val="32EE4E41"/>
    <w:rsid w:val="32F552E6"/>
    <w:rsid w:val="32FD11AA"/>
    <w:rsid w:val="330313D6"/>
    <w:rsid w:val="330B7D6A"/>
    <w:rsid w:val="3317670F"/>
    <w:rsid w:val="331A1D5C"/>
    <w:rsid w:val="3322765C"/>
    <w:rsid w:val="33291F9F"/>
    <w:rsid w:val="332B3F69"/>
    <w:rsid w:val="333015F2"/>
    <w:rsid w:val="33397B08"/>
    <w:rsid w:val="333C6AF0"/>
    <w:rsid w:val="334B6320"/>
    <w:rsid w:val="33510638"/>
    <w:rsid w:val="33541711"/>
    <w:rsid w:val="335433FB"/>
    <w:rsid w:val="33573ADC"/>
    <w:rsid w:val="33644712"/>
    <w:rsid w:val="336E77BA"/>
    <w:rsid w:val="336F4A7A"/>
    <w:rsid w:val="33745910"/>
    <w:rsid w:val="33812F3E"/>
    <w:rsid w:val="338B2C59"/>
    <w:rsid w:val="339551E4"/>
    <w:rsid w:val="339A61A5"/>
    <w:rsid w:val="339B7340"/>
    <w:rsid w:val="33A25057"/>
    <w:rsid w:val="33AB32FB"/>
    <w:rsid w:val="33AB7C11"/>
    <w:rsid w:val="33B0446E"/>
    <w:rsid w:val="33BD3E8D"/>
    <w:rsid w:val="33C01BEE"/>
    <w:rsid w:val="33C175E5"/>
    <w:rsid w:val="33D32127"/>
    <w:rsid w:val="33D934D4"/>
    <w:rsid w:val="33E04D53"/>
    <w:rsid w:val="33E660E2"/>
    <w:rsid w:val="33E81E5A"/>
    <w:rsid w:val="33EA5BD2"/>
    <w:rsid w:val="33F20F2A"/>
    <w:rsid w:val="33F2738A"/>
    <w:rsid w:val="33F425AD"/>
    <w:rsid w:val="33FB1B8D"/>
    <w:rsid w:val="33FC5905"/>
    <w:rsid w:val="33FD4052"/>
    <w:rsid w:val="33FD5952"/>
    <w:rsid w:val="33FE2F6A"/>
    <w:rsid w:val="340A6274"/>
    <w:rsid w:val="340D18C0"/>
    <w:rsid w:val="340E07E5"/>
    <w:rsid w:val="34235BF7"/>
    <w:rsid w:val="343155AF"/>
    <w:rsid w:val="34455FD0"/>
    <w:rsid w:val="344C6560"/>
    <w:rsid w:val="344D38FB"/>
    <w:rsid w:val="345455EF"/>
    <w:rsid w:val="34711390"/>
    <w:rsid w:val="347924B2"/>
    <w:rsid w:val="347B2CCE"/>
    <w:rsid w:val="34937488"/>
    <w:rsid w:val="34967B08"/>
    <w:rsid w:val="349D50CE"/>
    <w:rsid w:val="34A07801"/>
    <w:rsid w:val="34AD785D"/>
    <w:rsid w:val="34B00BC9"/>
    <w:rsid w:val="34B15BC4"/>
    <w:rsid w:val="34B23AF0"/>
    <w:rsid w:val="34C05737"/>
    <w:rsid w:val="34CA7346"/>
    <w:rsid w:val="34CB6555"/>
    <w:rsid w:val="34E95E89"/>
    <w:rsid w:val="34F211E2"/>
    <w:rsid w:val="34FE6990"/>
    <w:rsid w:val="34FF745B"/>
    <w:rsid w:val="35047679"/>
    <w:rsid w:val="35101668"/>
    <w:rsid w:val="351078BA"/>
    <w:rsid w:val="351675A7"/>
    <w:rsid w:val="35186134"/>
    <w:rsid w:val="351B1DBB"/>
    <w:rsid w:val="352512DA"/>
    <w:rsid w:val="352767AD"/>
    <w:rsid w:val="35335357"/>
    <w:rsid w:val="354237EC"/>
    <w:rsid w:val="3542559A"/>
    <w:rsid w:val="354B02AA"/>
    <w:rsid w:val="354D6418"/>
    <w:rsid w:val="354E2190"/>
    <w:rsid w:val="354F3569"/>
    <w:rsid w:val="355F7307"/>
    <w:rsid w:val="35675D50"/>
    <w:rsid w:val="356942D9"/>
    <w:rsid w:val="35843E04"/>
    <w:rsid w:val="358B0CEF"/>
    <w:rsid w:val="358C5FA8"/>
    <w:rsid w:val="3592788E"/>
    <w:rsid w:val="35945A4C"/>
    <w:rsid w:val="359A7184"/>
    <w:rsid w:val="359E6ED1"/>
    <w:rsid w:val="35AC739A"/>
    <w:rsid w:val="35AE1D1F"/>
    <w:rsid w:val="35B02FCC"/>
    <w:rsid w:val="35B840F5"/>
    <w:rsid w:val="35C15DF1"/>
    <w:rsid w:val="35C366DA"/>
    <w:rsid w:val="35CB1A33"/>
    <w:rsid w:val="35E72F3B"/>
    <w:rsid w:val="35EB3E83"/>
    <w:rsid w:val="35ED7BFB"/>
    <w:rsid w:val="35F333F3"/>
    <w:rsid w:val="35F97693"/>
    <w:rsid w:val="35FA5E74"/>
    <w:rsid w:val="35FE794A"/>
    <w:rsid w:val="35FF023F"/>
    <w:rsid w:val="3606056A"/>
    <w:rsid w:val="36074A7F"/>
    <w:rsid w:val="3608233F"/>
    <w:rsid w:val="361138EA"/>
    <w:rsid w:val="36114676"/>
    <w:rsid w:val="36146F36"/>
    <w:rsid w:val="3621428E"/>
    <w:rsid w:val="36274EBB"/>
    <w:rsid w:val="36320D96"/>
    <w:rsid w:val="36404E58"/>
    <w:rsid w:val="36436FC1"/>
    <w:rsid w:val="365437D6"/>
    <w:rsid w:val="365657A0"/>
    <w:rsid w:val="366942E0"/>
    <w:rsid w:val="366B6BA4"/>
    <w:rsid w:val="366F6862"/>
    <w:rsid w:val="367E6394"/>
    <w:rsid w:val="368D4C60"/>
    <w:rsid w:val="36923549"/>
    <w:rsid w:val="36A45CC3"/>
    <w:rsid w:val="36AB21B2"/>
    <w:rsid w:val="36AE6D6F"/>
    <w:rsid w:val="36B204FD"/>
    <w:rsid w:val="36B27C8C"/>
    <w:rsid w:val="36B75FBF"/>
    <w:rsid w:val="36BB1AA7"/>
    <w:rsid w:val="36BD0C45"/>
    <w:rsid w:val="36C538ED"/>
    <w:rsid w:val="36CC15BF"/>
    <w:rsid w:val="36CE0365"/>
    <w:rsid w:val="36DE12F2"/>
    <w:rsid w:val="36E44B5A"/>
    <w:rsid w:val="36F34D9D"/>
    <w:rsid w:val="36F47456"/>
    <w:rsid w:val="36F57480"/>
    <w:rsid w:val="36F6488E"/>
    <w:rsid w:val="37074CED"/>
    <w:rsid w:val="371B6623"/>
    <w:rsid w:val="37211E42"/>
    <w:rsid w:val="37350681"/>
    <w:rsid w:val="373F5B49"/>
    <w:rsid w:val="373F7FE3"/>
    <w:rsid w:val="374B0011"/>
    <w:rsid w:val="374D6BA3"/>
    <w:rsid w:val="375B79FE"/>
    <w:rsid w:val="376164C5"/>
    <w:rsid w:val="37623D16"/>
    <w:rsid w:val="376E1120"/>
    <w:rsid w:val="377061D8"/>
    <w:rsid w:val="37881E3B"/>
    <w:rsid w:val="37904CE2"/>
    <w:rsid w:val="37924143"/>
    <w:rsid w:val="37965B99"/>
    <w:rsid w:val="37985207"/>
    <w:rsid w:val="379C71E3"/>
    <w:rsid w:val="37A1605D"/>
    <w:rsid w:val="37B26A07"/>
    <w:rsid w:val="37BD2D21"/>
    <w:rsid w:val="37BD53AB"/>
    <w:rsid w:val="37BF2ED1"/>
    <w:rsid w:val="37C57E88"/>
    <w:rsid w:val="37C73BA5"/>
    <w:rsid w:val="37DF17C6"/>
    <w:rsid w:val="37E00298"/>
    <w:rsid w:val="37E1109A"/>
    <w:rsid w:val="37EA2644"/>
    <w:rsid w:val="37ED7A3F"/>
    <w:rsid w:val="37EF68D7"/>
    <w:rsid w:val="37F0752F"/>
    <w:rsid w:val="37FF285A"/>
    <w:rsid w:val="38003C16"/>
    <w:rsid w:val="38035225"/>
    <w:rsid w:val="3809239F"/>
    <w:rsid w:val="380C37CA"/>
    <w:rsid w:val="381274A5"/>
    <w:rsid w:val="38147D73"/>
    <w:rsid w:val="381551E7"/>
    <w:rsid w:val="381655C7"/>
    <w:rsid w:val="381A354D"/>
    <w:rsid w:val="382E42A9"/>
    <w:rsid w:val="383218F5"/>
    <w:rsid w:val="38350AB6"/>
    <w:rsid w:val="383A485D"/>
    <w:rsid w:val="38525497"/>
    <w:rsid w:val="385C27F8"/>
    <w:rsid w:val="385C4BC4"/>
    <w:rsid w:val="385F126F"/>
    <w:rsid w:val="38613938"/>
    <w:rsid w:val="386677F1"/>
    <w:rsid w:val="38721645"/>
    <w:rsid w:val="38752FDC"/>
    <w:rsid w:val="387C659E"/>
    <w:rsid w:val="388859B9"/>
    <w:rsid w:val="388D4D7E"/>
    <w:rsid w:val="38944568"/>
    <w:rsid w:val="38966328"/>
    <w:rsid w:val="389E342F"/>
    <w:rsid w:val="389E65BE"/>
    <w:rsid w:val="38A03AAA"/>
    <w:rsid w:val="38A253C1"/>
    <w:rsid w:val="38B302F9"/>
    <w:rsid w:val="38BD1B07"/>
    <w:rsid w:val="38BF6910"/>
    <w:rsid w:val="38C8225A"/>
    <w:rsid w:val="38E5105E"/>
    <w:rsid w:val="38E52E0C"/>
    <w:rsid w:val="38E56C38"/>
    <w:rsid w:val="38F12CD3"/>
    <w:rsid w:val="38F94775"/>
    <w:rsid w:val="38FC13E4"/>
    <w:rsid w:val="38FE3030"/>
    <w:rsid w:val="39031C39"/>
    <w:rsid w:val="39054EF9"/>
    <w:rsid w:val="3905525C"/>
    <w:rsid w:val="39081A3C"/>
    <w:rsid w:val="390A2872"/>
    <w:rsid w:val="39121996"/>
    <w:rsid w:val="39194863"/>
    <w:rsid w:val="391D37F4"/>
    <w:rsid w:val="391D5153"/>
    <w:rsid w:val="392971ED"/>
    <w:rsid w:val="39316051"/>
    <w:rsid w:val="39325651"/>
    <w:rsid w:val="393E6F4D"/>
    <w:rsid w:val="39445D84"/>
    <w:rsid w:val="39534219"/>
    <w:rsid w:val="39597B8B"/>
    <w:rsid w:val="395A1104"/>
    <w:rsid w:val="395F671A"/>
    <w:rsid w:val="396C4616"/>
    <w:rsid w:val="39706AE9"/>
    <w:rsid w:val="398048E2"/>
    <w:rsid w:val="398B5761"/>
    <w:rsid w:val="398B73FB"/>
    <w:rsid w:val="39924D42"/>
    <w:rsid w:val="399D0E23"/>
    <w:rsid w:val="39A56474"/>
    <w:rsid w:val="39A57B6A"/>
    <w:rsid w:val="39A64349"/>
    <w:rsid w:val="39B16BC8"/>
    <w:rsid w:val="39BF540B"/>
    <w:rsid w:val="39C23078"/>
    <w:rsid w:val="39C5595C"/>
    <w:rsid w:val="39C90037"/>
    <w:rsid w:val="39CC5B00"/>
    <w:rsid w:val="39CE1AF2"/>
    <w:rsid w:val="39F42109"/>
    <w:rsid w:val="39F53B8F"/>
    <w:rsid w:val="39FC68ED"/>
    <w:rsid w:val="39FD5F33"/>
    <w:rsid w:val="3A043503"/>
    <w:rsid w:val="3A053765"/>
    <w:rsid w:val="3A086DB2"/>
    <w:rsid w:val="3A0D6176"/>
    <w:rsid w:val="3A121F97"/>
    <w:rsid w:val="3A125E82"/>
    <w:rsid w:val="3A241712"/>
    <w:rsid w:val="3A3064DA"/>
    <w:rsid w:val="3A430DC5"/>
    <w:rsid w:val="3A4658D4"/>
    <w:rsid w:val="3A5169AB"/>
    <w:rsid w:val="3A541FF7"/>
    <w:rsid w:val="3A6211D4"/>
    <w:rsid w:val="3A6364C3"/>
    <w:rsid w:val="3A6C14C9"/>
    <w:rsid w:val="3A7353B1"/>
    <w:rsid w:val="3A7B0C11"/>
    <w:rsid w:val="3A7C32FC"/>
    <w:rsid w:val="3A8211AE"/>
    <w:rsid w:val="3A872856"/>
    <w:rsid w:val="3A900B55"/>
    <w:rsid w:val="3A960861"/>
    <w:rsid w:val="3A9E6261"/>
    <w:rsid w:val="3AA70768"/>
    <w:rsid w:val="3AA9208D"/>
    <w:rsid w:val="3AD13648"/>
    <w:rsid w:val="3AF235BE"/>
    <w:rsid w:val="3B0012C4"/>
    <w:rsid w:val="3B005CDB"/>
    <w:rsid w:val="3B0155DE"/>
    <w:rsid w:val="3B0A0908"/>
    <w:rsid w:val="3B0F5F1E"/>
    <w:rsid w:val="3B1023F0"/>
    <w:rsid w:val="3B133278"/>
    <w:rsid w:val="3B166583"/>
    <w:rsid w:val="3B255741"/>
    <w:rsid w:val="3B36797A"/>
    <w:rsid w:val="3B3763D1"/>
    <w:rsid w:val="3B385475"/>
    <w:rsid w:val="3B3E6803"/>
    <w:rsid w:val="3B467EF9"/>
    <w:rsid w:val="3B6224F2"/>
    <w:rsid w:val="3B657D03"/>
    <w:rsid w:val="3B697D24"/>
    <w:rsid w:val="3B732951"/>
    <w:rsid w:val="3B7566C9"/>
    <w:rsid w:val="3B827BDE"/>
    <w:rsid w:val="3B957F33"/>
    <w:rsid w:val="3B9F6CB9"/>
    <w:rsid w:val="3BB70A8F"/>
    <w:rsid w:val="3BC907C3"/>
    <w:rsid w:val="3BE270D8"/>
    <w:rsid w:val="3BE359B1"/>
    <w:rsid w:val="3BE9676F"/>
    <w:rsid w:val="3BED084C"/>
    <w:rsid w:val="3C011D0B"/>
    <w:rsid w:val="3C03254E"/>
    <w:rsid w:val="3C2F6E1E"/>
    <w:rsid w:val="3C495460"/>
    <w:rsid w:val="3C4D2A85"/>
    <w:rsid w:val="3C4D4F50"/>
    <w:rsid w:val="3C4D75ED"/>
    <w:rsid w:val="3C4F64BA"/>
    <w:rsid w:val="3C520998"/>
    <w:rsid w:val="3C6504EB"/>
    <w:rsid w:val="3C664263"/>
    <w:rsid w:val="3C72337D"/>
    <w:rsid w:val="3C7626F9"/>
    <w:rsid w:val="3C771FCD"/>
    <w:rsid w:val="3C793F97"/>
    <w:rsid w:val="3C814BF9"/>
    <w:rsid w:val="3C9618BF"/>
    <w:rsid w:val="3C990195"/>
    <w:rsid w:val="3C9E39FD"/>
    <w:rsid w:val="3C9F2FFD"/>
    <w:rsid w:val="3CA071E9"/>
    <w:rsid w:val="3CA879DC"/>
    <w:rsid w:val="3CB535AB"/>
    <w:rsid w:val="3CB74030"/>
    <w:rsid w:val="3CB833C5"/>
    <w:rsid w:val="3CBC20D5"/>
    <w:rsid w:val="3CD45671"/>
    <w:rsid w:val="3CDA245A"/>
    <w:rsid w:val="3CDD2FA9"/>
    <w:rsid w:val="3CE2519F"/>
    <w:rsid w:val="3CEC29BB"/>
    <w:rsid w:val="3CEC4769"/>
    <w:rsid w:val="3CED228F"/>
    <w:rsid w:val="3CF123B8"/>
    <w:rsid w:val="3CF63839"/>
    <w:rsid w:val="3D1E069A"/>
    <w:rsid w:val="3D1E06B7"/>
    <w:rsid w:val="3D204412"/>
    <w:rsid w:val="3D2739F3"/>
    <w:rsid w:val="3D33006A"/>
    <w:rsid w:val="3D3E3E5A"/>
    <w:rsid w:val="3D42082D"/>
    <w:rsid w:val="3D42139F"/>
    <w:rsid w:val="3D4359D0"/>
    <w:rsid w:val="3D5805CA"/>
    <w:rsid w:val="3D58666B"/>
    <w:rsid w:val="3D606AA5"/>
    <w:rsid w:val="3D734E8A"/>
    <w:rsid w:val="3D801355"/>
    <w:rsid w:val="3D864BBD"/>
    <w:rsid w:val="3D8C5E44"/>
    <w:rsid w:val="3D8D3082"/>
    <w:rsid w:val="3D8F3346"/>
    <w:rsid w:val="3D990D6A"/>
    <w:rsid w:val="3D9B1CEB"/>
    <w:rsid w:val="3DA74B34"/>
    <w:rsid w:val="3DB30706"/>
    <w:rsid w:val="3DB95358"/>
    <w:rsid w:val="3DC37AA7"/>
    <w:rsid w:val="3DC75442"/>
    <w:rsid w:val="3DD11E4B"/>
    <w:rsid w:val="3DE4322C"/>
    <w:rsid w:val="3DE82E2C"/>
    <w:rsid w:val="3DEB768D"/>
    <w:rsid w:val="3DF34475"/>
    <w:rsid w:val="3DF7311B"/>
    <w:rsid w:val="3E105481"/>
    <w:rsid w:val="3E157C8F"/>
    <w:rsid w:val="3E2D328B"/>
    <w:rsid w:val="3E2F0FFD"/>
    <w:rsid w:val="3E35493E"/>
    <w:rsid w:val="3E356667"/>
    <w:rsid w:val="3E3C527C"/>
    <w:rsid w:val="3E5D2BF2"/>
    <w:rsid w:val="3E5E683B"/>
    <w:rsid w:val="3E6138B5"/>
    <w:rsid w:val="3E647917"/>
    <w:rsid w:val="3E6D24F0"/>
    <w:rsid w:val="3E7F6A62"/>
    <w:rsid w:val="3E89595D"/>
    <w:rsid w:val="3E965B08"/>
    <w:rsid w:val="3EA008B3"/>
    <w:rsid w:val="3EA07E1B"/>
    <w:rsid w:val="3EA17E71"/>
    <w:rsid w:val="3EC3599D"/>
    <w:rsid w:val="3ECB2EE3"/>
    <w:rsid w:val="3ECF7E9E"/>
    <w:rsid w:val="3EDA0523"/>
    <w:rsid w:val="3EF11795"/>
    <w:rsid w:val="3EF62EEE"/>
    <w:rsid w:val="3EF86738"/>
    <w:rsid w:val="3EFC4B75"/>
    <w:rsid w:val="3F011D7C"/>
    <w:rsid w:val="3F034E6B"/>
    <w:rsid w:val="3F047743"/>
    <w:rsid w:val="3F0F243E"/>
    <w:rsid w:val="3F1C1543"/>
    <w:rsid w:val="3F2E70A0"/>
    <w:rsid w:val="3F310B59"/>
    <w:rsid w:val="3F3A73D5"/>
    <w:rsid w:val="3F427B03"/>
    <w:rsid w:val="3F5B3E28"/>
    <w:rsid w:val="3F60143E"/>
    <w:rsid w:val="3F6A1A0F"/>
    <w:rsid w:val="3F6B7328"/>
    <w:rsid w:val="3F88629F"/>
    <w:rsid w:val="3F8E6000"/>
    <w:rsid w:val="3F9256DA"/>
    <w:rsid w:val="3F9D4D39"/>
    <w:rsid w:val="3FA27361"/>
    <w:rsid w:val="3FA532F5"/>
    <w:rsid w:val="3FAB7906"/>
    <w:rsid w:val="3FBF2D59"/>
    <w:rsid w:val="3FD61700"/>
    <w:rsid w:val="3FD876AD"/>
    <w:rsid w:val="3FD97768"/>
    <w:rsid w:val="3FDF2363"/>
    <w:rsid w:val="3FDF6807"/>
    <w:rsid w:val="3FE21E53"/>
    <w:rsid w:val="3FE97350"/>
    <w:rsid w:val="3FF04570"/>
    <w:rsid w:val="3FF10FC3"/>
    <w:rsid w:val="3FFF23AE"/>
    <w:rsid w:val="4005765D"/>
    <w:rsid w:val="40077B0C"/>
    <w:rsid w:val="400F53D1"/>
    <w:rsid w:val="401376B8"/>
    <w:rsid w:val="401A6052"/>
    <w:rsid w:val="401F64C6"/>
    <w:rsid w:val="403C5A07"/>
    <w:rsid w:val="404B7D3C"/>
    <w:rsid w:val="404D1BD9"/>
    <w:rsid w:val="404E573A"/>
    <w:rsid w:val="405014B2"/>
    <w:rsid w:val="40613DD6"/>
    <w:rsid w:val="406C1C29"/>
    <w:rsid w:val="406E36E7"/>
    <w:rsid w:val="407056B1"/>
    <w:rsid w:val="407A6407"/>
    <w:rsid w:val="408B6047"/>
    <w:rsid w:val="408D2120"/>
    <w:rsid w:val="40A43749"/>
    <w:rsid w:val="40AD06B3"/>
    <w:rsid w:val="40B557B9"/>
    <w:rsid w:val="40B732E0"/>
    <w:rsid w:val="40BA692C"/>
    <w:rsid w:val="40BE4EA8"/>
    <w:rsid w:val="40C007B5"/>
    <w:rsid w:val="40C94F7D"/>
    <w:rsid w:val="40CF6F9D"/>
    <w:rsid w:val="40D75730"/>
    <w:rsid w:val="40D82DFB"/>
    <w:rsid w:val="40DA536F"/>
    <w:rsid w:val="40DD3E56"/>
    <w:rsid w:val="40EF7040"/>
    <w:rsid w:val="40F5144D"/>
    <w:rsid w:val="40F736DC"/>
    <w:rsid w:val="410F4ECA"/>
    <w:rsid w:val="41112F31"/>
    <w:rsid w:val="41152792"/>
    <w:rsid w:val="411C75E7"/>
    <w:rsid w:val="4121316A"/>
    <w:rsid w:val="41262559"/>
    <w:rsid w:val="41340DE3"/>
    <w:rsid w:val="41354039"/>
    <w:rsid w:val="41436921"/>
    <w:rsid w:val="416A4B13"/>
    <w:rsid w:val="41725B1F"/>
    <w:rsid w:val="41745234"/>
    <w:rsid w:val="417711F9"/>
    <w:rsid w:val="41792343"/>
    <w:rsid w:val="417B430D"/>
    <w:rsid w:val="41846938"/>
    <w:rsid w:val="41855DEB"/>
    <w:rsid w:val="418971FE"/>
    <w:rsid w:val="418B281B"/>
    <w:rsid w:val="41921F93"/>
    <w:rsid w:val="41946703"/>
    <w:rsid w:val="41962EF5"/>
    <w:rsid w:val="41990C37"/>
    <w:rsid w:val="41A05B22"/>
    <w:rsid w:val="41A16EF8"/>
    <w:rsid w:val="41A76CDF"/>
    <w:rsid w:val="41BB295C"/>
    <w:rsid w:val="41D71CB4"/>
    <w:rsid w:val="41DD0B24"/>
    <w:rsid w:val="41E974C9"/>
    <w:rsid w:val="41EF5AF8"/>
    <w:rsid w:val="41FA1819"/>
    <w:rsid w:val="41FE2D05"/>
    <w:rsid w:val="4200449D"/>
    <w:rsid w:val="420D6D17"/>
    <w:rsid w:val="421C08C4"/>
    <w:rsid w:val="423050F8"/>
    <w:rsid w:val="42366486"/>
    <w:rsid w:val="423767DE"/>
    <w:rsid w:val="423A3BCC"/>
    <w:rsid w:val="42453CD6"/>
    <w:rsid w:val="42474B5E"/>
    <w:rsid w:val="4248180C"/>
    <w:rsid w:val="42497F67"/>
    <w:rsid w:val="424E557E"/>
    <w:rsid w:val="424E57D2"/>
    <w:rsid w:val="426054F5"/>
    <w:rsid w:val="426C1EA8"/>
    <w:rsid w:val="428528C8"/>
    <w:rsid w:val="4286253F"/>
    <w:rsid w:val="42986C86"/>
    <w:rsid w:val="42997141"/>
    <w:rsid w:val="42A55EFB"/>
    <w:rsid w:val="42A978DE"/>
    <w:rsid w:val="42AA008F"/>
    <w:rsid w:val="42B21FB1"/>
    <w:rsid w:val="42B26C49"/>
    <w:rsid w:val="42B4045B"/>
    <w:rsid w:val="42BC698B"/>
    <w:rsid w:val="42C341BE"/>
    <w:rsid w:val="42C457F9"/>
    <w:rsid w:val="42C533B7"/>
    <w:rsid w:val="42C61805"/>
    <w:rsid w:val="42D27F5D"/>
    <w:rsid w:val="42D32094"/>
    <w:rsid w:val="42E14644"/>
    <w:rsid w:val="43010842"/>
    <w:rsid w:val="43014CE6"/>
    <w:rsid w:val="430976F7"/>
    <w:rsid w:val="430C0EA1"/>
    <w:rsid w:val="4316388F"/>
    <w:rsid w:val="4320545D"/>
    <w:rsid w:val="43212410"/>
    <w:rsid w:val="432B5499"/>
    <w:rsid w:val="433A6FE6"/>
    <w:rsid w:val="433D41A4"/>
    <w:rsid w:val="43480868"/>
    <w:rsid w:val="434872BD"/>
    <w:rsid w:val="43496E1B"/>
    <w:rsid w:val="4350713C"/>
    <w:rsid w:val="43544E16"/>
    <w:rsid w:val="435A0EBC"/>
    <w:rsid w:val="435B5CBF"/>
    <w:rsid w:val="43650DD1"/>
    <w:rsid w:val="436653E0"/>
    <w:rsid w:val="43686B13"/>
    <w:rsid w:val="43765547"/>
    <w:rsid w:val="437948D5"/>
    <w:rsid w:val="437A746F"/>
    <w:rsid w:val="437C5F89"/>
    <w:rsid w:val="438A6A89"/>
    <w:rsid w:val="438C0FB9"/>
    <w:rsid w:val="43911BC6"/>
    <w:rsid w:val="43C0061F"/>
    <w:rsid w:val="43C4431A"/>
    <w:rsid w:val="43C77098"/>
    <w:rsid w:val="43D35C5C"/>
    <w:rsid w:val="43DA5BF7"/>
    <w:rsid w:val="43F12A64"/>
    <w:rsid w:val="43FB1735"/>
    <w:rsid w:val="44023BE2"/>
    <w:rsid w:val="4420119C"/>
    <w:rsid w:val="44256448"/>
    <w:rsid w:val="44256E7E"/>
    <w:rsid w:val="44316F05"/>
    <w:rsid w:val="44330ECF"/>
    <w:rsid w:val="4436451B"/>
    <w:rsid w:val="44366C11"/>
    <w:rsid w:val="443A301F"/>
    <w:rsid w:val="443E3D0E"/>
    <w:rsid w:val="44440AC8"/>
    <w:rsid w:val="44476729"/>
    <w:rsid w:val="445E36E4"/>
    <w:rsid w:val="445F1CC4"/>
    <w:rsid w:val="44641089"/>
    <w:rsid w:val="446E340C"/>
    <w:rsid w:val="44737644"/>
    <w:rsid w:val="4475773A"/>
    <w:rsid w:val="447755E0"/>
    <w:rsid w:val="44823C05"/>
    <w:rsid w:val="44827331"/>
    <w:rsid w:val="449142D7"/>
    <w:rsid w:val="44953EA0"/>
    <w:rsid w:val="4497145E"/>
    <w:rsid w:val="449A2A56"/>
    <w:rsid w:val="44A47D6C"/>
    <w:rsid w:val="44A97A63"/>
    <w:rsid w:val="44B951CC"/>
    <w:rsid w:val="44BC2C73"/>
    <w:rsid w:val="44CD14E0"/>
    <w:rsid w:val="44E62BD2"/>
    <w:rsid w:val="44E653A2"/>
    <w:rsid w:val="44F20B0B"/>
    <w:rsid w:val="44F248E6"/>
    <w:rsid w:val="44FC5765"/>
    <w:rsid w:val="44FF7003"/>
    <w:rsid w:val="45060392"/>
    <w:rsid w:val="450B1E4C"/>
    <w:rsid w:val="450B59A8"/>
    <w:rsid w:val="450C74F7"/>
    <w:rsid w:val="45126D36"/>
    <w:rsid w:val="451C1963"/>
    <w:rsid w:val="451C5E07"/>
    <w:rsid w:val="451D7AD2"/>
    <w:rsid w:val="451E7EF2"/>
    <w:rsid w:val="45244CBC"/>
    <w:rsid w:val="45273A9E"/>
    <w:rsid w:val="452E5F4C"/>
    <w:rsid w:val="452F48BE"/>
    <w:rsid w:val="453F13DB"/>
    <w:rsid w:val="453F19DF"/>
    <w:rsid w:val="454B2248"/>
    <w:rsid w:val="454E58A2"/>
    <w:rsid w:val="45521B04"/>
    <w:rsid w:val="45542CAD"/>
    <w:rsid w:val="4554734F"/>
    <w:rsid w:val="4558401B"/>
    <w:rsid w:val="455B44F1"/>
    <w:rsid w:val="45612018"/>
    <w:rsid w:val="45633400"/>
    <w:rsid w:val="45667082"/>
    <w:rsid w:val="457F1EF2"/>
    <w:rsid w:val="458946E9"/>
    <w:rsid w:val="45A47C0E"/>
    <w:rsid w:val="45C02133"/>
    <w:rsid w:val="45C20E97"/>
    <w:rsid w:val="45C96445"/>
    <w:rsid w:val="45D264C6"/>
    <w:rsid w:val="45D53FC7"/>
    <w:rsid w:val="45D94A55"/>
    <w:rsid w:val="45E50A38"/>
    <w:rsid w:val="45E963C3"/>
    <w:rsid w:val="45FC1A28"/>
    <w:rsid w:val="46005050"/>
    <w:rsid w:val="46066621"/>
    <w:rsid w:val="460B32B4"/>
    <w:rsid w:val="46166688"/>
    <w:rsid w:val="463673DA"/>
    <w:rsid w:val="464F482D"/>
    <w:rsid w:val="46577FD6"/>
    <w:rsid w:val="46721C8F"/>
    <w:rsid w:val="46733805"/>
    <w:rsid w:val="4675744D"/>
    <w:rsid w:val="467F03FC"/>
    <w:rsid w:val="46805AC2"/>
    <w:rsid w:val="4685777B"/>
    <w:rsid w:val="469814BD"/>
    <w:rsid w:val="46992CFA"/>
    <w:rsid w:val="46A871B4"/>
    <w:rsid w:val="46A90959"/>
    <w:rsid w:val="46AC31BB"/>
    <w:rsid w:val="46C44EAA"/>
    <w:rsid w:val="46CB53EF"/>
    <w:rsid w:val="46D01624"/>
    <w:rsid w:val="46D2394D"/>
    <w:rsid w:val="46D955A7"/>
    <w:rsid w:val="46E968E9"/>
    <w:rsid w:val="46ED3F40"/>
    <w:rsid w:val="47056131"/>
    <w:rsid w:val="470E1780"/>
    <w:rsid w:val="47131671"/>
    <w:rsid w:val="47133957"/>
    <w:rsid w:val="47152F4B"/>
    <w:rsid w:val="471827B0"/>
    <w:rsid w:val="472907E5"/>
    <w:rsid w:val="47341089"/>
    <w:rsid w:val="47392CA0"/>
    <w:rsid w:val="473B007B"/>
    <w:rsid w:val="4741387D"/>
    <w:rsid w:val="47477AFA"/>
    <w:rsid w:val="475950F1"/>
    <w:rsid w:val="475A2C17"/>
    <w:rsid w:val="478D4D9A"/>
    <w:rsid w:val="479F062A"/>
    <w:rsid w:val="47A07E0C"/>
    <w:rsid w:val="47A3653C"/>
    <w:rsid w:val="47A53E92"/>
    <w:rsid w:val="47A6155C"/>
    <w:rsid w:val="47AA76FA"/>
    <w:rsid w:val="47AD50F4"/>
    <w:rsid w:val="47B727F3"/>
    <w:rsid w:val="47B90762"/>
    <w:rsid w:val="47C6205A"/>
    <w:rsid w:val="47CA38F8"/>
    <w:rsid w:val="47D15BA1"/>
    <w:rsid w:val="47D77554"/>
    <w:rsid w:val="47DC529C"/>
    <w:rsid w:val="47E466D6"/>
    <w:rsid w:val="47E773A6"/>
    <w:rsid w:val="47F36997"/>
    <w:rsid w:val="47F44E19"/>
    <w:rsid w:val="48021443"/>
    <w:rsid w:val="480B5228"/>
    <w:rsid w:val="48110FFE"/>
    <w:rsid w:val="4820176A"/>
    <w:rsid w:val="48221986"/>
    <w:rsid w:val="48234E8B"/>
    <w:rsid w:val="482614C1"/>
    <w:rsid w:val="4828061F"/>
    <w:rsid w:val="4833721B"/>
    <w:rsid w:val="48360F8E"/>
    <w:rsid w:val="48396CD0"/>
    <w:rsid w:val="483A0C1F"/>
    <w:rsid w:val="484336AB"/>
    <w:rsid w:val="48445277"/>
    <w:rsid w:val="484B466C"/>
    <w:rsid w:val="485D4A4B"/>
    <w:rsid w:val="48601F22"/>
    <w:rsid w:val="486C1ACC"/>
    <w:rsid w:val="4870272E"/>
    <w:rsid w:val="48720BC3"/>
    <w:rsid w:val="48734B4F"/>
    <w:rsid w:val="48740262"/>
    <w:rsid w:val="488107E4"/>
    <w:rsid w:val="48A00AFD"/>
    <w:rsid w:val="48A0105D"/>
    <w:rsid w:val="48AB197C"/>
    <w:rsid w:val="48AE1D2F"/>
    <w:rsid w:val="48B56357"/>
    <w:rsid w:val="48B63232"/>
    <w:rsid w:val="48C742DC"/>
    <w:rsid w:val="48C75F6C"/>
    <w:rsid w:val="48CC18F2"/>
    <w:rsid w:val="48CC3067"/>
    <w:rsid w:val="48CD7903"/>
    <w:rsid w:val="48DB5965"/>
    <w:rsid w:val="48DF1625"/>
    <w:rsid w:val="48E72288"/>
    <w:rsid w:val="48F21359"/>
    <w:rsid w:val="48F744FA"/>
    <w:rsid w:val="49073975"/>
    <w:rsid w:val="4912361F"/>
    <w:rsid w:val="49195277"/>
    <w:rsid w:val="4921579A"/>
    <w:rsid w:val="49233AD2"/>
    <w:rsid w:val="492344CB"/>
    <w:rsid w:val="492808F2"/>
    <w:rsid w:val="49417F2F"/>
    <w:rsid w:val="494F5418"/>
    <w:rsid w:val="4950607F"/>
    <w:rsid w:val="49532DD5"/>
    <w:rsid w:val="49594CEC"/>
    <w:rsid w:val="495A5150"/>
    <w:rsid w:val="49690EEF"/>
    <w:rsid w:val="496B1DBD"/>
    <w:rsid w:val="496D4F3B"/>
    <w:rsid w:val="496F0BFB"/>
    <w:rsid w:val="497079EE"/>
    <w:rsid w:val="49803BA8"/>
    <w:rsid w:val="49845D29"/>
    <w:rsid w:val="498E0956"/>
    <w:rsid w:val="49942410"/>
    <w:rsid w:val="499B2770"/>
    <w:rsid w:val="49A54F2B"/>
    <w:rsid w:val="49B06B1E"/>
    <w:rsid w:val="49B54134"/>
    <w:rsid w:val="49B810FA"/>
    <w:rsid w:val="49BB5BEF"/>
    <w:rsid w:val="49C70DED"/>
    <w:rsid w:val="49CE75CC"/>
    <w:rsid w:val="49CF3448"/>
    <w:rsid w:val="49D2118A"/>
    <w:rsid w:val="49D97E23"/>
    <w:rsid w:val="49DC7715"/>
    <w:rsid w:val="49E0309E"/>
    <w:rsid w:val="49E03F3E"/>
    <w:rsid w:val="49F91119"/>
    <w:rsid w:val="4A0155CC"/>
    <w:rsid w:val="4A023139"/>
    <w:rsid w:val="4A0550BC"/>
    <w:rsid w:val="4A060A93"/>
    <w:rsid w:val="4A0D3F70"/>
    <w:rsid w:val="4A112868"/>
    <w:rsid w:val="4A1B64EF"/>
    <w:rsid w:val="4A1E0820"/>
    <w:rsid w:val="4A380B45"/>
    <w:rsid w:val="4A45195C"/>
    <w:rsid w:val="4A4B202D"/>
    <w:rsid w:val="4A4D0811"/>
    <w:rsid w:val="4A534079"/>
    <w:rsid w:val="4A604B4B"/>
    <w:rsid w:val="4A7B576F"/>
    <w:rsid w:val="4A851D59"/>
    <w:rsid w:val="4A855B4F"/>
    <w:rsid w:val="4A8561FD"/>
    <w:rsid w:val="4A8C1339"/>
    <w:rsid w:val="4A9F457C"/>
    <w:rsid w:val="4AA27EBA"/>
    <w:rsid w:val="4AA40457"/>
    <w:rsid w:val="4AA83DCD"/>
    <w:rsid w:val="4AA84609"/>
    <w:rsid w:val="4AAD75E4"/>
    <w:rsid w:val="4AB64608"/>
    <w:rsid w:val="4AB91AD3"/>
    <w:rsid w:val="4ABB1C1E"/>
    <w:rsid w:val="4ABB4448"/>
    <w:rsid w:val="4ABF5A4E"/>
    <w:rsid w:val="4AD05202"/>
    <w:rsid w:val="4AD11442"/>
    <w:rsid w:val="4AD66B79"/>
    <w:rsid w:val="4AE271AB"/>
    <w:rsid w:val="4AEA7D55"/>
    <w:rsid w:val="4AF561A9"/>
    <w:rsid w:val="4AFA2747"/>
    <w:rsid w:val="4AFD760B"/>
    <w:rsid w:val="4B1C614B"/>
    <w:rsid w:val="4B1F03FF"/>
    <w:rsid w:val="4B223A4B"/>
    <w:rsid w:val="4B293AA7"/>
    <w:rsid w:val="4B35377F"/>
    <w:rsid w:val="4B364751"/>
    <w:rsid w:val="4B3B49F9"/>
    <w:rsid w:val="4B3C13EE"/>
    <w:rsid w:val="4B490FD8"/>
    <w:rsid w:val="4B4D4E04"/>
    <w:rsid w:val="4B50324F"/>
    <w:rsid w:val="4B571947"/>
    <w:rsid w:val="4B594293"/>
    <w:rsid w:val="4B5A31E5"/>
    <w:rsid w:val="4B613567"/>
    <w:rsid w:val="4B641311"/>
    <w:rsid w:val="4B683B54"/>
    <w:rsid w:val="4B754D74"/>
    <w:rsid w:val="4B835B73"/>
    <w:rsid w:val="4B857A0B"/>
    <w:rsid w:val="4B904E59"/>
    <w:rsid w:val="4B955E7F"/>
    <w:rsid w:val="4B9D2128"/>
    <w:rsid w:val="4BAC7EBB"/>
    <w:rsid w:val="4BB02E05"/>
    <w:rsid w:val="4BB9659A"/>
    <w:rsid w:val="4BBC45D2"/>
    <w:rsid w:val="4BCB2405"/>
    <w:rsid w:val="4BCE772F"/>
    <w:rsid w:val="4BDB4CD1"/>
    <w:rsid w:val="4BE156B5"/>
    <w:rsid w:val="4BE76EC7"/>
    <w:rsid w:val="4BF94693"/>
    <w:rsid w:val="4BFC0263"/>
    <w:rsid w:val="4BFE3EBE"/>
    <w:rsid w:val="4C060C0F"/>
    <w:rsid w:val="4C0B44E0"/>
    <w:rsid w:val="4C1E01ED"/>
    <w:rsid w:val="4C2C2250"/>
    <w:rsid w:val="4C327AE3"/>
    <w:rsid w:val="4C4A0649"/>
    <w:rsid w:val="4C516396"/>
    <w:rsid w:val="4C520360"/>
    <w:rsid w:val="4C5E37F7"/>
    <w:rsid w:val="4C604940"/>
    <w:rsid w:val="4C6976BE"/>
    <w:rsid w:val="4C6A76CD"/>
    <w:rsid w:val="4C6E51CE"/>
    <w:rsid w:val="4C742085"/>
    <w:rsid w:val="4C7E5ECA"/>
    <w:rsid w:val="4C876AA5"/>
    <w:rsid w:val="4C8D5AF5"/>
    <w:rsid w:val="4CA04AC4"/>
    <w:rsid w:val="4CAD5597"/>
    <w:rsid w:val="4CB14194"/>
    <w:rsid w:val="4CB5128C"/>
    <w:rsid w:val="4CBE6D74"/>
    <w:rsid w:val="4CBF4562"/>
    <w:rsid w:val="4CC404E8"/>
    <w:rsid w:val="4CCF375F"/>
    <w:rsid w:val="4CD60F91"/>
    <w:rsid w:val="4CE23D45"/>
    <w:rsid w:val="4CE511D4"/>
    <w:rsid w:val="4CE67AE2"/>
    <w:rsid w:val="4CEC3DEF"/>
    <w:rsid w:val="4CED2D34"/>
    <w:rsid w:val="4CF338F1"/>
    <w:rsid w:val="4CF75559"/>
    <w:rsid w:val="4CFA7281"/>
    <w:rsid w:val="4D0258E3"/>
    <w:rsid w:val="4D0E00FB"/>
    <w:rsid w:val="4D110FBB"/>
    <w:rsid w:val="4D16313C"/>
    <w:rsid w:val="4D176606"/>
    <w:rsid w:val="4D2609EC"/>
    <w:rsid w:val="4D2F0B8D"/>
    <w:rsid w:val="4D36558C"/>
    <w:rsid w:val="4D3D2DBF"/>
    <w:rsid w:val="4D4B42E4"/>
    <w:rsid w:val="4D57657B"/>
    <w:rsid w:val="4D7C38E7"/>
    <w:rsid w:val="4D7D140D"/>
    <w:rsid w:val="4D7F33D7"/>
    <w:rsid w:val="4D8409ED"/>
    <w:rsid w:val="4D8E5946"/>
    <w:rsid w:val="4D9549A9"/>
    <w:rsid w:val="4D9E1AAF"/>
    <w:rsid w:val="4DA0065E"/>
    <w:rsid w:val="4DA370C6"/>
    <w:rsid w:val="4DC83C82"/>
    <w:rsid w:val="4DD23507"/>
    <w:rsid w:val="4DE1374A"/>
    <w:rsid w:val="4DE41D80"/>
    <w:rsid w:val="4DE44437"/>
    <w:rsid w:val="4DEA2274"/>
    <w:rsid w:val="4DEC4FB0"/>
    <w:rsid w:val="4DFE77B2"/>
    <w:rsid w:val="4E067654"/>
    <w:rsid w:val="4E075D8A"/>
    <w:rsid w:val="4E104F65"/>
    <w:rsid w:val="4E1C0C26"/>
    <w:rsid w:val="4E21027F"/>
    <w:rsid w:val="4E4C5AE1"/>
    <w:rsid w:val="4E4C5B32"/>
    <w:rsid w:val="4E4E19C6"/>
    <w:rsid w:val="4E522854"/>
    <w:rsid w:val="4E5F7DB6"/>
    <w:rsid w:val="4E6B4173"/>
    <w:rsid w:val="4E6E156D"/>
    <w:rsid w:val="4E797E26"/>
    <w:rsid w:val="4E8F5394"/>
    <w:rsid w:val="4E92290F"/>
    <w:rsid w:val="4E9E77F7"/>
    <w:rsid w:val="4E9E788D"/>
    <w:rsid w:val="4E9F32B6"/>
    <w:rsid w:val="4EA054B1"/>
    <w:rsid w:val="4EBE0457"/>
    <w:rsid w:val="4EC00FAD"/>
    <w:rsid w:val="4EC56BC8"/>
    <w:rsid w:val="4ECA68D4"/>
    <w:rsid w:val="4ECD3179"/>
    <w:rsid w:val="4ECF7F9E"/>
    <w:rsid w:val="4ED4505D"/>
    <w:rsid w:val="4EEF1E97"/>
    <w:rsid w:val="4EF07C5B"/>
    <w:rsid w:val="4EF4550F"/>
    <w:rsid w:val="4EF83441"/>
    <w:rsid w:val="4EFD2C3B"/>
    <w:rsid w:val="4F035942"/>
    <w:rsid w:val="4F1006DD"/>
    <w:rsid w:val="4F155DA1"/>
    <w:rsid w:val="4F186E89"/>
    <w:rsid w:val="4F2A7373"/>
    <w:rsid w:val="4F2C48EE"/>
    <w:rsid w:val="4F303F00"/>
    <w:rsid w:val="4F3E044E"/>
    <w:rsid w:val="4F4A531F"/>
    <w:rsid w:val="4F4C0E65"/>
    <w:rsid w:val="4F4F0B87"/>
    <w:rsid w:val="4F5543EF"/>
    <w:rsid w:val="4F5D5052"/>
    <w:rsid w:val="4F6152B5"/>
    <w:rsid w:val="4F6603AB"/>
    <w:rsid w:val="4F7A20A8"/>
    <w:rsid w:val="4F7D3946"/>
    <w:rsid w:val="4F7D56F4"/>
    <w:rsid w:val="4F8520C2"/>
    <w:rsid w:val="4F8847C5"/>
    <w:rsid w:val="4F9843DC"/>
    <w:rsid w:val="4FA1782C"/>
    <w:rsid w:val="4FB0002F"/>
    <w:rsid w:val="4FB01626"/>
    <w:rsid w:val="4FB97FCA"/>
    <w:rsid w:val="4FC61FD2"/>
    <w:rsid w:val="4FC62A8C"/>
    <w:rsid w:val="4FDF43FC"/>
    <w:rsid w:val="4FE20F0D"/>
    <w:rsid w:val="4FE51552"/>
    <w:rsid w:val="4FE53B5F"/>
    <w:rsid w:val="4FE85264"/>
    <w:rsid w:val="4FEB0A14"/>
    <w:rsid w:val="4FEB1BB7"/>
    <w:rsid w:val="50093AC1"/>
    <w:rsid w:val="500B45BE"/>
    <w:rsid w:val="501C1266"/>
    <w:rsid w:val="5030068B"/>
    <w:rsid w:val="503475F1"/>
    <w:rsid w:val="50406E4E"/>
    <w:rsid w:val="504F27DC"/>
    <w:rsid w:val="504F3D91"/>
    <w:rsid w:val="50504C4B"/>
    <w:rsid w:val="5059420E"/>
    <w:rsid w:val="506A284D"/>
    <w:rsid w:val="506C2A9C"/>
    <w:rsid w:val="507A1C34"/>
    <w:rsid w:val="508F1949"/>
    <w:rsid w:val="509037C6"/>
    <w:rsid w:val="509710A9"/>
    <w:rsid w:val="509C6E7C"/>
    <w:rsid w:val="509E6DC4"/>
    <w:rsid w:val="50A11245"/>
    <w:rsid w:val="50A56CB1"/>
    <w:rsid w:val="50B43398"/>
    <w:rsid w:val="50BB01A8"/>
    <w:rsid w:val="50CE271C"/>
    <w:rsid w:val="50D30C06"/>
    <w:rsid w:val="50D476A7"/>
    <w:rsid w:val="50DF1A7D"/>
    <w:rsid w:val="50EF1BCD"/>
    <w:rsid w:val="50F60BF6"/>
    <w:rsid w:val="50FC089B"/>
    <w:rsid w:val="510320C0"/>
    <w:rsid w:val="510D0376"/>
    <w:rsid w:val="5111580F"/>
    <w:rsid w:val="5112495F"/>
    <w:rsid w:val="51182822"/>
    <w:rsid w:val="51256043"/>
    <w:rsid w:val="5132168E"/>
    <w:rsid w:val="5133250E"/>
    <w:rsid w:val="514A380D"/>
    <w:rsid w:val="514D2D3C"/>
    <w:rsid w:val="515C0243"/>
    <w:rsid w:val="515F086E"/>
    <w:rsid w:val="5162104E"/>
    <w:rsid w:val="51641120"/>
    <w:rsid w:val="518752F6"/>
    <w:rsid w:val="5191010D"/>
    <w:rsid w:val="51A011DF"/>
    <w:rsid w:val="51AB741F"/>
    <w:rsid w:val="51B05363"/>
    <w:rsid w:val="51B11685"/>
    <w:rsid w:val="51B71289"/>
    <w:rsid w:val="51C4103C"/>
    <w:rsid w:val="51C56502"/>
    <w:rsid w:val="52084021"/>
    <w:rsid w:val="520D1996"/>
    <w:rsid w:val="5215198F"/>
    <w:rsid w:val="521C5F69"/>
    <w:rsid w:val="521E084C"/>
    <w:rsid w:val="52207E0C"/>
    <w:rsid w:val="52293954"/>
    <w:rsid w:val="522D1654"/>
    <w:rsid w:val="523A142C"/>
    <w:rsid w:val="523A7A0F"/>
    <w:rsid w:val="525766D1"/>
    <w:rsid w:val="525A673C"/>
    <w:rsid w:val="525D7430"/>
    <w:rsid w:val="525E4D38"/>
    <w:rsid w:val="52635035"/>
    <w:rsid w:val="526607F5"/>
    <w:rsid w:val="526E3AD8"/>
    <w:rsid w:val="527020E9"/>
    <w:rsid w:val="52763BB5"/>
    <w:rsid w:val="528D2EAA"/>
    <w:rsid w:val="528F1C9C"/>
    <w:rsid w:val="52A5743C"/>
    <w:rsid w:val="52AD4542"/>
    <w:rsid w:val="52B551A5"/>
    <w:rsid w:val="52BE04FE"/>
    <w:rsid w:val="52BF302C"/>
    <w:rsid w:val="52C673B2"/>
    <w:rsid w:val="52CD28E8"/>
    <w:rsid w:val="52D63A99"/>
    <w:rsid w:val="52D753D2"/>
    <w:rsid w:val="52F174C5"/>
    <w:rsid w:val="52F51575"/>
    <w:rsid w:val="52F55D8A"/>
    <w:rsid w:val="52F757BE"/>
    <w:rsid w:val="52FB0727"/>
    <w:rsid w:val="53034162"/>
    <w:rsid w:val="53081779"/>
    <w:rsid w:val="530B0CC3"/>
    <w:rsid w:val="530C027E"/>
    <w:rsid w:val="53187D17"/>
    <w:rsid w:val="531D5224"/>
    <w:rsid w:val="531E0F9C"/>
    <w:rsid w:val="533273FB"/>
    <w:rsid w:val="533837D4"/>
    <w:rsid w:val="533A6B9D"/>
    <w:rsid w:val="533F370C"/>
    <w:rsid w:val="53505792"/>
    <w:rsid w:val="53530C46"/>
    <w:rsid w:val="53621C4E"/>
    <w:rsid w:val="5367254D"/>
    <w:rsid w:val="5367368A"/>
    <w:rsid w:val="537D5CC3"/>
    <w:rsid w:val="53843D35"/>
    <w:rsid w:val="53881267"/>
    <w:rsid w:val="538A2B86"/>
    <w:rsid w:val="5392343F"/>
    <w:rsid w:val="539D6933"/>
    <w:rsid w:val="53A039CC"/>
    <w:rsid w:val="53A1505A"/>
    <w:rsid w:val="53B06098"/>
    <w:rsid w:val="53BB78D0"/>
    <w:rsid w:val="53BD052D"/>
    <w:rsid w:val="53BF1C88"/>
    <w:rsid w:val="53BF452D"/>
    <w:rsid w:val="53E06252"/>
    <w:rsid w:val="53E24B5F"/>
    <w:rsid w:val="53ED282A"/>
    <w:rsid w:val="53EE6B2F"/>
    <w:rsid w:val="53F52C6F"/>
    <w:rsid w:val="53FD6E04"/>
    <w:rsid w:val="53FF2B7C"/>
    <w:rsid w:val="53FF492A"/>
    <w:rsid w:val="54063E08"/>
    <w:rsid w:val="5419546B"/>
    <w:rsid w:val="542906F5"/>
    <w:rsid w:val="542E1EDF"/>
    <w:rsid w:val="542F4AA6"/>
    <w:rsid w:val="543437E8"/>
    <w:rsid w:val="543A1E06"/>
    <w:rsid w:val="543B5519"/>
    <w:rsid w:val="544249E0"/>
    <w:rsid w:val="54442C85"/>
    <w:rsid w:val="54472B64"/>
    <w:rsid w:val="544B5DC1"/>
    <w:rsid w:val="545C2CD2"/>
    <w:rsid w:val="5463135D"/>
    <w:rsid w:val="54696247"/>
    <w:rsid w:val="546C1459"/>
    <w:rsid w:val="547140E0"/>
    <w:rsid w:val="5474446B"/>
    <w:rsid w:val="54751090"/>
    <w:rsid w:val="547A374F"/>
    <w:rsid w:val="54803906"/>
    <w:rsid w:val="54812E09"/>
    <w:rsid w:val="5486329D"/>
    <w:rsid w:val="54870E36"/>
    <w:rsid w:val="548F4891"/>
    <w:rsid w:val="5490291E"/>
    <w:rsid w:val="549332C4"/>
    <w:rsid w:val="549459BA"/>
    <w:rsid w:val="549C228C"/>
    <w:rsid w:val="54AE55F9"/>
    <w:rsid w:val="54B379F8"/>
    <w:rsid w:val="54C3004D"/>
    <w:rsid w:val="54C3443C"/>
    <w:rsid w:val="54DB7DE0"/>
    <w:rsid w:val="54DE53BE"/>
    <w:rsid w:val="54DE6C35"/>
    <w:rsid w:val="54E605BF"/>
    <w:rsid w:val="54E84A3B"/>
    <w:rsid w:val="54F73313"/>
    <w:rsid w:val="54F80955"/>
    <w:rsid w:val="55005717"/>
    <w:rsid w:val="55020B76"/>
    <w:rsid w:val="550B5550"/>
    <w:rsid w:val="550D1267"/>
    <w:rsid w:val="551322A2"/>
    <w:rsid w:val="55175CA3"/>
    <w:rsid w:val="552846AE"/>
    <w:rsid w:val="552F624E"/>
    <w:rsid w:val="555170A7"/>
    <w:rsid w:val="5552317F"/>
    <w:rsid w:val="555D5DAC"/>
    <w:rsid w:val="55630EE8"/>
    <w:rsid w:val="556C0470"/>
    <w:rsid w:val="55741347"/>
    <w:rsid w:val="557B0928"/>
    <w:rsid w:val="55840875"/>
    <w:rsid w:val="558733C9"/>
    <w:rsid w:val="5587536D"/>
    <w:rsid w:val="55924263"/>
    <w:rsid w:val="5599604B"/>
    <w:rsid w:val="559B174B"/>
    <w:rsid w:val="55A559A5"/>
    <w:rsid w:val="55AF08E7"/>
    <w:rsid w:val="55C07A7B"/>
    <w:rsid w:val="55C20305"/>
    <w:rsid w:val="55CE0CF4"/>
    <w:rsid w:val="55DD616C"/>
    <w:rsid w:val="55DD6EED"/>
    <w:rsid w:val="55E037D6"/>
    <w:rsid w:val="55F3226C"/>
    <w:rsid w:val="55F448EC"/>
    <w:rsid w:val="55F66200"/>
    <w:rsid w:val="55FA58AD"/>
    <w:rsid w:val="56010300"/>
    <w:rsid w:val="5601525F"/>
    <w:rsid w:val="56016164"/>
    <w:rsid w:val="560240BE"/>
    <w:rsid w:val="56062295"/>
    <w:rsid w:val="560C77D2"/>
    <w:rsid w:val="56347ADB"/>
    <w:rsid w:val="563665FD"/>
    <w:rsid w:val="56397B3F"/>
    <w:rsid w:val="563C1138"/>
    <w:rsid w:val="56494582"/>
    <w:rsid w:val="564A7031"/>
    <w:rsid w:val="56581C6F"/>
    <w:rsid w:val="56682657"/>
    <w:rsid w:val="56694C24"/>
    <w:rsid w:val="567809C3"/>
    <w:rsid w:val="567C046F"/>
    <w:rsid w:val="568B54BA"/>
    <w:rsid w:val="56941CA1"/>
    <w:rsid w:val="56B22A9C"/>
    <w:rsid w:val="56BC2FA6"/>
    <w:rsid w:val="56BC7539"/>
    <w:rsid w:val="56C97471"/>
    <w:rsid w:val="56DE5D88"/>
    <w:rsid w:val="56E04EE4"/>
    <w:rsid w:val="56E83D9B"/>
    <w:rsid w:val="56F00EA2"/>
    <w:rsid w:val="5706321F"/>
    <w:rsid w:val="5707081F"/>
    <w:rsid w:val="571946DE"/>
    <w:rsid w:val="572359F5"/>
    <w:rsid w:val="57294154"/>
    <w:rsid w:val="57315742"/>
    <w:rsid w:val="573228A4"/>
    <w:rsid w:val="57390153"/>
    <w:rsid w:val="573930D8"/>
    <w:rsid w:val="573A3ECB"/>
    <w:rsid w:val="573B36F2"/>
    <w:rsid w:val="5745770A"/>
    <w:rsid w:val="574B7E86"/>
    <w:rsid w:val="57521214"/>
    <w:rsid w:val="575B27BF"/>
    <w:rsid w:val="575B43EC"/>
    <w:rsid w:val="57622855"/>
    <w:rsid w:val="57665009"/>
    <w:rsid w:val="57680A38"/>
    <w:rsid w:val="576D526C"/>
    <w:rsid w:val="57790E97"/>
    <w:rsid w:val="577C4233"/>
    <w:rsid w:val="57897911"/>
    <w:rsid w:val="578D049F"/>
    <w:rsid w:val="57906F15"/>
    <w:rsid w:val="57917F8F"/>
    <w:rsid w:val="57931F59"/>
    <w:rsid w:val="57933815"/>
    <w:rsid w:val="57950025"/>
    <w:rsid w:val="5799084E"/>
    <w:rsid w:val="579A3613"/>
    <w:rsid w:val="579E08FE"/>
    <w:rsid w:val="57B72A76"/>
    <w:rsid w:val="57B85CC9"/>
    <w:rsid w:val="57B95737"/>
    <w:rsid w:val="57BC0417"/>
    <w:rsid w:val="57BC330F"/>
    <w:rsid w:val="57C3426C"/>
    <w:rsid w:val="57C9767E"/>
    <w:rsid w:val="57CE1F93"/>
    <w:rsid w:val="57CF6D09"/>
    <w:rsid w:val="57CF7B8C"/>
    <w:rsid w:val="57D11A37"/>
    <w:rsid w:val="57D4431F"/>
    <w:rsid w:val="57D8796C"/>
    <w:rsid w:val="57DF0394"/>
    <w:rsid w:val="57DF0B63"/>
    <w:rsid w:val="57E62AB9"/>
    <w:rsid w:val="57EE718F"/>
    <w:rsid w:val="57EF1159"/>
    <w:rsid w:val="57EF46B2"/>
    <w:rsid w:val="5804464A"/>
    <w:rsid w:val="580520FA"/>
    <w:rsid w:val="5809221B"/>
    <w:rsid w:val="581B3B6A"/>
    <w:rsid w:val="583C07E9"/>
    <w:rsid w:val="58496ABB"/>
    <w:rsid w:val="584C4139"/>
    <w:rsid w:val="586162A5"/>
    <w:rsid w:val="586F3AC5"/>
    <w:rsid w:val="58704048"/>
    <w:rsid w:val="587667BD"/>
    <w:rsid w:val="587873A1"/>
    <w:rsid w:val="588743D1"/>
    <w:rsid w:val="5887701A"/>
    <w:rsid w:val="588B70D4"/>
    <w:rsid w:val="588C2DDE"/>
    <w:rsid w:val="589524D2"/>
    <w:rsid w:val="58A0326C"/>
    <w:rsid w:val="58A869EB"/>
    <w:rsid w:val="58AF263B"/>
    <w:rsid w:val="58B033C6"/>
    <w:rsid w:val="58B73A25"/>
    <w:rsid w:val="58C15FF8"/>
    <w:rsid w:val="58CB413F"/>
    <w:rsid w:val="58E95BA9"/>
    <w:rsid w:val="58EA134C"/>
    <w:rsid w:val="58F11E1D"/>
    <w:rsid w:val="5903310E"/>
    <w:rsid w:val="59062B74"/>
    <w:rsid w:val="590C2516"/>
    <w:rsid w:val="591213DF"/>
    <w:rsid w:val="5915699E"/>
    <w:rsid w:val="59193153"/>
    <w:rsid w:val="5919648E"/>
    <w:rsid w:val="59241F67"/>
    <w:rsid w:val="5930505C"/>
    <w:rsid w:val="593D18A7"/>
    <w:rsid w:val="593D6CE6"/>
    <w:rsid w:val="594159E5"/>
    <w:rsid w:val="594A4263"/>
    <w:rsid w:val="594F3C5E"/>
    <w:rsid w:val="595179EC"/>
    <w:rsid w:val="595570A7"/>
    <w:rsid w:val="595B4CF8"/>
    <w:rsid w:val="595E6596"/>
    <w:rsid w:val="59663C77"/>
    <w:rsid w:val="59692C50"/>
    <w:rsid w:val="59747B68"/>
    <w:rsid w:val="597E4984"/>
    <w:rsid w:val="597F0C74"/>
    <w:rsid w:val="59863E85"/>
    <w:rsid w:val="59946F61"/>
    <w:rsid w:val="59A26483"/>
    <w:rsid w:val="59A8343B"/>
    <w:rsid w:val="59B461B6"/>
    <w:rsid w:val="59C0439F"/>
    <w:rsid w:val="59C52172"/>
    <w:rsid w:val="59CC354B"/>
    <w:rsid w:val="59D16D68"/>
    <w:rsid w:val="59E52814"/>
    <w:rsid w:val="59EA5DA3"/>
    <w:rsid w:val="59EA7E2A"/>
    <w:rsid w:val="59EC41C8"/>
    <w:rsid w:val="59FB2037"/>
    <w:rsid w:val="5A025174"/>
    <w:rsid w:val="5A1520DE"/>
    <w:rsid w:val="5A1D0200"/>
    <w:rsid w:val="5A234C0D"/>
    <w:rsid w:val="5A272E2C"/>
    <w:rsid w:val="5A276988"/>
    <w:rsid w:val="5A3115B5"/>
    <w:rsid w:val="5A3D24B0"/>
    <w:rsid w:val="5A3F4F59"/>
    <w:rsid w:val="5A546B13"/>
    <w:rsid w:val="5A5B4884"/>
    <w:rsid w:val="5A5D43F0"/>
    <w:rsid w:val="5A6000EC"/>
    <w:rsid w:val="5A655780"/>
    <w:rsid w:val="5A690D4F"/>
    <w:rsid w:val="5A6F13BA"/>
    <w:rsid w:val="5A7871E4"/>
    <w:rsid w:val="5A7A7400"/>
    <w:rsid w:val="5A89319F"/>
    <w:rsid w:val="5A923E46"/>
    <w:rsid w:val="5AA61FA3"/>
    <w:rsid w:val="5ABA0170"/>
    <w:rsid w:val="5ABB7057"/>
    <w:rsid w:val="5ABE2233"/>
    <w:rsid w:val="5ABF12B7"/>
    <w:rsid w:val="5ACC12DE"/>
    <w:rsid w:val="5ACE451A"/>
    <w:rsid w:val="5AD76600"/>
    <w:rsid w:val="5AF326C9"/>
    <w:rsid w:val="5AF32D0E"/>
    <w:rsid w:val="5AF36F32"/>
    <w:rsid w:val="5AF9447B"/>
    <w:rsid w:val="5AFE64C4"/>
    <w:rsid w:val="5B055168"/>
    <w:rsid w:val="5B085E0C"/>
    <w:rsid w:val="5B0942E0"/>
    <w:rsid w:val="5B0B44FC"/>
    <w:rsid w:val="5B0E7B48"/>
    <w:rsid w:val="5B1470D9"/>
    <w:rsid w:val="5B174C4F"/>
    <w:rsid w:val="5B2353A2"/>
    <w:rsid w:val="5B2B24A8"/>
    <w:rsid w:val="5B316DAE"/>
    <w:rsid w:val="5B32651A"/>
    <w:rsid w:val="5B340D27"/>
    <w:rsid w:val="5B3E4AFF"/>
    <w:rsid w:val="5B4365ED"/>
    <w:rsid w:val="5B445318"/>
    <w:rsid w:val="5B482A34"/>
    <w:rsid w:val="5B484E08"/>
    <w:rsid w:val="5B657C40"/>
    <w:rsid w:val="5B6D1856"/>
    <w:rsid w:val="5B920779"/>
    <w:rsid w:val="5B922527"/>
    <w:rsid w:val="5B9C33A6"/>
    <w:rsid w:val="5BA26C0E"/>
    <w:rsid w:val="5BA33255"/>
    <w:rsid w:val="5BA42C91"/>
    <w:rsid w:val="5BA858A7"/>
    <w:rsid w:val="5BB24978"/>
    <w:rsid w:val="5BB5482B"/>
    <w:rsid w:val="5BBE7ADC"/>
    <w:rsid w:val="5BCF2281"/>
    <w:rsid w:val="5BDA3715"/>
    <w:rsid w:val="5BDB302B"/>
    <w:rsid w:val="5BDB3ECE"/>
    <w:rsid w:val="5BDE396C"/>
    <w:rsid w:val="5BDF5D95"/>
    <w:rsid w:val="5BE24306"/>
    <w:rsid w:val="5BEF34D6"/>
    <w:rsid w:val="5BFB631F"/>
    <w:rsid w:val="5BFE5E0F"/>
    <w:rsid w:val="5BFE7528"/>
    <w:rsid w:val="5C067377"/>
    <w:rsid w:val="5C0D7E00"/>
    <w:rsid w:val="5C182A2D"/>
    <w:rsid w:val="5C344185"/>
    <w:rsid w:val="5C351108"/>
    <w:rsid w:val="5C3E7830"/>
    <w:rsid w:val="5C4017D7"/>
    <w:rsid w:val="5C5058BC"/>
    <w:rsid w:val="5C637AEC"/>
    <w:rsid w:val="5C653798"/>
    <w:rsid w:val="5C6D308F"/>
    <w:rsid w:val="5C6F7EB5"/>
    <w:rsid w:val="5C764DF0"/>
    <w:rsid w:val="5C7B2FBB"/>
    <w:rsid w:val="5C82259C"/>
    <w:rsid w:val="5C904CB9"/>
    <w:rsid w:val="5C9F314E"/>
    <w:rsid w:val="5CA21A6D"/>
    <w:rsid w:val="5CAC7619"/>
    <w:rsid w:val="5CB0535B"/>
    <w:rsid w:val="5CE96177"/>
    <w:rsid w:val="5CED3EB9"/>
    <w:rsid w:val="5CEE378D"/>
    <w:rsid w:val="5D0531AA"/>
    <w:rsid w:val="5D065E33"/>
    <w:rsid w:val="5D0D48F8"/>
    <w:rsid w:val="5D1A27D4"/>
    <w:rsid w:val="5D1F7DEB"/>
    <w:rsid w:val="5D213B63"/>
    <w:rsid w:val="5D2D4E30"/>
    <w:rsid w:val="5D2E6280"/>
    <w:rsid w:val="5D3368FC"/>
    <w:rsid w:val="5D424900"/>
    <w:rsid w:val="5D557CB0"/>
    <w:rsid w:val="5D577FE3"/>
    <w:rsid w:val="5D5C1D60"/>
    <w:rsid w:val="5D6972B8"/>
    <w:rsid w:val="5D6D4FFA"/>
    <w:rsid w:val="5D7900A9"/>
    <w:rsid w:val="5D7A4A05"/>
    <w:rsid w:val="5D8660BC"/>
    <w:rsid w:val="5D967F13"/>
    <w:rsid w:val="5D984B3F"/>
    <w:rsid w:val="5D9D6323"/>
    <w:rsid w:val="5DB04EE7"/>
    <w:rsid w:val="5DB05765"/>
    <w:rsid w:val="5DB06C95"/>
    <w:rsid w:val="5DBE5C60"/>
    <w:rsid w:val="5DC71510"/>
    <w:rsid w:val="5DCA2C0B"/>
    <w:rsid w:val="5DD54490"/>
    <w:rsid w:val="5DD83AE4"/>
    <w:rsid w:val="5DDF1B3B"/>
    <w:rsid w:val="5DE44ECD"/>
    <w:rsid w:val="5DE532A1"/>
    <w:rsid w:val="5DE828D3"/>
    <w:rsid w:val="5DEA03F9"/>
    <w:rsid w:val="5DF40455"/>
    <w:rsid w:val="5DFC5DA1"/>
    <w:rsid w:val="5E0173A2"/>
    <w:rsid w:val="5E067935"/>
    <w:rsid w:val="5E0C4813"/>
    <w:rsid w:val="5E236D17"/>
    <w:rsid w:val="5E2467F1"/>
    <w:rsid w:val="5E25369E"/>
    <w:rsid w:val="5E26485E"/>
    <w:rsid w:val="5E2E75D7"/>
    <w:rsid w:val="5E341674"/>
    <w:rsid w:val="5E435D5B"/>
    <w:rsid w:val="5E457D25"/>
    <w:rsid w:val="5E522721"/>
    <w:rsid w:val="5E5D6E1D"/>
    <w:rsid w:val="5E6C5A1F"/>
    <w:rsid w:val="5E6E2D77"/>
    <w:rsid w:val="5E7318F0"/>
    <w:rsid w:val="5E777022"/>
    <w:rsid w:val="5E8F0FA0"/>
    <w:rsid w:val="5E9447C1"/>
    <w:rsid w:val="5E9A1E1F"/>
    <w:rsid w:val="5EA855CD"/>
    <w:rsid w:val="5EAC3900"/>
    <w:rsid w:val="5EB55B71"/>
    <w:rsid w:val="5EB55FC5"/>
    <w:rsid w:val="5EB7436D"/>
    <w:rsid w:val="5EC73F4C"/>
    <w:rsid w:val="5EC9782C"/>
    <w:rsid w:val="5ECC09BC"/>
    <w:rsid w:val="5ED54C05"/>
    <w:rsid w:val="5EEE5CC7"/>
    <w:rsid w:val="5EF534F9"/>
    <w:rsid w:val="5EFA0B0F"/>
    <w:rsid w:val="5F046C3B"/>
    <w:rsid w:val="5F107586"/>
    <w:rsid w:val="5F116F65"/>
    <w:rsid w:val="5F117C31"/>
    <w:rsid w:val="5F1A2B43"/>
    <w:rsid w:val="5F1E28C6"/>
    <w:rsid w:val="5F1E340A"/>
    <w:rsid w:val="5F255531"/>
    <w:rsid w:val="5F44128E"/>
    <w:rsid w:val="5F450916"/>
    <w:rsid w:val="5F49298C"/>
    <w:rsid w:val="5F4C0C3F"/>
    <w:rsid w:val="5F553F98"/>
    <w:rsid w:val="5F571ABE"/>
    <w:rsid w:val="5F57494F"/>
    <w:rsid w:val="5F634D74"/>
    <w:rsid w:val="5F655885"/>
    <w:rsid w:val="5F70492E"/>
    <w:rsid w:val="5F747E70"/>
    <w:rsid w:val="5F7C32D2"/>
    <w:rsid w:val="5F831D99"/>
    <w:rsid w:val="5F84662B"/>
    <w:rsid w:val="5FA42829"/>
    <w:rsid w:val="5FA96CAC"/>
    <w:rsid w:val="5FB837BB"/>
    <w:rsid w:val="5FBE38EB"/>
    <w:rsid w:val="5FBF49DE"/>
    <w:rsid w:val="5FC66C44"/>
    <w:rsid w:val="5FD2246A"/>
    <w:rsid w:val="5FD62369"/>
    <w:rsid w:val="5FD96977"/>
    <w:rsid w:val="5FE274C8"/>
    <w:rsid w:val="5FE47D9F"/>
    <w:rsid w:val="60031C46"/>
    <w:rsid w:val="600357A2"/>
    <w:rsid w:val="60067040"/>
    <w:rsid w:val="601E2E6D"/>
    <w:rsid w:val="60275CF9"/>
    <w:rsid w:val="602816AC"/>
    <w:rsid w:val="603D2516"/>
    <w:rsid w:val="604B0CB1"/>
    <w:rsid w:val="60533450"/>
    <w:rsid w:val="60533BC0"/>
    <w:rsid w:val="605C4EB2"/>
    <w:rsid w:val="606F0C8D"/>
    <w:rsid w:val="606F48E8"/>
    <w:rsid w:val="607641C6"/>
    <w:rsid w:val="60902A9D"/>
    <w:rsid w:val="60956D42"/>
    <w:rsid w:val="60982CD1"/>
    <w:rsid w:val="609E701B"/>
    <w:rsid w:val="60AC5E39"/>
    <w:rsid w:val="60B14ECE"/>
    <w:rsid w:val="60B56FED"/>
    <w:rsid w:val="60B91720"/>
    <w:rsid w:val="60BD7B3E"/>
    <w:rsid w:val="60CC405A"/>
    <w:rsid w:val="60DC2960"/>
    <w:rsid w:val="60DE1A3A"/>
    <w:rsid w:val="60ED718B"/>
    <w:rsid w:val="60F5729B"/>
    <w:rsid w:val="60F82E2D"/>
    <w:rsid w:val="60F877AC"/>
    <w:rsid w:val="60FC271F"/>
    <w:rsid w:val="610E7483"/>
    <w:rsid w:val="61200AD9"/>
    <w:rsid w:val="61291238"/>
    <w:rsid w:val="61306A6A"/>
    <w:rsid w:val="61566544"/>
    <w:rsid w:val="615D0EE2"/>
    <w:rsid w:val="61657E52"/>
    <w:rsid w:val="61720E31"/>
    <w:rsid w:val="61841389"/>
    <w:rsid w:val="61930DA7"/>
    <w:rsid w:val="6198016C"/>
    <w:rsid w:val="619D5782"/>
    <w:rsid w:val="61A95173"/>
    <w:rsid w:val="61AD62F2"/>
    <w:rsid w:val="61CE3FDB"/>
    <w:rsid w:val="61D70C94"/>
    <w:rsid w:val="61E11B13"/>
    <w:rsid w:val="61E215D8"/>
    <w:rsid w:val="61E355D8"/>
    <w:rsid w:val="61FC3E67"/>
    <w:rsid w:val="62037CDB"/>
    <w:rsid w:val="62052746"/>
    <w:rsid w:val="621974FF"/>
    <w:rsid w:val="621B3775"/>
    <w:rsid w:val="621E04DB"/>
    <w:rsid w:val="62312702"/>
    <w:rsid w:val="62364782"/>
    <w:rsid w:val="62380C34"/>
    <w:rsid w:val="623936FD"/>
    <w:rsid w:val="62426A55"/>
    <w:rsid w:val="624327CD"/>
    <w:rsid w:val="624F6305"/>
    <w:rsid w:val="62570027"/>
    <w:rsid w:val="62571DD5"/>
    <w:rsid w:val="62593D9F"/>
    <w:rsid w:val="62683FE2"/>
    <w:rsid w:val="626861B2"/>
    <w:rsid w:val="62692A65"/>
    <w:rsid w:val="626A4554"/>
    <w:rsid w:val="627209BD"/>
    <w:rsid w:val="627E6373"/>
    <w:rsid w:val="628C4C5D"/>
    <w:rsid w:val="629C004D"/>
    <w:rsid w:val="62A212A2"/>
    <w:rsid w:val="62BC7E8A"/>
    <w:rsid w:val="62C07765"/>
    <w:rsid w:val="62C51434"/>
    <w:rsid w:val="62CF4061"/>
    <w:rsid w:val="62D2690B"/>
    <w:rsid w:val="62D75DBC"/>
    <w:rsid w:val="62D81168"/>
    <w:rsid w:val="62DA2119"/>
    <w:rsid w:val="62F53AC8"/>
    <w:rsid w:val="63041ACA"/>
    <w:rsid w:val="630715D5"/>
    <w:rsid w:val="63091321"/>
    <w:rsid w:val="630A48B4"/>
    <w:rsid w:val="630C2BBF"/>
    <w:rsid w:val="631877B6"/>
    <w:rsid w:val="63244641"/>
    <w:rsid w:val="63302D52"/>
    <w:rsid w:val="63384D50"/>
    <w:rsid w:val="63387E58"/>
    <w:rsid w:val="63416D0D"/>
    <w:rsid w:val="634405AB"/>
    <w:rsid w:val="63452AE3"/>
    <w:rsid w:val="63466476"/>
    <w:rsid w:val="634945C1"/>
    <w:rsid w:val="63531638"/>
    <w:rsid w:val="635C3B47"/>
    <w:rsid w:val="63617C5E"/>
    <w:rsid w:val="63641F6C"/>
    <w:rsid w:val="636649C5"/>
    <w:rsid w:val="637075F2"/>
    <w:rsid w:val="6380642F"/>
    <w:rsid w:val="63807109"/>
    <w:rsid w:val="638B5D6F"/>
    <w:rsid w:val="638D67F3"/>
    <w:rsid w:val="6394356A"/>
    <w:rsid w:val="63975B72"/>
    <w:rsid w:val="63A454EE"/>
    <w:rsid w:val="63A96660"/>
    <w:rsid w:val="63B07A9D"/>
    <w:rsid w:val="63B742DA"/>
    <w:rsid w:val="63B8374F"/>
    <w:rsid w:val="63BD3EBA"/>
    <w:rsid w:val="63C2053F"/>
    <w:rsid w:val="63C61B2C"/>
    <w:rsid w:val="63D40BE9"/>
    <w:rsid w:val="63D47C8E"/>
    <w:rsid w:val="63D52C57"/>
    <w:rsid w:val="63E37DC4"/>
    <w:rsid w:val="63EE6774"/>
    <w:rsid w:val="63F975E8"/>
    <w:rsid w:val="63FB0CCC"/>
    <w:rsid w:val="64015B84"/>
    <w:rsid w:val="640B10C9"/>
    <w:rsid w:val="64102431"/>
    <w:rsid w:val="641B090E"/>
    <w:rsid w:val="641B1A28"/>
    <w:rsid w:val="641E081B"/>
    <w:rsid w:val="641E7EF4"/>
    <w:rsid w:val="64392C90"/>
    <w:rsid w:val="64395C36"/>
    <w:rsid w:val="644954B2"/>
    <w:rsid w:val="644F5EC0"/>
    <w:rsid w:val="64547FAC"/>
    <w:rsid w:val="645A5BAC"/>
    <w:rsid w:val="645B41DC"/>
    <w:rsid w:val="645C21F5"/>
    <w:rsid w:val="64634A61"/>
    <w:rsid w:val="64650D83"/>
    <w:rsid w:val="646802C9"/>
    <w:rsid w:val="646C554C"/>
    <w:rsid w:val="646D1D84"/>
    <w:rsid w:val="646D479F"/>
    <w:rsid w:val="64740CFA"/>
    <w:rsid w:val="6484758A"/>
    <w:rsid w:val="649C7F73"/>
    <w:rsid w:val="64A5243A"/>
    <w:rsid w:val="64B80821"/>
    <w:rsid w:val="64C9520C"/>
    <w:rsid w:val="64CA4AE0"/>
    <w:rsid w:val="64CD637E"/>
    <w:rsid w:val="64D11979"/>
    <w:rsid w:val="64D63485"/>
    <w:rsid w:val="64D650EE"/>
    <w:rsid w:val="64EC6CBF"/>
    <w:rsid w:val="64EF6D5E"/>
    <w:rsid w:val="64F531DE"/>
    <w:rsid w:val="65092761"/>
    <w:rsid w:val="652F7039"/>
    <w:rsid w:val="653267F0"/>
    <w:rsid w:val="65373578"/>
    <w:rsid w:val="653A2677"/>
    <w:rsid w:val="653E0395"/>
    <w:rsid w:val="654B5CC1"/>
    <w:rsid w:val="654C32EA"/>
    <w:rsid w:val="654C7BEB"/>
    <w:rsid w:val="655A0B79"/>
    <w:rsid w:val="655E0865"/>
    <w:rsid w:val="65601BCC"/>
    <w:rsid w:val="65723A0E"/>
    <w:rsid w:val="6578278E"/>
    <w:rsid w:val="657D17DD"/>
    <w:rsid w:val="659E6AE1"/>
    <w:rsid w:val="65A0466C"/>
    <w:rsid w:val="65A50295"/>
    <w:rsid w:val="65A6554D"/>
    <w:rsid w:val="65AB4911"/>
    <w:rsid w:val="65B512EC"/>
    <w:rsid w:val="65BC08CD"/>
    <w:rsid w:val="65C576AE"/>
    <w:rsid w:val="65C576E3"/>
    <w:rsid w:val="65C71020"/>
    <w:rsid w:val="65CA1BA5"/>
    <w:rsid w:val="65CD0D2C"/>
    <w:rsid w:val="65CE21FF"/>
    <w:rsid w:val="65D200F0"/>
    <w:rsid w:val="65D33E68"/>
    <w:rsid w:val="65D42C24"/>
    <w:rsid w:val="65D5373C"/>
    <w:rsid w:val="65DF6369"/>
    <w:rsid w:val="65E41BD1"/>
    <w:rsid w:val="65E46075"/>
    <w:rsid w:val="65EA0383"/>
    <w:rsid w:val="65EB2F60"/>
    <w:rsid w:val="65EC63A5"/>
    <w:rsid w:val="65F20792"/>
    <w:rsid w:val="65FD0E47"/>
    <w:rsid w:val="66012783"/>
    <w:rsid w:val="66025E43"/>
    <w:rsid w:val="66063A14"/>
    <w:rsid w:val="661A1A97"/>
    <w:rsid w:val="66236B9E"/>
    <w:rsid w:val="662B15AE"/>
    <w:rsid w:val="66304E17"/>
    <w:rsid w:val="66325969"/>
    <w:rsid w:val="663C1A0D"/>
    <w:rsid w:val="663D681C"/>
    <w:rsid w:val="664171A1"/>
    <w:rsid w:val="6641775F"/>
    <w:rsid w:val="66616370"/>
    <w:rsid w:val="666C4F12"/>
    <w:rsid w:val="668F17C3"/>
    <w:rsid w:val="668F4233"/>
    <w:rsid w:val="669453A6"/>
    <w:rsid w:val="6695111E"/>
    <w:rsid w:val="66990C0E"/>
    <w:rsid w:val="669C518E"/>
    <w:rsid w:val="669D3413"/>
    <w:rsid w:val="66A91311"/>
    <w:rsid w:val="66A955E4"/>
    <w:rsid w:val="66AC7169"/>
    <w:rsid w:val="66B31BF8"/>
    <w:rsid w:val="66CE496D"/>
    <w:rsid w:val="66DB2FD4"/>
    <w:rsid w:val="66E43499"/>
    <w:rsid w:val="66E7229C"/>
    <w:rsid w:val="66E856F1"/>
    <w:rsid w:val="66EA1469"/>
    <w:rsid w:val="66ED0F5A"/>
    <w:rsid w:val="66EF6A80"/>
    <w:rsid w:val="67006EDF"/>
    <w:rsid w:val="670378F6"/>
    <w:rsid w:val="67053AFC"/>
    <w:rsid w:val="67055C8E"/>
    <w:rsid w:val="670B255D"/>
    <w:rsid w:val="670C4F5B"/>
    <w:rsid w:val="671E492E"/>
    <w:rsid w:val="671F124A"/>
    <w:rsid w:val="67254250"/>
    <w:rsid w:val="67270267"/>
    <w:rsid w:val="67417DC2"/>
    <w:rsid w:val="67544A5E"/>
    <w:rsid w:val="67546AC0"/>
    <w:rsid w:val="675B7E54"/>
    <w:rsid w:val="675D1B8C"/>
    <w:rsid w:val="67657261"/>
    <w:rsid w:val="677A33C6"/>
    <w:rsid w:val="679B53E8"/>
    <w:rsid w:val="67B65FBA"/>
    <w:rsid w:val="67C42331"/>
    <w:rsid w:val="67C6293B"/>
    <w:rsid w:val="67D068B1"/>
    <w:rsid w:val="67D26780"/>
    <w:rsid w:val="67D9341B"/>
    <w:rsid w:val="67DA14DE"/>
    <w:rsid w:val="67DA328C"/>
    <w:rsid w:val="67E50C5D"/>
    <w:rsid w:val="67EE0371"/>
    <w:rsid w:val="67FA392E"/>
    <w:rsid w:val="6804655B"/>
    <w:rsid w:val="680B1697"/>
    <w:rsid w:val="680C4DB4"/>
    <w:rsid w:val="68172D06"/>
    <w:rsid w:val="681744E0"/>
    <w:rsid w:val="681C5653"/>
    <w:rsid w:val="681E1E1B"/>
    <w:rsid w:val="681E4F43"/>
    <w:rsid w:val="681F6961"/>
    <w:rsid w:val="68210EBB"/>
    <w:rsid w:val="682B7F8C"/>
    <w:rsid w:val="682D2B67"/>
    <w:rsid w:val="683A01CF"/>
    <w:rsid w:val="683E1A6D"/>
    <w:rsid w:val="6841155D"/>
    <w:rsid w:val="6854109A"/>
    <w:rsid w:val="685A29BA"/>
    <w:rsid w:val="68601B20"/>
    <w:rsid w:val="68610A2F"/>
    <w:rsid w:val="68682EE2"/>
    <w:rsid w:val="686C6142"/>
    <w:rsid w:val="687D79FE"/>
    <w:rsid w:val="68805514"/>
    <w:rsid w:val="68823509"/>
    <w:rsid w:val="688D46DA"/>
    <w:rsid w:val="689904EB"/>
    <w:rsid w:val="68990A00"/>
    <w:rsid w:val="68A91F3F"/>
    <w:rsid w:val="68AA0CB8"/>
    <w:rsid w:val="68BF2482"/>
    <w:rsid w:val="68C006D4"/>
    <w:rsid w:val="68C47A98"/>
    <w:rsid w:val="68CD2DF1"/>
    <w:rsid w:val="68D66149"/>
    <w:rsid w:val="68E55E61"/>
    <w:rsid w:val="68EA5751"/>
    <w:rsid w:val="68F71C1C"/>
    <w:rsid w:val="68F77E6E"/>
    <w:rsid w:val="69101FCD"/>
    <w:rsid w:val="691755AD"/>
    <w:rsid w:val="69231F5F"/>
    <w:rsid w:val="69272501"/>
    <w:rsid w:val="692809AC"/>
    <w:rsid w:val="6929219A"/>
    <w:rsid w:val="692930E2"/>
    <w:rsid w:val="69307946"/>
    <w:rsid w:val="69316E2F"/>
    <w:rsid w:val="69482477"/>
    <w:rsid w:val="694E2071"/>
    <w:rsid w:val="69594692"/>
    <w:rsid w:val="695A2D6A"/>
    <w:rsid w:val="695E1C9B"/>
    <w:rsid w:val="69690D6B"/>
    <w:rsid w:val="696B7548"/>
    <w:rsid w:val="696C085C"/>
    <w:rsid w:val="697046E5"/>
    <w:rsid w:val="69766163"/>
    <w:rsid w:val="6979554A"/>
    <w:rsid w:val="697A3B33"/>
    <w:rsid w:val="69934531"/>
    <w:rsid w:val="69977C50"/>
    <w:rsid w:val="69A55A17"/>
    <w:rsid w:val="69A91168"/>
    <w:rsid w:val="69D1761E"/>
    <w:rsid w:val="69D44760"/>
    <w:rsid w:val="69D46296"/>
    <w:rsid w:val="69D501AF"/>
    <w:rsid w:val="69DF4B8A"/>
    <w:rsid w:val="69E678B6"/>
    <w:rsid w:val="69FA19C4"/>
    <w:rsid w:val="69FF7D07"/>
    <w:rsid w:val="6A08422E"/>
    <w:rsid w:val="6A0A6626"/>
    <w:rsid w:val="6A114F5F"/>
    <w:rsid w:val="6A145E49"/>
    <w:rsid w:val="6A152CA1"/>
    <w:rsid w:val="6A1707C7"/>
    <w:rsid w:val="6A235589"/>
    <w:rsid w:val="6A29520D"/>
    <w:rsid w:val="6A2E6905"/>
    <w:rsid w:val="6A350C4E"/>
    <w:rsid w:val="6A42308D"/>
    <w:rsid w:val="6A435431"/>
    <w:rsid w:val="6A457E42"/>
    <w:rsid w:val="6A520EC7"/>
    <w:rsid w:val="6A5C175A"/>
    <w:rsid w:val="6A6539C4"/>
    <w:rsid w:val="6A687275"/>
    <w:rsid w:val="6A6908F7"/>
    <w:rsid w:val="6A72218E"/>
    <w:rsid w:val="6A792412"/>
    <w:rsid w:val="6A793AD7"/>
    <w:rsid w:val="6A9710B5"/>
    <w:rsid w:val="6A9C6DC6"/>
    <w:rsid w:val="6AA9293C"/>
    <w:rsid w:val="6ABE50E7"/>
    <w:rsid w:val="6AC36259"/>
    <w:rsid w:val="6AC95471"/>
    <w:rsid w:val="6ACE6564"/>
    <w:rsid w:val="6AD35BD7"/>
    <w:rsid w:val="6AD56795"/>
    <w:rsid w:val="6AE23394"/>
    <w:rsid w:val="6AF87E20"/>
    <w:rsid w:val="6AFD5FCC"/>
    <w:rsid w:val="6AFE1107"/>
    <w:rsid w:val="6AFE6FAA"/>
    <w:rsid w:val="6B162075"/>
    <w:rsid w:val="6B217424"/>
    <w:rsid w:val="6B230670"/>
    <w:rsid w:val="6B2A3C80"/>
    <w:rsid w:val="6B322639"/>
    <w:rsid w:val="6B351997"/>
    <w:rsid w:val="6B37253A"/>
    <w:rsid w:val="6B3A78CE"/>
    <w:rsid w:val="6B3C512B"/>
    <w:rsid w:val="6B451364"/>
    <w:rsid w:val="6B4E739B"/>
    <w:rsid w:val="6B52582F"/>
    <w:rsid w:val="6B560E7A"/>
    <w:rsid w:val="6B5C50EF"/>
    <w:rsid w:val="6B6810D4"/>
    <w:rsid w:val="6B696DA8"/>
    <w:rsid w:val="6B6A4927"/>
    <w:rsid w:val="6B6C0BDE"/>
    <w:rsid w:val="6B6F2EBA"/>
    <w:rsid w:val="6B741C4A"/>
    <w:rsid w:val="6B767770"/>
    <w:rsid w:val="6B8B2AAA"/>
    <w:rsid w:val="6B8C547F"/>
    <w:rsid w:val="6B8E2D0B"/>
    <w:rsid w:val="6B945C70"/>
    <w:rsid w:val="6BA85041"/>
    <w:rsid w:val="6BAF27C6"/>
    <w:rsid w:val="6BB01B98"/>
    <w:rsid w:val="6BB05054"/>
    <w:rsid w:val="6BB838E4"/>
    <w:rsid w:val="6BC93D43"/>
    <w:rsid w:val="6BD149A6"/>
    <w:rsid w:val="6BD31449"/>
    <w:rsid w:val="6BDC5B12"/>
    <w:rsid w:val="6BDF70C3"/>
    <w:rsid w:val="6BE04BE9"/>
    <w:rsid w:val="6BE22DAD"/>
    <w:rsid w:val="6BE4170A"/>
    <w:rsid w:val="6BE45A95"/>
    <w:rsid w:val="6C0B504A"/>
    <w:rsid w:val="6C2970BF"/>
    <w:rsid w:val="6C2C42D2"/>
    <w:rsid w:val="6C3451EC"/>
    <w:rsid w:val="6C3B5080"/>
    <w:rsid w:val="6C431A0F"/>
    <w:rsid w:val="6C4920FB"/>
    <w:rsid w:val="6C4C07CA"/>
    <w:rsid w:val="6C636C38"/>
    <w:rsid w:val="6C677623"/>
    <w:rsid w:val="6C845C64"/>
    <w:rsid w:val="6C87699C"/>
    <w:rsid w:val="6C9818B5"/>
    <w:rsid w:val="6C9B5324"/>
    <w:rsid w:val="6CA125CA"/>
    <w:rsid w:val="6CA1522A"/>
    <w:rsid w:val="6CB029EA"/>
    <w:rsid w:val="6CB22A29"/>
    <w:rsid w:val="6CB7062F"/>
    <w:rsid w:val="6CBC376F"/>
    <w:rsid w:val="6CC52A25"/>
    <w:rsid w:val="6CC5381A"/>
    <w:rsid w:val="6CC859CF"/>
    <w:rsid w:val="6CCE7137"/>
    <w:rsid w:val="6CD52274"/>
    <w:rsid w:val="6CE30E35"/>
    <w:rsid w:val="6CF31D50"/>
    <w:rsid w:val="6CFD6EA7"/>
    <w:rsid w:val="6D0843F7"/>
    <w:rsid w:val="6D0B0AF7"/>
    <w:rsid w:val="6D181D5B"/>
    <w:rsid w:val="6D184A0D"/>
    <w:rsid w:val="6D23496F"/>
    <w:rsid w:val="6D383A6A"/>
    <w:rsid w:val="6D394EF9"/>
    <w:rsid w:val="6D3A6EE0"/>
    <w:rsid w:val="6D413DAD"/>
    <w:rsid w:val="6D433D00"/>
    <w:rsid w:val="6D512242"/>
    <w:rsid w:val="6D593F07"/>
    <w:rsid w:val="6D6261FE"/>
    <w:rsid w:val="6D643C48"/>
    <w:rsid w:val="6D803A1C"/>
    <w:rsid w:val="6D8234D9"/>
    <w:rsid w:val="6D934609"/>
    <w:rsid w:val="6D944DF8"/>
    <w:rsid w:val="6D9F200E"/>
    <w:rsid w:val="6DA56610"/>
    <w:rsid w:val="6DA57E98"/>
    <w:rsid w:val="6DAA59A4"/>
    <w:rsid w:val="6DB34098"/>
    <w:rsid w:val="6DB420C6"/>
    <w:rsid w:val="6DB545B6"/>
    <w:rsid w:val="6DB76D8C"/>
    <w:rsid w:val="6DCC7B1B"/>
    <w:rsid w:val="6DE02FB4"/>
    <w:rsid w:val="6DE54739"/>
    <w:rsid w:val="6DF36E56"/>
    <w:rsid w:val="6E105AFE"/>
    <w:rsid w:val="6E114903"/>
    <w:rsid w:val="6E347CB4"/>
    <w:rsid w:val="6E3A0F28"/>
    <w:rsid w:val="6E424E4A"/>
    <w:rsid w:val="6E4370D5"/>
    <w:rsid w:val="6E4C47B8"/>
    <w:rsid w:val="6E4D0BB3"/>
    <w:rsid w:val="6E514CED"/>
    <w:rsid w:val="6E5F098F"/>
    <w:rsid w:val="6E602190"/>
    <w:rsid w:val="6E677844"/>
    <w:rsid w:val="6E6C6C08"/>
    <w:rsid w:val="6E6E2980"/>
    <w:rsid w:val="6E731D44"/>
    <w:rsid w:val="6E7A29DF"/>
    <w:rsid w:val="6E7B1D3D"/>
    <w:rsid w:val="6E7F2DDF"/>
    <w:rsid w:val="6E8807A4"/>
    <w:rsid w:val="6E8E5A29"/>
    <w:rsid w:val="6E9043FC"/>
    <w:rsid w:val="6E91666F"/>
    <w:rsid w:val="6E940121"/>
    <w:rsid w:val="6E964FCD"/>
    <w:rsid w:val="6E9F746E"/>
    <w:rsid w:val="6EA445BA"/>
    <w:rsid w:val="6EB505AF"/>
    <w:rsid w:val="6EB563D5"/>
    <w:rsid w:val="6EB56801"/>
    <w:rsid w:val="6EB67945"/>
    <w:rsid w:val="6EB74327"/>
    <w:rsid w:val="6ED13F5D"/>
    <w:rsid w:val="6ED92677"/>
    <w:rsid w:val="6EDC2B4E"/>
    <w:rsid w:val="6EE141CE"/>
    <w:rsid w:val="6EE86AE3"/>
    <w:rsid w:val="6EEB38DE"/>
    <w:rsid w:val="6EEB3FD1"/>
    <w:rsid w:val="6EEE3AC1"/>
    <w:rsid w:val="6EF33F70"/>
    <w:rsid w:val="6EF46F96"/>
    <w:rsid w:val="6EF57621"/>
    <w:rsid w:val="6F0D3B63"/>
    <w:rsid w:val="6F103A37"/>
    <w:rsid w:val="6F170EA3"/>
    <w:rsid w:val="6F225983"/>
    <w:rsid w:val="6F2319BD"/>
    <w:rsid w:val="6F26325B"/>
    <w:rsid w:val="6F272C23"/>
    <w:rsid w:val="6F2D75A9"/>
    <w:rsid w:val="6F396EE6"/>
    <w:rsid w:val="6F3B10A9"/>
    <w:rsid w:val="6F51652A"/>
    <w:rsid w:val="6F525DFE"/>
    <w:rsid w:val="6F5706F6"/>
    <w:rsid w:val="6F5953DE"/>
    <w:rsid w:val="6F5D3DC6"/>
    <w:rsid w:val="6F63000B"/>
    <w:rsid w:val="6F6555CB"/>
    <w:rsid w:val="6F71097A"/>
    <w:rsid w:val="6F72024E"/>
    <w:rsid w:val="6F79782E"/>
    <w:rsid w:val="6F806E0F"/>
    <w:rsid w:val="6F945C9E"/>
    <w:rsid w:val="6F9821A7"/>
    <w:rsid w:val="6FAD66DC"/>
    <w:rsid w:val="6FAF3250"/>
    <w:rsid w:val="6FB1521A"/>
    <w:rsid w:val="6FBC1B5C"/>
    <w:rsid w:val="6FC50CC6"/>
    <w:rsid w:val="6FF45107"/>
    <w:rsid w:val="6FFA2F0D"/>
    <w:rsid w:val="6FFC5590"/>
    <w:rsid w:val="6FFD3FBC"/>
    <w:rsid w:val="700127C4"/>
    <w:rsid w:val="701E4379"/>
    <w:rsid w:val="70343755"/>
    <w:rsid w:val="70430666"/>
    <w:rsid w:val="705F4C76"/>
    <w:rsid w:val="706D1DD0"/>
    <w:rsid w:val="70716B9C"/>
    <w:rsid w:val="7075001D"/>
    <w:rsid w:val="70790AE9"/>
    <w:rsid w:val="707A3F6A"/>
    <w:rsid w:val="707F0E75"/>
    <w:rsid w:val="70856B87"/>
    <w:rsid w:val="708C7FA7"/>
    <w:rsid w:val="70952446"/>
    <w:rsid w:val="70A45B60"/>
    <w:rsid w:val="70BD33A8"/>
    <w:rsid w:val="70C44AD9"/>
    <w:rsid w:val="70D527EE"/>
    <w:rsid w:val="70E87EA3"/>
    <w:rsid w:val="70F2323A"/>
    <w:rsid w:val="70FE7B2A"/>
    <w:rsid w:val="7101188A"/>
    <w:rsid w:val="71075032"/>
    <w:rsid w:val="711A67B6"/>
    <w:rsid w:val="711F610A"/>
    <w:rsid w:val="7133013D"/>
    <w:rsid w:val="71347EB1"/>
    <w:rsid w:val="7137174F"/>
    <w:rsid w:val="71382C35"/>
    <w:rsid w:val="714479C8"/>
    <w:rsid w:val="715045BF"/>
    <w:rsid w:val="71582BE2"/>
    <w:rsid w:val="715B5300"/>
    <w:rsid w:val="715D2AE6"/>
    <w:rsid w:val="71627B0C"/>
    <w:rsid w:val="717651E8"/>
    <w:rsid w:val="717B788E"/>
    <w:rsid w:val="71836742"/>
    <w:rsid w:val="71897E30"/>
    <w:rsid w:val="71946BA2"/>
    <w:rsid w:val="71A169FF"/>
    <w:rsid w:val="71A65FBA"/>
    <w:rsid w:val="71AB2DCA"/>
    <w:rsid w:val="71AF5789"/>
    <w:rsid w:val="71B26913"/>
    <w:rsid w:val="71B42E4B"/>
    <w:rsid w:val="71C11019"/>
    <w:rsid w:val="71C85997"/>
    <w:rsid w:val="71CC68D9"/>
    <w:rsid w:val="71CD79BE"/>
    <w:rsid w:val="71D27F8A"/>
    <w:rsid w:val="71DE2E6B"/>
    <w:rsid w:val="71E35433"/>
    <w:rsid w:val="71E80C9B"/>
    <w:rsid w:val="71EC078C"/>
    <w:rsid w:val="71F25E60"/>
    <w:rsid w:val="71F60DA2"/>
    <w:rsid w:val="72125B76"/>
    <w:rsid w:val="72187412"/>
    <w:rsid w:val="721F6691"/>
    <w:rsid w:val="72203A85"/>
    <w:rsid w:val="722440C0"/>
    <w:rsid w:val="72290545"/>
    <w:rsid w:val="722A12B4"/>
    <w:rsid w:val="72341FFD"/>
    <w:rsid w:val="723F4FDA"/>
    <w:rsid w:val="72423B23"/>
    <w:rsid w:val="72440C22"/>
    <w:rsid w:val="72444124"/>
    <w:rsid w:val="724A0215"/>
    <w:rsid w:val="72553024"/>
    <w:rsid w:val="725A6FD2"/>
    <w:rsid w:val="7266237A"/>
    <w:rsid w:val="726F6CC7"/>
    <w:rsid w:val="7273749D"/>
    <w:rsid w:val="72916B48"/>
    <w:rsid w:val="72966949"/>
    <w:rsid w:val="72994E37"/>
    <w:rsid w:val="729C3F60"/>
    <w:rsid w:val="729C7C15"/>
    <w:rsid w:val="72A66B8C"/>
    <w:rsid w:val="72B868C0"/>
    <w:rsid w:val="72BA6ACF"/>
    <w:rsid w:val="72CE0533"/>
    <w:rsid w:val="72CE1C3F"/>
    <w:rsid w:val="72D17B1F"/>
    <w:rsid w:val="72D92A8D"/>
    <w:rsid w:val="72E72D01"/>
    <w:rsid w:val="72FD2FA8"/>
    <w:rsid w:val="73005B71"/>
    <w:rsid w:val="730E4732"/>
    <w:rsid w:val="7311772D"/>
    <w:rsid w:val="73122968"/>
    <w:rsid w:val="731F5D5E"/>
    <w:rsid w:val="732B0824"/>
    <w:rsid w:val="732E26DE"/>
    <w:rsid w:val="733377EC"/>
    <w:rsid w:val="73357F10"/>
    <w:rsid w:val="73387644"/>
    <w:rsid w:val="73451404"/>
    <w:rsid w:val="734A6FCB"/>
    <w:rsid w:val="73592F8F"/>
    <w:rsid w:val="735B376E"/>
    <w:rsid w:val="735C552C"/>
    <w:rsid w:val="735F6232"/>
    <w:rsid w:val="736600CA"/>
    <w:rsid w:val="73723375"/>
    <w:rsid w:val="73723EC4"/>
    <w:rsid w:val="737A1498"/>
    <w:rsid w:val="737E3EDF"/>
    <w:rsid w:val="73880040"/>
    <w:rsid w:val="73A0182E"/>
    <w:rsid w:val="73A1473A"/>
    <w:rsid w:val="73A55213"/>
    <w:rsid w:val="73AA7922"/>
    <w:rsid w:val="73B40E35"/>
    <w:rsid w:val="73C3376E"/>
    <w:rsid w:val="73C51AD5"/>
    <w:rsid w:val="73CE0271"/>
    <w:rsid w:val="73D2117E"/>
    <w:rsid w:val="73E07E7C"/>
    <w:rsid w:val="73EF00BF"/>
    <w:rsid w:val="73F6747D"/>
    <w:rsid w:val="74015B0B"/>
    <w:rsid w:val="740378DF"/>
    <w:rsid w:val="74151964"/>
    <w:rsid w:val="74154855"/>
    <w:rsid w:val="7419794B"/>
    <w:rsid w:val="741B0205"/>
    <w:rsid w:val="741E793C"/>
    <w:rsid w:val="74277859"/>
    <w:rsid w:val="742E1017"/>
    <w:rsid w:val="74406B6D"/>
    <w:rsid w:val="74420521"/>
    <w:rsid w:val="744D3038"/>
    <w:rsid w:val="74575C64"/>
    <w:rsid w:val="745C212B"/>
    <w:rsid w:val="745E3944"/>
    <w:rsid w:val="746F2368"/>
    <w:rsid w:val="749658CB"/>
    <w:rsid w:val="74A44BEF"/>
    <w:rsid w:val="74AF5AA0"/>
    <w:rsid w:val="74B414D2"/>
    <w:rsid w:val="74C01A5C"/>
    <w:rsid w:val="74D53BD9"/>
    <w:rsid w:val="74DE1E17"/>
    <w:rsid w:val="74E94603"/>
    <w:rsid w:val="74FA0D97"/>
    <w:rsid w:val="75123F1B"/>
    <w:rsid w:val="75151DA7"/>
    <w:rsid w:val="75220020"/>
    <w:rsid w:val="752C70F1"/>
    <w:rsid w:val="753A04DC"/>
    <w:rsid w:val="7541214F"/>
    <w:rsid w:val="75422471"/>
    <w:rsid w:val="75426FC0"/>
    <w:rsid w:val="7544268D"/>
    <w:rsid w:val="754557B2"/>
    <w:rsid w:val="75596A9F"/>
    <w:rsid w:val="755E2130"/>
    <w:rsid w:val="755F3023"/>
    <w:rsid w:val="756845CD"/>
    <w:rsid w:val="756D573F"/>
    <w:rsid w:val="756E14B8"/>
    <w:rsid w:val="75715FB7"/>
    <w:rsid w:val="75725FCF"/>
    <w:rsid w:val="75755176"/>
    <w:rsid w:val="75785060"/>
    <w:rsid w:val="7586067F"/>
    <w:rsid w:val="758A1640"/>
    <w:rsid w:val="75981A6A"/>
    <w:rsid w:val="759F78C3"/>
    <w:rsid w:val="75B07D22"/>
    <w:rsid w:val="75C80059"/>
    <w:rsid w:val="75D510CB"/>
    <w:rsid w:val="75E1612D"/>
    <w:rsid w:val="75F75951"/>
    <w:rsid w:val="75F93477"/>
    <w:rsid w:val="75FC4A50"/>
    <w:rsid w:val="760E488F"/>
    <w:rsid w:val="7610256F"/>
    <w:rsid w:val="7610431D"/>
    <w:rsid w:val="761107C1"/>
    <w:rsid w:val="761836E2"/>
    <w:rsid w:val="761907A2"/>
    <w:rsid w:val="761D166D"/>
    <w:rsid w:val="761F5511"/>
    <w:rsid w:val="7620613A"/>
    <w:rsid w:val="76235E2F"/>
    <w:rsid w:val="76257DC8"/>
    <w:rsid w:val="7635099D"/>
    <w:rsid w:val="763562D3"/>
    <w:rsid w:val="76487F5B"/>
    <w:rsid w:val="764928A0"/>
    <w:rsid w:val="764F57E5"/>
    <w:rsid w:val="76644FE8"/>
    <w:rsid w:val="766A7ED1"/>
    <w:rsid w:val="768317FC"/>
    <w:rsid w:val="769B008A"/>
    <w:rsid w:val="76A536CA"/>
    <w:rsid w:val="76B31878"/>
    <w:rsid w:val="76B850E0"/>
    <w:rsid w:val="76BA2CD8"/>
    <w:rsid w:val="76C770D1"/>
    <w:rsid w:val="76CC293A"/>
    <w:rsid w:val="76D02C71"/>
    <w:rsid w:val="76D161A2"/>
    <w:rsid w:val="76D67314"/>
    <w:rsid w:val="76DB492B"/>
    <w:rsid w:val="76FE17BD"/>
    <w:rsid w:val="76FF416C"/>
    <w:rsid w:val="770F2826"/>
    <w:rsid w:val="77233499"/>
    <w:rsid w:val="773B6544"/>
    <w:rsid w:val="773D7394"/>
    <w:rsid w:val="77420E4E"/>
    <w:rsid w:val="77495D38"/>
    <w:rsid w:val="774B71A7"/>
    <w:rsid w:val="77501FDA"/>
    <w:rsid w:val="7763329E"/>
    <w:rsid w:val="77677399"/>
    <w:rsid w:val="77692418"/>
    <w:rsid w:val="77737259"/>
    <w:rsid w:val="77762421"/>
    <w:rsid w:val="7788049C"/>
    <w:rsid w:val="77885C1E"/>
    <w:rsid w:val="779025FE"/>
    <w:rsid w:val="77974CF6"/>
    <w:rsid w:val="77B07B65"/>
    <w:rsid w:val="77B56B1F"/>
    <w:rsid w:val="77B91110"/>
    <w:rsid w:val="77C11D73"/>
    <w:rsid w:val="77D06559"/>
    <w:rsid w:val="77DC4DFE"/>
    <w:rsid w:val="77DC6BAC"/>
    <w:rsid w:val="77E45A0F"/>
    <w:rsid w:val="77F02658"/>
    <w:rsid w:val="77F263D0"/>
    <w:rsid w:val="77F87912"/>
    <w:rsid w:val="78022565"/>
    <w:rsid w:val="780F09F4"/>
    <w:rsid w:val="781D2065"/>
    <w:rsid w:val="783B1AB1"/>
    <w:rsid w:val="783E33C3"/>
    <w:rsid w:val="78621628"/>
    <w:rsid w:val="78623556"/>
    <w:rsid w:val="78650F02"/>
    <w:rsid w:val="786B06E8"/>
    <w:rsid w:val="787309E2"/>
    <w:rsid w:val="78776491"/>
    <w:rsid w:val="787C6482"/>
    <w:rsid w:val="78874D6A"/>
    <w:rsid w:val="788B612B"/>
    <w:rsid w:val="789D2EF1"/>
    <w:rsid w:val="789D48B4"/>
    <w:rsid w:val="78A90480"/>
    <w:rsid w:val="78A96D35"/>
    <w:rsid w:val="78BE1B4D"/>
    <w:rsid w:val="78C32EF9"/>
    <w:rsid w:val="78C7160B"/>
    <w:rsid w:val="78D71106"/>
    <w:rsid w:val="78E670A2"/>
    <w:rsid w:val="78E80FA7"/>
    <w:rsid w:val="78F202CE"/>
    <w:rsid w:val="78F76A4B"/>
    <w:rsid w:val="790C1713"/>
    <w:rsid w:val="790F4D60"/>
    <w:rsid w:val="792151BF"/>
    <w:rsid w:val="793A2E4D"/>
    <w:rsid w:val="794E12A4"/>
    <w:rsid w:val="79501600"/>
    <w:rsid w:val="795135CA"/>
    <w:rsid w:val="79554E68"/>
    <w:rsid w:val="7956298E"/>
    <w:rsid w:val="796A4136"/>
    <w:rsid w:val="796F3AB6"/>
    <w:rsid w:val="79725A1A"/>
    <w:rsid w:val="797652DF"/>
    <w:rsid w:val="797F6431"/>
    <w:rsid w:val="798017B9"/>
    <w:rsid w:val="79811B4C"/>
    <w:rsid w:val="79936595"/>
    <w:rsid w:val="799C5099"/>
    <w:rsid w:val="79A379EC"/>
    <w:rsid w:val="79AF2E4D"/>
    <w:rsid w:val="79B95D37"/>
    <w:rsid w:val="79BE0C60"/>
    <w:rsid w:val="79CC48D9"/>
    <w:rsid w:val="79DC79FF"/>
    <w:rsid w:val="79F67CFD"/>
    <w:rsid w:val="7A080F4C"/>
    <w:rsid w:val="7A1B3262"/>
    <w:rsid w:val="7A2B5BC9"/>
    <w:rsid w:val="7A2F5A49"/>
    <w:rsid w:val="7A2F6AD2"/>
    <w:rsid w:val="7A364017"/>
    <w:rsid w:val="7A3857F4"/>
    <w:rsid w:val="7A401A94"/>
    <w:rsid w:val="7A48677B"/>
    <w:rsid w:val="7A57076C"/>
    <w:rsid w:val="7A5C314A"/>
    <w:rsid w:val="7A5E5498"/>
    <w:rsid w:val="7A612F42"/>
    <w:rsid w:val="7A67448F"/>
    <w:rsid w:val="7A6871CC"/>
    <w:rsid w:val="7A6B4218"/>
    <w:rsid w:val="7A797175"/>
    <w:rsid w:val="7A7C6425"/>
    <w:rsid w:val="7A8265E1"/>
    <w:rsid w:val="7A963745"/>
    <w:rsid w:val="7A97500D"/>
    <w:rsid w:val="7ABC1261"/>
    <w:rsid w:val="7AC030F3"/>
    <w:rsid w:val="7AC34054"/>
    <w:rsid w:val="7AC85589"/>
    <w:rsid w:val="7AC878BC"/>
    <w:rsid w:val="7AE579DD"/>
    <w:rsid w:val="7AF27E18"/>
    <w:rsid w:val="7AFD7566"/>
    <w:rsid w:val="7B013F64"/>
    <w:rsid w:val="7B031E12"/>
    <w:rsid w:val="7B036659"/>
    <w:rsid w:val="7B0D3DE9"/>
    <w:rsid w:val="7B1043AA"/>
    <w:rsid w:val="7B1410EB"/>
    <w:rsid w:val="7B1623D5"/>
    <w:rsid w:val="7B203524"/>
    <w:rsid w:val="7B2971B1"/>
    <w:rsid w:val="7B2A7C2F"/>
    <w:rsid w:val="7B2D285A"/>
    <w:rsid w:val="7B310FBD"/>
    <w:rsid w:val="7B3C1625"/>
    <w:rsid w:val="7B476A33"/>
    <w:rsid w:val="7B4927AB"/>
    <w:rsid w:val="7B4D233E"/>
    <w:rsid w:val="7B6018A2"/>
    <w:rsid w:val="7B686D42"/>
    <w:rsid w:val="7B760682"/>
    <w:rsid w:val="7B7B7EB5"/>
    <w:rsid w:val="7B7D0EB4"/>
    <w:rsid w:val="7B841746"/>
    <w:rsid w:val="7B8C73D5"/>
    <w:rsid w:val="7B98103C"/>
    <w:rsid w:val="7B9B1B35"/>
    <w:rsid w:val="7BAD0C33"/>
    <w:rsid w:val="7BBF044F"/>
    <w:rsid w:val="7BBF0787"/>
    <w:rsid w:val="7BBF2094"/>
    <w:rsid w:val="7BC31525"/>
    <w:rsid w:val="7BD007D6"/>
    <w:rsid w:val="7BE452A3"/>
    <w:rsid w:val="7BF678AB"/>
    <w:rsid w:val="7BF90FDA"/>
    <w:rsid w:val="7C063236"/>
    <w:rsid w:val="7C07224C"/>
    <w:rsid w:val="7C09112C"/>
    <w:rsid w:val="7C1109EB"/>
    <w:rsid w:val="7C1B7B9A"/>
    <w:rsid w:val="7C1F353C"/>
    <w:rsid w:val="7C275EA2"/>
    <w:rsid w:val="7C2F5226"/>
    <w:rsid w:val="7C3945CD"/>
    <w:rsid w:val="7C3A38C1"/>
    <w:rsid w:val="7C3D62CC"/>
    <w:rsid w:val="7C4A67DB"/>
    <w:rsid w:val="7C606862"/>
    <w:rsid w:val="7C686C61"/>
    <w:rsid w:val="7C6C5AC7"/>
    <w:rsid w:val="7C727ADF"/>
    <w:rsid w:val="7C804790"/>
    <w:rsid w:val="7C8971EE"/>
    <w:rsid w:val="7C9B7036"/>
    <w:rsid w:val="7C9E6B26"/>
    <w:rsid w:val="7C9F7CC3"/>
    <w:rsid w:val="7CA704E1"/>
    <w:rsid w:val="7CA81753"/>
    <w:rsid w:val="7CA818B8"/>
    <w:rsid w:val="7CAA7279"/>
    <w:rsid w:val="7CAB32E5"/>
    <w:rsid w:val="7CAB4D9F"/>
    <w:rsid w:val="7CBC2834"/>
    <w:rsid w:val="7CC15B86"/>
    <w:rsid w:val="7CC6544B"/>
    <w:rsid w:val="7CD21DC2"/>
    <w:rsid w:val="7CE41794"/>
    <w:rsid w:val="7D020E63"/>
    <w:rsid w:val="7D0239FF"/>
    <w:rsid w:val="7D03104B"/>
    <w:rsid w:val="7D1172F8"/>
    <w:rsid w:val="7D1408AF"/>
    <w:rsid w:val="7D1B0177"/>
    <w:rsid w:val="7D1D3EEF"/>
    <w:rsid w:val="7D261235"/>
    <w:rsid w:val="7D2D1C58"/>
    <w:rsid w:val="7D323412"/>
    <w:rsid w:val="7D4E40A8"/>
    <w:rsid w:val="7D4E4971"/>
    <w:rsid w:val="7D546E14"/>
    <w:rsid w:val="7D5A0C9F"/>
    <w:rsid w:val="7D5B4A17"/>
    <w:rsid w:val="7D5C2C4D"/>
    <w:rsid w:val="7D5C3295"/>
    <w:rsid w:val="7D5E40CD"/>
    <w:rsid w:val="7D60202E"/>
    <w:rsid w:val="7D63340A"/>
    <w:rsid w:val="7D67744A"/>
    <w:rsid w:val="7D6E6F6F"/>
    <w:rsid w:val="7D7502FA"/>
    <w:rsid w:val="7D824344"/>
    <w:rsid w:val="7D8C4BD1"/>
    <w:rsid w:val="7D94748A"/>
    <w:rsid w:val="7D9A3459"/>
    <w:rsid w:val="7D9F66B2"/>
    <w:rsid w:val="7DA4016C"/>
    <w:rsid w:val="7DBB006B"/>
    <w:rsid w:val="7DBC6B8A"/>
    <w:rsid w:val="7DBD5721"/>
    <w:rsid w:val="7DCA2585"/>
    <w:rsid w:val="7DCC0EA3"/>
    <w:rsid w:val="7DCD56F2"/>
    <w:rsid w:val="7DCE343B"/>
    <w:rsid w:val="7DDD71DA"/>
    <w:rsid w:val="7DDF7AB8"/>
    <w:rsid w:val="7DE8140E"/>
    <w:rsid w:val="7DE92023"/>
    <w:rsid w:val="7DF5022B"/>
    <w:rsid w:val="7DF9033F"/>
    <w:rsid w:val="7DFE236F"/>
    <w:rsid w:val="7DFF759B"/>
    <w:rsid w:val="7E064983"/>
    <w:rsid w:val="7E0F1EF9"/>
    <w:rsid w:val="7E1018A0"/>
    <w:rsid w:val="7E104416"/>
    <w:rsid w:val="7E1E09E5"/>
    <w:rsid w:val="7E23372F"/>
    <w:rsid w:val="7E2E3EDA"/>
    <w:rsid w:val="7E3268FB"/>
    <w:rsid w:val="7E327526"/>
    <w:rsid w:val="7E33504C"/>
    <w:rsid w:val="7E431286"/>
    <w:rsid w:val="7E4A776E"/>
    <w:rsid w:val="7E4B1BEE"/>
    <w:rsid w:val="7E4E39DD"/>
    <w:rsid w:val="7E552DFD"/>
    <w:rsid w:val="7E557C19"/>
    <w:rsid w:val="7E5811A8"/>
    <w:rsid w:val="7E5C27F5"/>
    <w:rsid w:val="7E5D031B"/>
    <w:rsid w:val="7E617E0B"/>
    <w:rsid w:val="7E7062A0"/>
    <w:rsid w:val="7E751B09"/>
    <w:rsid w:val="7E8F2BCB"/>
    <w:rsid w:val="7E930E19"/>
    <w:rsid w:val="7E983BC3"/>
    <w:rsid w:val="7EA36676"/>
    <w:rsid w:val="7EA40378"/>
    <w:rsid w:val="7EAD4ECC"/>
    <w:rsid w:val="7EBA3617"/>
    <w:rsid w:val="7ECC4AB1"/>
    <w:rsid w:val="7EDB7BBE"/>
    <w:rsid w:val="7EE0240D"/>
    <w:rsid w:val="7EE527EB"/>
    <w:rsid w:val="7EE6302A"/>
    <w:rsid w:val="7EF454F2"/>
    <w:rsid w:val="7EFB5170"/>
    <w:rsid w:val="7F001CE7"/>
    <w:rsid w:val="7F030EC3"/>
    <w:rsid w:val="7F161D0D"/>
    <w:rsid w:val="7F195B47"/>
    <w:rsid w:val="7F2A0E86"/>
    <w:rsid w:val="7F3939AC"/>
    <w:rsid w:val="7F3C76A8"/>
    <w:rsid w:val="7F437511"/>
    <w:rsid w:val="7F46318E"/>
    <w:rsid w:val="7F4C0ABC"/>
    <w:rsid w:val="7F4C286A"/>
    <w:rsid w:val="7F4F235A"/>
    <w:rsid w:val="7F5636E8"/>
    <w:rsid w:val="7F622EFA"/>
    <w:rsid w:val="7F7534CB"/>
    <w:rsid w:val="7F7930B1"/>
    <w:rsid w:val="7F9D6ADE"/>
    <w:rsid w:val="7FA75F4F"/>
    <w:rsid w:val="7FA91A6A"/>
    <w:rsid w:val="7FA93F55"/>
    <w:rsid w:val="7FB13FFD"/>
    <w:rsid w:val="7FB16B71"/>
    <w:rsid w:val="7FB977D3"/>
    <w:rsid w:val="7FBF303C"/>
    <w:rsid w:val="7FC156D7"/>
    <w:rsid w:val="7FD75FCB"/>
    <w:rsid w:val="7FDC68AE"/>
    <w:rsid w:val="7FDD5BB8"/>
    <w:rsid w:val="7FE47E50"/>
    <w:rsid w:val="7FE536E9"/>
    <w:rsid w:val="7FEB055A"/>
    <w:rsid w:val="7FF37189"/>
    <w:rsid w:val="7FFB7DEC"/>
    <w:rsid w:val="7FFE3B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semiHidden="0" w:name="heading 3" w:locked="1"/>
    <w:lsdException w:qFormat="1" w:unhideWhenUsed="0" w:uiPriority="0" w:semiHidden="0" w:name="heading 4" w:locked="1"/>
    <w:lsdException w:qFormat="1" w:unhideWhenUsed="0"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qFormat="1" w:unhideWhenUsed="0" w:uiPriority="99" w:name="index 9" w:locked="1"/>
    <w:lsdException w:qFormat="1" w:unhideWhenUsed="0" w:uiPriority="0" w:name="toc 1" w:locked="1"/>
    <w:lsdException w:qFormat="1" w:unhideWhenUsed="0" w:uiPriority="0" w:name="toc 2" w:locked="1"/>
    <w:lsdException w:unhideWhenUsed="0" w:uiPriority="0" w:semiHidden="0" w:name="toc 3" w:locked="1"/>
    <w:lsdException w:qFormat="1"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qFormat="1"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qFormat="1"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qFormat="1" w:unhideWhenUsed="0" w:uiPriority="0" w:semiHidden="0" w:name="Block Text" w:locked="1"/>
    <w:lsdException w:qFormat="1" w:unhideWhenUsed="0" w:uiPriority="0" w:semiHidden="0" w:name="Hyperlink" w:locked="1"/>
    <w:lsdException w:qFormat="1"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autoRedefine/>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4"/>
    <w:autoRedefine/>
    <w:unhideWhenUsed/>
    <w:qFormat/>
    <w:locked/>
    <w:uiPriority w:val="0"/>
    <w:pPr>
      <w:spacing w:afterAutospacing="1" w:line="360" w:lineRule="auto"/>
      <w:jc w:val="left"/>
      <w:outlineLvl w:val="1"/>
    </w:pPr>
    <w:rPr>
      <w:b/>
      <w:kern w:val="0"/>
      <w:sz w:val="24"/>
      <w:szCs w:val="36"/>
    </w:rPr>
  </w:style>
  <w:style w:type="paragraph" w:styleId="6">
    <w:name w:val="heading 3"/>
    <w:basedOn w:val="1"/>
    <w:next w:val="1"/>
    <w:autoRedefine/>
    <w:unhideWhenUsed/>
    <w:qFormat/>
    <w:locked/>
    <w:uiPriority w:val="0"/>
    <w:pPr>
      <w:snapToGrid w:val="0"/>
      <w:spacing w:line="360" w:lineRule="auto"/>
      <w:jc w:val="left"/>
      <w:outlineLvl w:val="2"/>
    </w:pPr>
    <w:rPr>
      <w:rFonts w:hint="eastAsia" w:ascii="宋体" w:hAnsi="宋体"/>
      <w:b/>
      <w:kern w:val="0"/>
      <w:sz w:val="24"/>
      <w:szCs w:val="27"/>
    </w:rPr>
  </w:style>
  <w:style w:type="paragraph" w:styleId="7">
    <w:name w:val="heading 4"/>
    <w:basedOn w:val="1"/>
    <w:next w:val="1"/>
    <w:autoRedefine/>
    <w:qFormat/>
    <w:locked/>
    <w:uiPriority w:val="0"/>
    <w:pPr>
      <w:keepNext/>
      <w:keepLines/>
      <w:spacing w:line="372" w:lineRule="auto"/>
      <w:outlineLvl w:val="3"/>
    </w:pPr>
    <w:rPr>
      <w:rFonts w:ascii="Calibri Light" w:hAnsi="Calibri Light"/>
      <w:b/>
      <w:kern w:val="0"/>
      <w:sz w:val="28"/>
    </w:rPr>
  </w:style>
  <w:style w:type="paragraph" w:styleId="8">
    <w:name w:val="heading 5"/>
    <w:basedOn w:val="1"/>
    <w:next w:val="1"/>
    <w:qFormat/>
    <w:locked/>
    <w:uiPriority w:val="0"/>
    <w:pPr>
      <w:snapToGrid w:val="0"/>
      <w:outlineLvl w:val="4"/>
    </w:pPr>
    <w:rPr>
      <w:rFonts w:hint="eastAsia"/>
      <w:szCs w:val="21"/>
    </w:rPr>
  </w:style>
  <w:style w:type="character" w:default="1" w:styleId="37">
    <w:name w:val="Default Paragraph Font"/>
    <w:semiHidden/>
    <w:unhideWhenUsed/>
    <w:qFormat/>
    <w:uiPriority w:val="1"/>
  </w:style>
  <w:style w:type="table" w:default="1" w:styleId="35">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4">
    <w:name w:val="Normal Indent"/>
    <w:basedOn w:val="1"/>
    <w:next w:val="5"/>
    <w:autoRedefine/>
    <w:qFormat/>
    <w:locked/>
    <w:uiPriority w:val="0"/>
    <w:pPr>
      <w:adjustRightInd w:val="0"/>
      <w:snapToGrid w:val="0"/>
      <w:spacing w:line="460" w:lineRule="atLeast"/>
      <w:ind w:firstLine="200" w:firstLineChars="200"/>
    </w:pPr>
    <w:rPr>
      <w:sz w:val="28"/>
      <w:szCs w:val="28"/>
    </w:rPr>
  </w:style>
  <w:style w:type="paragraph" w:styleId="5">
    <w:name w:val="Body Text"/>
    <w:basedOn w:val="1"/>
    <w:link w:val="76"/>
    <w:autoRedefine/>
    <w:qFormat/>
    <w:uiPriority w:val="0"/>
    <w:pPr>
      <w:widowControl/>
      <w:snapToGrid w:val="0"/>
      <w:spacing w:before="60" w:after="160" w:line="259" w:lineRule="auto"/>
      <w:ind w:right="113"/>
    </w:pPr>
    <w:rPr>
      <w:kern w:val="0"/>
      <w:sz w:val="18"/>
      <w:szCs w:val="20"/>
    </w:rPr>
  </w:style>
  <w:style w:type="paragraph" w:styleId="9">
    <w:name w:val="List 3"/>
    <w:basedOn w:val="1"/>
    <w:autoRedefine/>
    <w:qFormat/>
    <w:locked/>
    <w:uiPriority w:val="0"/>
    <w:pPr>
      <w:spacing w:line="360" w:lineRule="auto"/>
      <w:ind w:left="100" w:leftChars="400" w:hanging="200" w:hangingChars="200"/>
    </w:pPr>
    <w:rPr>
      <w:rFonts w:eastAsia="仿宋_GB2312"/>
      <w:sz w:val="24"/>
    </w:rPr>
  </w:style>
  <w:style w:type="paragraph" w:styleId="10">
    <w:name w:val="caption"/>
    <w:basedOn w:val="1"/>
    <w:next w:val="11"/>
    <w:autoRedefine/>
    <w:qFormat/>
    <w:locked/>
    <w:uiPriority w:val="0"/>
    <w:pPr>
      <w:spacing w:line="440" w:lineRule="exact"/>
      <w:ind w:firstLine="480"/>
      <w:jc w:val="center"/>
    </w:pPr>
    <w:rPr>
      <w:rFonts w:cs="Arial"/>
    </w:rPr>
  </w:style>
  <w:style w:type="paragraph" w:customStyle="1" w:styleId="11">
    <w:name w:val="段落正文"/>
    <w:autoRedefine/>
    <w:qFormat/>
    <w:uiPriority w:val="0"/>
    <w:pPr>
      <w:spacing w:line="360" w:lineRule="auto"/>
      <w:ind w:firstLine="420" w:firstLineChars="200"/>
    </w:pPr>
    <w:rPr>
      <w:rFonts w:ascii="Times New Roman" w:hAnsi="宋体" w:eastAsia="宋体" w:cs="Times New Roman"/>
      <w:bCs/>
      <w:kern w:val="2"/>
      <w:sz w:val="21"/>
      <w:szCs w:val="21"/>
      <w:lang w:val="en-US" w:eastAsia="zh-CN" w:bidi="ar-SA"/>
    </w:rPr>
  </w:style>
  <w:style w:type="paragraph" w:styleId="12">
    <w:name w:val="toa heading"/>
    <w:basedOn w:val="1"/>
    <w:next w:val="1"/>
    <w:autoRedefine/>
    <w:qFormat/>
    <w:locked/>
    <w:uiPriority w:val="0"/>
    <w:pPr>
      <w:spacing w:before="120" w:after="120"/>
      <w:jc w:val="left"/>
    </w:pPr>
    <w:rPr>
      <w:u w:val="single"/>
    </w:rPr>
  </w:style>
  <w:style w:type="paragraph" w:styleId="13">
    <w:name w:val="annotation text"/>
    <w:basedOn w:val="1"/>
    <w:link w:val="82"/>
    <w:autoRedefine/>
    <w:semiHidden/>
    <w:qFormat/>
    <w:uiPriority w:val="0"/>
    <w:pPr>
      <w:jc w:val="left"/>
    </w:pPr>
    <w:rPr>
      <w:kern w:val="0"/>
      <w:sz w:val="24"/>
      <w:szCs w:val="20"/>
    </w:rPr>
  </w:style>
  <w:style w:type="paragraph" w:styleId="14">
    <w:name w:val="Body Text Indent"/>
    <w:basedOn w:val="1"/>
    <w:link w:val="77"/>
    <w:autoRedefine/>
    <w:qFormat/>
    <w:uiPriority w:val="0"/>
    <w:pPr>
      <w:spacing w:after="120"/>
      <w:ind w:left="420" w:leftChars="200"/>
    </w:pPr>
    <w:rPr>
      <w:kern w:val="0"/>
      <w:sz w:val="24"/>
      <w:szCs w:val="20"/>
    </w:rPr>
  </w:style>
  <w:style w:type="paragraph" w:styleId="15">
    <w:name w:val="Block Text"/>
    <w:basedOn w:val="1"/>
    <w:autoRedefine/>
    <w:qFormat/>
    <w:locked/>
    <w:uiPriority w:val="0"/>
    <w:pPr>
      <w:adjustRightInd w:val="0"/>
      <w:snapToGrid w:val="0"/>
      <w:spacing w:line="300" w:lineRule="atLeast"/>
      <w:ind w:left="420" w:leftChars="200" w:right="-336" w:rightChars="-160"/>
    </w:pPr>
  </w:style>
  <w:style w:type="paragraph" w:styleId="16">
    <w:name w:val="Plain Text"/>
    <w:basedOn w:val="1"/>
    <w:next w:val="17"/>
    <w:autoRedefine/>
    <w:qFormat/>
    <w:locked/>
    <w:uiPriority w:val="0"/>
    <w:rPr>
      <w:rFonts w:ascii="宋体" w:hAnsi="Courier New"/>
      <w:szCs w:val="20"/>
    </w:rPr>
  </w:style>
  <w:style w:type="paragraph" w:customStyle="1" w:styleId="17">
    <w:name w:val="表内文字"/>
    <w:basedOn w:val="1"/>
    <w:next w:val="18"/>
    <w:autoRedefine/>
    <w:qFormat/>
    <w:uiPriority w:val="0"/>
    <w:pPr>
      <w:spacing w:line="360" w:lineRule="atLeast"/>
      <w:jc w:val="center"/>
    </w:pPr>
  </w:style>
  <w:style w:type="paragraph" w:customStyle="1" w:styleId="18">
    <w:name w:val="+正文"/>
    <w:basedOn w:val="1"/>
    <w:autoRedefine/>
    <w:qFormat/>
    <w:uiPriority w:val="0"/>
    <w:pPr>
      <w:spacing w:line="360" w:lineRule="auto"/>
      <w:ind w:firstLine="560" w:firstLineChars="200"/>
      <w:outlineLvl w:val="0"/>
    </w:pPr>
    <w:rPr>
      <w:rFonts w:ascii="宋体"/>
      <w:sz w:val="28"/>
      <w:szCs w:val="28"/>
    </w:rPr>
  </w:style>
  <w:style w:type="paragraph" w:styleId="19">
    <w:name w:val="Date"/>
    <w:basedOn w:val="1"/>
    <w:next w:val="1"/>
    <w:link w:val="83"/>
    <w:autoRedefine/>
    <w:qFormat/>
    <w:uiPriority w:val="0"/>
    <w:pPr>
      <w:ind w:left="100" w:leftChars="2500"/>
    </w:pPr>
    <w:rPr>
      <w:kern w:val="0"/>
      <w:sz w:val="24"/>
      <w:szCs w:val="20"/>
    </w:rPr>
  </w:style>
  <w:style w:type="paragraph" w:styleId="20">
    <w:name w:val="Body Text Indent 2"/>
    <w:basedOn w:val="1"/>
    <w:next w:val="12"/>
    <w:autoRedefine/>
    <w:qFormat/>
    <w:locked/>
    <w:uiPriority w:val="0"/>
    <w:pPr>
      <w:spacing w:after="120" w:line="480" w:lineRule="auto"/>
      <w:ind w:left="420" w:leftChars="200"/>
    </w:pPr>
  </w:style>
  <w:style w:type="paragraph" w:styleId="21">
    <w:name w:val="Balloon Text"/>
    <w:basedOn w:val="1"/>
    <w:link w:val="74"/>
    <w:autoRedefine/>
    <w:semiHidden/>
    <w:qFormat/>
    <w:uiPriority w:val="0"/>
    <w:rPr>
      <w:kern w:val="0"/>
      <w:sz w:val="18"/>
      <w:szCs w:val="20"/>
    </w:rPr>
  </w:style>
  <w:style w:type="paragraph" w:styleId="22">
    <w:name w:val="footer"/>
    <w:basedOn w:val="1"/>
    <w:link w:val="79"/>
    <w:autoRedefine/>
    <w:qFormat/>
    <w:uiPriority w:val="99"/>
    <w:pPr>
      <w:tabs>
        <w:tab w:val="center" w:pos="4153"/>
        <w:tab w:val="right" w:pos="8306"/>
      </w:tabs>
      <w:snapToGrid w:val="0"/>
      <w:jc w:val="left"/>
    </w:pPr>
    <w:rPr>
      <w:kern w:val="0"/>
      <w:sz w:val="18"/>
      <w:szCs w:val="20"/>
    </w:rPr>
  </w:style>
  <w:style w:type="paragraph" w:styleId="23">
    <w:name w:val="header"/>
    <w:basedOn w:val="1"/>
    <w:next w:val="24"/>
    <w:link w:val="81"/>
    <w:autoRedefine/>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24">
    <w:name w:val="样式5"/>
    <w:basedOn w:val="25"/>
    <w:autoRedefine/>
    <w:qFormat/>
    <w:uiPriority w:val="0"/>
    <w:pPr>
      <w:spacing w:line="580" w:lineRule="exact"/>
      <w:ind w:firstLine="720" w:firstLineChars="300"/>
    </w:pPr>
    <w:rPr>
      <w:rFonts w:ascii="黑体" w:eastAsia="黑体"/>
    </w:rPr>
  </w:style>
  <w:style w:type="paragraph" w:customStyle="1" w:styleId="25">
    <w:name w:val="正文1"/>
    <w:basedOn w:val="1"/>
    <w:next w:val="1"/>
    <w:autoRedefine/>
    <w:qFormat/>
    <w:uiPriority w:val="99"/>
    <w:pPr>
      <w:spacing w:line="360" w:lineRule="auto"/>
    </w:pPr>
    <w:rPr>
      <w:rFonts w:ascii="宋体" w:hAnsi="宋体"/>
      <w:sz w:val="24"/>
      <w:lang w:val="zh-CN"/>
    </w:rPr>
  </w:style>
  <w:style w:type="paragraph" w:styleId="26">
    <w:name w:val="toc 1"/>
    <w:basedOn w:val="1"/>
    <w:next w:val="1"/>
    <w:autoRedefine/>
    <w:semiHidden/>
    <w:qFormat/>
    <w:locked/>
    <w:uiPriority w:val="0"/>
    <w:pPr>
      <w:tabs>
        <w:tab w:val="right" w:leader="dot" w:pos="8296"/>
      </w:tabs>
      <w:jc w:val="center"/>
    </w:pPr>
    <w:rPr>
      <w:b/>
      <w:szCs w:val="30"/>
    </w:rPr>
  </w:style>
  <w:style w:type="paragraph" w:styleId="27">
    <w:name w:val="toc 4"/>
    <w:basedOn w:val="1"/>
    <w:next w:val="1"/>
    <w:qFormat/>
    <w:locked/>
    <w:uiPriority w:val="0"/>
    <w:pPr>
      <w:ind w:left="1260" w:leftChars="600"/>
    </w:pPr>
  </w:style>
  <w:style w:type="paragraph" w:styleId="28">
    <w:name w:val="List"/>
    <w:basedOn w:val="1"/>
    <w:qFormat/>
    <w:locked/>
    <w:uiPriority w:val="0"/>
    <w:pPr>
      <w:ind w:left="200" w:hanging="200" w:hangingChars="200"/>
    </w:pPr>
  </w:style>
  <w:style w:type="paragraph" w:styleId="29">
    <w:name w:val="index 9"/>
    <w:basedOn w:val="1"/>
    <w:next w:val="1"/>
    <w:semiHidden/>
    <w:qFormat/>
    <w:locked/>
    <w:uiPriority w:val="99"/>
    <w:pPr>
      <w:ind w:left="3360"/>
    </w:pPr>
  </w:style>
  <w:style w:type="paragraph" w:styleId="30">
    <w:name w:val="toc 2"/>
    <w:basedOn w:val="1"/>
    <w:next w:val="1"/>
    <w:semiHidden/>
    <w:qFormat/>
    <w:locked/>
    <w:uiPriority w:val="0"/>
    <w:pPr>
      <w:ind w:left="420" w:leftChars="200"/>
    </w:pPr>
  </w:style>
  <w:style w:type="paragraph" w:styleId="31">
    <w:name w:val="Normal (Web)"/>
    <w:basedOn w:val="1"/>
    <w:link w:val="72"/>
    <w:autoRedefine/>
    <w:qFormat/>
    <w:uiPriority w:val="0"/>
    <w:pPr>
      <w:widowControl/>
      <w:spacing w:before="100" w:beforeAutospacing="1" w:after="100" w:afterAutospacing="1"/>
      <w:jc w:val="left"/>
    </w:pPr>
    <w:rPr>
      <w:rFonts w:ascii="宋体" w:hAnsi="宋体"/>
      <w:kern w:val="0"/>
      <w:sz w:val="24"/>
      <w:szCs w:val="20"/>
    </w:rPr>
  </w:style>
  <w:style w:type="paragraph" w:styleId="32">
    <w:name w:val="annotation subject"/>
    <w:basedOn w:val="13"/>
    <w:next w:val="13"/>
    <w:link w:val="71"/>
    <w:autoRedefine/>
    <w:semiHidden/>
    <w:qFormat/>
    <w:uiPriority w:val="0"/>
    <w:rPr>
      <w:b/>
    </w:rPr>
  </w:style>
  <w:style w:type="paragraph" w:styleId="33">
    <w:name w:val="Body Text First Indent"/>
    <w:basedOn w:val="5"/>
    <w:autoRedefine/>
    <w:qFormat/>
    <w:locked/>
    <w:uiPriority w:val="0"/>
    <w:pPr>
      <w:spacing w:after="120"/>
      <w:ind w:firstLine="420" w:firstLineChars="100"/>
    </w:pPr>
    <w:rPr>
      <w:sz w:val="21"/>
      <w:szCs w:val="24"/>
    </w:rPr>
  </w:style>
  <w:style w:type="paragraph" w:styleId="34">
    <w:name w:val="Body Text First Indent 2"/>
    <w:basedOn w:val="14"/>
    <w:autoRedefine/>
    <w:qFormat/>
    <w:locked/>
    <w:uiPriority w:val="0"/>
    <w:pPr>
      <w:ind w:firstLine="420" w:firstLineChars="200"/>
    </w:pPr>
  </w:style>
  <w:style w:type="table" w:styleId="36">
    <w:name w:val="Table Grid"/>
    <w:basedOn w:val="35"/>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8">
    <w:name w:val="Strong"/>
    <w:basedOn w:val="37"/>
    <w:autoRedefine/>
    <w:qFormat/>
    <w:locked/>
    <w:uiPriority w:val="0"/>
    <w:rPr>
      <w:b/>
    </w:rPr>
  </w:style>
  <w:style w:type="character" w:styleId="39">
    <w:name w:val="page number"/>
    <w:basedOn w:val="37"/>
    <w:autoRedefine/>
    <w:qFormat/>
    <w:locked/>
    <w:uiPriority w:val="0"/>
  </w:style>
  <w:style w:type="character" w:styleId="40">
    <w:name w:val="FollowedHyperlink"/>
    <w:basedOn w:val="37"/>
    <w:autoRedefine/>
    <w:qFormat/>
    <w:locked/>
    <w:uiPriority w:val="0"/>
    <w:rPr>
      <w:color w:val="595758"/>
      <w:u w:val="none"/>
    </w:rPr>
  </w:style>
  <w:style w:type="character" w:styleId="41">
    <w:name w:val="Hyperlink"/>
    <w:basedOn w:val="37"/>
    <w:autoRedefine/>
    <w:qFormat/>
    <w:locked/>
    <w:uiPriority w:val="0"/>
    <w:rPr>
      <w:color w:val="595758"/>
      <w:u w:val="none"/>
    </w:rPr>
  </w:style>
  <w:style w:type="character" w:styleId="42">
    <w:name w:val="annotation reference"/>
    <w:basedOn w:val="37"/>
    <w:autoRedefine/>
    <w:semiHidden/>
    <w:qFormat/>
    <w:uiPriority w:val="0"/>
    <w:rPr>
      <w:sz w:val="21"/>
    </w:rPr>
  </w:style>
  <w:style w:type="paragraph" w:customStyle="1" w:styleId="43">
    <w:name w:val="样式 正文文本 + 首行缩进:  2 字符"/>
    <w:basedOn w:val="5"/>
    <w:qFormat/>
    <w:uiPriority w:val="99"/>
    <w:pPr>
      <w:spacing w:after="200" w:line="480" w:lineRule="exact"/>
      <w:ind w:firstLine="480"/>
    </w:pPr>
    <w:rPr>
      <w:rFonts w:ascii="宋体" w:hAnsi="宋体"/>
      <w:sz w:val="24"/>
    </w:rPr>
  </w:style>
  <w:style w:type="paragraph" w:customStyle="1" w:styleId="44">
    <w:name w:val="默认段落"/>
    <w:basedOn w:val="1"/>
    <w:autoRedefine/>
    <w:qFormat/>
    <w:uiPriority w:val="99"/>
  </w:style>
  <w:style w:type="paragraph" w:customStyle="1" w:styleId="45">
    <w:name w:val="Default"/>
    <w:basedOn w:val="46"/>
    <w:autoRedefine/>
    <w:unhideWhenUsed/>
    <w:qFormat/>
    <w:uiPriority w:val="99"/>
    <w:pPr>
      <w:widowControl w:val="0"/>
      <w:autoSpaceDE w:val="0"/>
      <w:autoSpaceDN w:val="0"/>
      <w:adjustRightInd w:val="0"/>
    </w:pPr>
    <w:rPr>
      <w:rFonts w:hint="eastAsia" w:ascii="宋体" w:hAnsi="宋体" w:eastAsia="宋体" w:cs="Times New Roman"/>
      <w:color w:val="000000"/>
      <w:sz w:val="24"/>
    </w:rPr>
  </w:style>
  <w:style w:type="paragraph" w:customStyle="1" w:styleId="46">
    <w:name w:val="标题 段落4级"/>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customStyle="1" w:styleId="47">
    <w:name w:val="表头"/>
    <w:basedOn w:val="28"/>
    <w:next w:val="1"/>
    <w:autoRedefine/>
    <w:qFormat/>
    <w:uiPriority w:val="0"/>
    <w:pPr>
      <w:ind w:firstLine="300" w:firstLineChars="300"/>
    </w:pPr>
    <w:rPr>
      <w:rFonts w:eastAsia="黑体"/>
      <w:bCs/>
    </w:rPr>
  </w:style>
  <w:style w:type="paragraph" w:customStyle="1" w:styleId="48">
    <w:name w:val="正文首行缩进  2字符"/>
    <w:basedOn w:val="1"/>
    <w:autoRedefine/>
    <w:qFormat/>
    <w:uiPriority w:val="0"/>
    <w:pPr>
      <w:widowControl/>
      <w:ind w:firstLine="480"/>
    </w:pPr>
  </w:style>
  <w:style w:type="paragraph" w:customStyle="1" w:styleId="49">
    <w:name w:val="报告表格式"/>
    <w:basedOn w:val="1"/>
    <w:link w:val="99"/>
    <w:autoRedefine/>
    <w:qFormat/>
    <w:uiPriority w:val="0"/>
    <w:pPr>
      <w:spacing w:line="360" w:lineRule="auto"/>
      <w:ind w:firstLine="720" w:firstLineChars="200"/>
      <w:jc w:val="left"/>
    </w:pPr>
  </w:style>
  <w:style w:type="paragraph" w:customStyle="1" w:styleId="50">
    <w:name w:val="2表格内正文"/>
    <w:basedOn w:val="1"/>
    <w:autoRedefine/>
    <w:qFormat/>
    <w:uiPriority w:val="0"/>
    <w:pPr>
      <w:adjustRightInd w:val="0"/>
      <w:snapToGrid w:val="0"/>
      <w:jc w:val="center"/>
    </w:pPr>
    <w:rPr>
      <w:rFonts w:cs="宋体"/>
    </w:rPr>
  </w:style>
  <w:style w:type="paragraph" w:customStyle="1" w:styleId="51">
    <w:name w:val="2图表标题"/>
    <w:basedOn w:val="1"/>
    <w:autoRedefine/>
    <w:qFormat/>
    <w:uiPriority w:val="0"/>
    <w:pPr>
      <w:adjustRightInd w:val="0"/>
      <w:snapToGrid w:val="0"/>
      <w:spacing w:line="360" w:lineRule="auto"/>
      <w:jc w:val="center"/>
    </w:pPr>
    <w:rPr>
      <w:rFonts w:cs="宋体"/>
      <w:b/>
      <w:szCs w:val="28"/>
    </w:rPr>
  </w:style>
  <w:style w:type="paragraph" w:customStyle="1" w:styleId="52">
    <w:name w:val="表格内正文格式"/>
    <w:basedOn w:val="1"/>
    <w:autoRedefine/>
    <w:qFormat/>
    <w:uiPriority w:val="0"/>
    <w:pPr>
      <w:spacing w:line="240" w:lineRule="atLeast"/>
      <w:jc w:val="center"/>
    </w:pPr>
    <w:rPr>
      <w:bCs/>
    </w:rPr>
  </w:style>
  <w:style w:type="paragraph" w:customStyle="1" w:styleId="53">
    <w:name w:val="样式9"/>
    <w:basedOn w:val="1"/>
    <w:autoRedefine/>
    <w:qFormat/>
    <w:uiPriority w:val="0"/>
    <w:pPr>
      <w:adjustRightInd w:val="0"/>
      <w:snapToGrid w:val="0"/>
      <w:spacing w:line="460" w:lineRule="exact"/>
      <w:ind w:firstLine="520" w:firstLineChars="200"/>
    </w:pPr>
    <w:rPr>
      <w:sz w:val="26"/>
      <w:szCs w:val="26"/>
    </w:rPr>
  </w:style>
  <w:style w:type="paragraph" w:customStyle="1" w:styleId="54">
    <w:name w:val="表格五号"/>
    <w:autoRedefine/>
    <w:qFormat/>
    <w:uiPriority w:val="0"/>
    <w:pPr>
      <w:jc w:val="center"/>
    </w:pPr>
    <w:rPr>
      <w:rFonts w:ascii="Times New Roman" w:hAnsi="Times New Roman" w:eastAsia="宋体" w:cs="Times New Roman"/>
      <w:snapToGrid w:val="0"/>
      <w:sz w:val="21"/>
      <w:lang w:val="en-US" w:eastAsia="zh-CN" w:bidi="ar-SA"/>
    </w:rPr>
  </w:style>
  <w:style w:type="paragraph" w:customStyle="1" w:styleId="55">
    <w:name w:val="样式1"/>
    <w:basedOn w:val="56"/>
    <w:autoRedefine/>
    <w:qFormat/>
    <w:uiPriority w:val="0"/>
    <w:pPr>
      <w:spacing w:after="40" w:line="300" w:lineRule="atLeast"/>
      <w:jc w:val="center"/>
      <w:outlineLvl w:val="2"/>
    </w:pPr>
    <w:rPr>
      <w:rFonts w:eastAsia="楷体_GB2312"/>
      <w:szCs w:val="20"/>
    </w:rPr>
  </w:style>
  <w:style w:type="paragraph" w:customStyle="1" w:styleId="56">
    <w:name w:val="正文2"/>
    <w:basedOn w:val="1"/>
    <w:autoRedefine/>
    <w:qFormat/>
    <w:uiPriority w:val="99"/>
    <w:pPr>
      <w:spacing w:line="360" w:lineRule="auto"/>
      <w:ind w:firstLine="480" w:firstLineChars="200"/>
    </w:pPr>
    <w:rPr>
      <w:rFonts w:ascii="宋体" w:hAnsi="宋体"/>
      <w:sz w:val="24"/>
    </w:rPr>
  </w:style>
  <w:style w:type="paragraph" w:customStyle="1" w:styleId="57">
    <w:name w:val="表格内容居中"/>
    <w:autoRedefine/>
    <w:qFormat/>
    <w:uiPriority w:val="0"/>
    <w:pPr>
      <w:adjustRightInd w:val="0"/>
      <w:snapToGrid w:val="0"/>
      <w:jc w:val="center"/>
    </w:pPr>
    <w:rPr>
      <w:rFonts w:ascii="Calibri" w:hAnsi="Calibri" w:eastAsia="宋体" w:cs="Times New Roman"/>
      <w:snapToGrid w:val="0"/>
      <w:sz w:val="21"/>
      <w:lang w:val="en-US" w:eastAsia="zh-CN" w:bidi="ar-SA"/>
    </w:rPr>
  </w:style>
  <w:style w:type="paragraph" w:customStyle="1" w:styleId="58">
    <w:name w:val="表标题"/>
    <w:basedOn w:val="1"/>
    <w:autoRedefine/>
    <w:qFormat/>
    <w:uiPriority w:val="0"/>
    <w:pPr>
      <w:spacing w:line="360" w:lineRule="auto"/>
      <w:ind w:firstLine="200" w:firstLineChars="200"/>
      <w:jc w:val="center"/>
    </w:pPr>
    <w:rPr>
      <w:b/>
      <w:sz w:val="24"/>
    </w:rPr>
  </w:style>
  <w:style w:type="paragraph" w:customStyle="1" w:styleId="59">
    <w:name w:val="Table Paragraph"/>
    <w:basedOn w:val="1"/>
    <w:autoRedefine/>
    <w:qFormat/>
    <w:uiPriority w:val="1"/>
    <w:pPr>
      <w:autoSpaceDE w:val="0"/>
      <w:autoSpaceDN w:val="0"/>
    </w:pPr>
    <w:rPr>
      <w:rFonts w:ascii="宋体" w:hAnsi="宋体" w:cs="宋体"/>
      <w:sz w:val="22"/>
      <w:szCs w:val="22"/>
      <w:lang w:eastAsia="en-US"/>
    </w:rPr>
  </w:style>
  <w:style w:type="paragraph" w:customStyle="1" w:styleId="60">
    <w:name w:val="正文11"/>
    <w:basedOn w:val="1"/>
    <w:autoRedefine/>
    <w:qFormat/>
    <w:uiPriority w:val="0"/>
    <w:pPr>
      <w:spacing w:line="400" w:lineRule="exact"/>
      <w:ind w:firstLine="482"/>
    </w:pPr>
    <w:rPr>
      <w:sz w:val="24"/>
      <w:szCs w:val="20"/>
    </w:rPr>
  </w:style>
  <w:style w:type="paragraph" w:customStyle="1" w:styleId="61">
    <w:name w:val="表格"/>
    <w:basedOn w:val="4"/>
    <w:next w:val="1"/>
    <w:link w:val="70"/>
    <w:autoRedefine/>
    <w:qFormat/>
    <w:uiPriority w:val="0"/>
    <w:pPr>
      <w:spacing w:beforeLines="10" w:afterLines="10" w:line="259" w:lineRule="auto"/>
      <w:jc w:val="center"/>
    </w:pPr>
    <w:rPr>
      <w:rFonts w:ascii="宋体"/>
      <w:kern w:val="0"/>
      <w:szCs w:val="20"/>
    </w:rPr>
  </w:style>
  <w:style w:type="paragraph" w:customStyle="1" w:styleId="62">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3">
    <w:name w:val="标题3"/>
    <w:basedOn w:val="56"/>
    <w:next w:val="11"/>
    <w:autoRedefine/>
    <w:qFormat/>
    <w:uiPriority w:val="0"/>
    <w:rPr>
      <w:rFonts w:ascii="仿宋_GB2312" w:eastAsia="仿宋_GB2312"/>
      <w:sz w:val="28"/>
      <w:szCs w:val="28"/>
    </w:rPr>
  </w:style>
  <w:style w:type="paragraph" w:customStyle="1" w:styleId="64">
    <w:name w:val="我的正文"/>
    <w:basedOn w:val="1"/>
    <w:autoRedefine/>
    <w:qFormat/>
    <w:uiPriority w:val="0"/>
    <w:pPr>
      <w:spacing w:line="360" w:lineRule="auto"/>
      <w:ind w:firstLine="480" w:firstLineChars="200"/>
    </w:pPr>
    <w:rPr>
      <w:rFonts w:ascii="Calibri" w:hAnsi="Calibri"/>
      <w:sz w:val="24"/>
      <w:szCs w:val="22"/>
    </w:rPr>
  </w:style>
  <w:style w:type="paragraph" w:customStyle="1" w:styleId="65">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66">
    <w:name w:val="样式 首行缩进:  2 字符"/>
    <w:basedOn w:val="1"/>
    <w:autoRedefine/>
    <w:qFormat/>
    <w:uiPriority w:val="0"/>
    <w:pPr>
      <w:adjustRightInd w:val="0"/>
      <w:snapToGrid w:val="0"/>
      <w:spacing w:line="360" w:lineRule="auto"/>
      <w:ind w:firstLine="480" w:firstLineChars="200"/>
    </w:pPr>
    <w:rPr>
      <w:rFonts w:ascii="宋体" w:hAnsi="宋体"/>
      <w:kern w:val="0"/>
      <w:sz w:val="24"/>
      <w:szCs w:val="20"/>
    </w:rPr>
  </w:style>
  <w:style w:type="paragraph" w:customStyle="1" w:styleId="67">
    <w:name w:val="正"/>
    <w:basedOn w:val="1"/>
    <w:autoRedefine/>
    <w:qFormat/>
    <w:uiPriority w:val="0"/>
    <w:pPr>
      <w:spacing w:line="360" w:lineRule="auto"/>
      <w:ind w:firstLine="200" w:firstLineChars="200"/>
    </w:pPr>
    <w:rPr>
      <w:sz w:val="24"/>
    </w:rPr>
  </w:style>
  <w:style w:type="character" w:customStyle="1" w:styleId="68">
    <w:name w:val="正文文本 字符1"/>
    <w:autoRedefine/>
    <w:semiHidden/>
    <w:qFormat/>
    <w:uiPriority w:val="0"/>
    <w:rPr>
      <w:rFonts w:ascii="Times New Roman" w:hAnsi="Times New Roman" w:eastAsia="宋体"/>
      <w:sz w:val="24"/>
    </w:rPr>
  </w:style>
  <w:style w:type="character" w:customStyle="1" w:styleId="69">
    <w:name w:val="checkbox"/>
    <w:basedOn w:val="37"/>
    <w:autoRedefine/>
    <w:qFormat/>
    <w:uiPriority w:val="0"/>
  </w:style>
  <w:style w:type="character" w:customStyle="1" w:styleId="70">
    <w:name w:val="表格 Char"/>
    <w:link w:val="61"/>
    <w:autoRedefine/>
    <w:qFormat/>
    <w:locked/>
    <w:uiPriority w:val="0"/>
    <w:rPr>
      <w:rFonts w:ascii="宋体"/>
      <w:sz w:val="21"/>
    </w:rPr>
  </w:style>
  <w:style w:type="character" w:customStyle="1" w:styleId="71">
    <w:name w:val="批注主题 字符"/>
    <w:link w:val="32"/>
    <w:autoRedefine/>
    <w:semiHidden/>
    <w:qFormat/>
    <w:locked/>
    <w:uiPriority w:val="0"/>
    <w:rPr>
      <w:rFonts w:ascii="Times New Roman" w:hAnsi="Times New Roman" w:eastAsia="宋体"/>
      <w:b/>
      <w:kern w:val="2"/>
      <w:sz w:val="24"/>
    </w:rPr>
  </w:style>
  <w:style w:type="character" w:customStyle="1" w:styleId="72">
    <w:name w:val="普通(网站) 字符"/>
    <w:link w:val="31"/>
    <w:autoRedefine/>
    <w:qFormat/>
    <w:locked/>
    <w:uiPriority w:val="0"/>
    <w:rPr>
      <w:rFonts w:ascii="宋体" w:hAnsi="宋体" w:eastAsia="宋体"/>
      <w:sz w:val="24"/>
    </w:rPr>
  </w:style>
  <w:style w:type="character" w:customStyle="1" w:styleId="73">
    <w:name w:val="font01"/>
    <w:basedOn w:val="37"/>
    <w:autoRedefine/>
    <w:qFormat/>
    <w:uiPriority w:val="0"/>
    <w:rPr>
      <w:rFonts w:hint="eastAsia" w:ascii="宋体" w:hAnsi="宋体" w:eastAsia="宋体" w:cs="宋体"/>
      <w:b/>
      <w:color w:val="000000"/>
      <w:sz w:val="18"/>
      <w:szCs w:val="18"/>
      <w:u w:val="none"/>
    </w:rPr>
  </w:style>
  <w:style w:type="character" w:customStyle="1" w:styleId="74">
    <w:name w:val="批注框文本 字符"/>
    <w:link w:val="21"/>
    <w:autoRedefine/>
    <w:semiHidden/>
    <w:qFormat/>
    <w:locked/>
    <w:uiPriority w:val="0"/>
    <w:rPr>
      <w:rFonts w:ascii="Times New Roman" w:hAnsi="Times New Roman" w:eastAsia="宋体"/>
      <w:sz w:val="18"/>
    </w:rPr>
  </w:style>
  <w:style w:type="character" w:customStyle="1" w:styleId="75">
    <w:name w:val="批注文字 字符1"/>
    <w:autoRedefine/>
    <w:semiHidden/>
    <w:qFormat/>
    <w:uiPriority w:val="0"/>
    <w:rPr>
      <w:rFonts w:ascii="Times New Roman" w:hAnsi="Times New Roman" w:eastAsia="宋体"/>
      <w:sz w:val="24"/>
    </w:rPr>
  </w:style>
  <w:style w:type="character" w:customStyle="1" w:styleId="76">
    <w:name w:val="正文文本 字符"/>
    <w:link w:val="5"/>
    <w:autoRedefine/>
    <w:qFormat/>
    <w:locked/>
    <w:uiPriority w:val="0"/>
    <w:rPr>
      <w:sz w:val="18"/>
    </w:rPr>
  </w:style>
  <w:style w:type="character" w:customStyle="1" w:styleId="77">
    <w:name w:val="正文文本缩进 字符"/>
    <w:link w:val="14"/>
    <w:autoRedefine/>
    <w:semiHidden/>
    <w:qFormat/>
    <w:locked/>
    <w:uiPriority w:val="0"/>
    <w:rPr>
      <w:rFonts w:ascii="Times New Roman" w:hAnsi="Times New Roman" w:eastAsia="宋体"/>
      <w:sz w:val="24"/>
    </w:rPr>
  </w:style>
  <w:style w:type="character" w:customStyle="1" w:styleId="78">
    <w:name w:val="日期 字符"/>
    <w:autoRedefine/>
    <w:semiHidden/>
    <w:qFormat/>
    <w:uiPriority w:val="0"/>
    <w:rPr>
      <w:rFonts w:ascii="Times New Roman" w:hAnsi="Times New Roman" w:eastAsia="宋体"/>
      <w:sz w:val="24"/>
    </w:rPr>
  </w:style>
  <w:style w:type="character" w:customStyle="1" w:styleId="79">
    <w:name w:val="页脚 字符1"/>
    <w:link w:val="22"/>
    <w:autoRedefine/>
    <w:qFormat/>
    <w:locked/>
    <w:uiPriority w:val="99"/>
    <w:rPr>
      <w:sz w:val="18"/>
    </w:rPr>
  </w:style>
  <w:style w:type="character" w:customStyle="1" w:styleId="80">
    <w:name w:val="页脚 字符"/>
    <w:basedOn w:val="37"/>
    <w:autoRedefine/>
    <w:qFormat/>
    <w:uiPriority w:val="99"/>
  </w:style>
  <w:style w:type="character" w:customStyle="1" w:styleId="81">
    <w:name w:val="页眉 字符"/>
    <w:link w:val="23"/>
    <w:autoRedefine/>
    <w:qFormat/>
    <w:locked/>
    <w:uiPriority w:val="0"/>
    <w:rPr>
      <w:sz w:val="18"/>
    </w:rPr>
  </w:style>
  <w:style w:type="character" w:customStyle="1" w:styleId="82">
    <w:name w:val="批注文字 字符"/>
    <w:link w:val="13"/>
    <w:autoRedefine/>
    <w:qFormat/>
    <w:locked/>
    <w:uiPriority w:val="0"/>
    <w:rPr>
      <w:rFonts w:ascii="Times New Roman" w:hAnsi="Times New Roman" w:eastAsia="宋体"/>
      <w:sz w:val="24"/>
    </w:rPr>
  </w:style>
  <w:style w:type="character" w:customStyle="1" w:styleId="83">
    <w:name w:val="日期 字符1"/>
    <w:link w:val="19"/>
    <w:autoRedefine/>
    <w:qFormat/>
    <w:locked/>
    <w:uiPriority w:val="0"/>
    <w:rPr>
      <w:rFonts w:ascii="Times New Roman" w:hAnsi="Times New Roman" w:eastAsia="宋体"/>
      <w:sz w:val="24"/>
    </w:rPr>
  </w:style>
  <w:style w:type="table" w:customStyle="1" w:styleId="84">
    <w:name w:val="Table Normal"/>
    <w:autoRedefine/>
    <w:unhideWhenUsed/>
    <w:qFormat/>
    <w:uiPriority w:val="2"/>
    <w:pPr>
      <w:widowControl w:val="0"/>
    </w:pPr>
    <w:rPr>
      <w:rFonts w:ascii="Calibri" w:hAnsi="Calibri"/>
      <w:sz w:val="22"/>
      <w:szCs w:val="22"/>
      <w:lang w:eastAsia="en-US"/>
    </w:rPr>
    <w:tblPr>
      <w:tblCellMar>
        <w:top w:w="0" w:type="dxa"/>
        <w:left w:w="0" w:type="dxa"/>
        <w:bottom w:w="0" w:type="dxa"/>
        <w:right w:w="0" w:type="dxa"/>
      </w:tblCellMar>
    </w:tblPr>
  </w:style>
  <w:style w:type="paragraph" w:customStyle="1" w:styleId="85">
    <w:name w:val="中文报告书样式"/>
    <w:basedOn w:val="1"/>
    <w:autoRedefine/>
    <w:qFormat/>
    <w:uiPriority w:val="0"/>
    <w:pPr>
      <w:adjustRightInd w:val="0"/>
      <w:spacing w:line="480" w:lineRule="atLeast"/>
      <w:ind w:firstLine="482"/>
      <w:textAlignment w:val="baseline"/>
    </w:pPr>
    <w:rPr>
      <w:kern w:val="24"/>
      <w:sz w:val="24"/>
    </w:rPr>
  </w:style>
  <w:style w:type="paragraph" w:customStyle="1" w:styleId="86">
    <w:name w:val="正文五号"/>
    <w:autoRedefine/>
    <w:qFormat/>
    <w:uiPriority w:val="0"/>
    <w:pPr>
      <w:widowControl w:val="0"/>
      <w:spacing w:line="480" w:lineRule="exact"/>
      <w:ind w:firstLine="200" w:firstLineChars="200"/>
      <w:jc w:val="both"/>
      <w:textAlignment w:val="center"/>
    </w:pPr>
    <w:rPr>
      <w:rFonts w:ascii="Times New Roman" w:hAnsi="Times New Roman" w:eastAsia="宋体" w:cs="Times New Roman"/>
      <w:kern w:val="2"/>
      <w:sz w:val="21"/>
      <w:szCs w:val="24"/>
      <w:lang w:val="en-US" w:eastAsia="zh-CN" w:bidi="ar-SA"/>
    </w:rPr>
  </w:style>
  <w:style w:type="character" w:customStyle="1" w:styleId="87">
    <w:name w:val="font21"/>
    <w:basedOn w:val="37"/>
    <w:autoRedefine/>
    <w:qFormat/>
    <w:uiPriority w:val="0"/>
    <w:rPr>
      <w:rFonts w:hint="default" w:ascii="Times New Roman" w:hAnsi="Times New Roman" w:cs="Times New Roman"/>
      <w:color w:val="000000"/>
      <w:sz w:val="21"/>
      <w:szCs w:val="21"/>
      <w:u w:val="none"/>
      <w:vertAlign w:val="superscript"/>
    </w:rPr>
  </w:style>
  <w:style w:type="character" w:customStyle="1" w:styleId="88">
    <w:name w:val="font31"/>
    <w:basedOn w:val="37"/>
    <w:autoRedefine/>
    <w:qFormat/>
    <w:uiPriority w:val="0"/>
    <w:rPr>
      <w:rFonts w:hint="eastAsia" w:ascii="宋体" w:hAnsi="宋体" w:eastAsia="宋体" w:cs="宋体"/>
      <w:color w:val="000000"/>
      <w:sz w:val="21"/>
      <w:szCs w:val="21"/>
      <w:u w:val="none"/>
    </w:rPr>
  </w:style>
  <w:style w:type="paragraph" w:customStyle="1" w:styleId="89">
    <w:name w:val="表格标题"/>
    <w:basedOn w:val="1"/>
    <w:autoRedefine/>
    <w:qFormat/>
    <w:uiPriority w:val="0"/>
    <w:pPr>
      <w:spacing w:line="480" w:lineRule="exact"/>
      <w:jc w:val="center"/>
      <w:textAlignment w:val="center"/>
    </w:pPr>
    <w:rPr>
      <w:b/>
      <w:bCs/>
      <w:snapToGrid w:val="0"/>
      <w:szCs w:val="21"/>
    </w:rPr>
  </w:style>
  <w:style w:type="paragraph" w:customStyle="1" w:styleId="90">
    <w:name w:val="图表"/>
    <w:basedOn w:val="1"/>
    <w:autoRedefine/>
    <w:qFormat/>
    <w:uiPriority w:val="0"/>
    <w:pPr>
      <w:jc w:val="center"/>
    </w:pPr>
    <w:rPr>
      <w:rFonts w:eastAsia="黑体"/>
      <w:sz w:val="24"/>
    </w:rPr>
  </w:style>
  <w:style w:type="paragraph" w:customStyle="1" w:styleId="91">
    <w:name w:val="修订1"/>
    <w:autoRedefine/>
    <w:hidden/>
    <w:unhideWhenUsed/>
    <w:qFormat/>
    <w:uiPriority w:val="99"/>
    <w:rPr>
      <w:rFonts w:ascii="Times New Roman" w:hAnsi="Times New Roman" w:eastAsia="宋体" w:cs="Times New Roman"/>
      <w:kern w:val="2"/>
      <w:sz w:val="21"/>
      <w:szCs w:val="24"/>
      <w:lang w:val="en-US" w:eastAsia="zh-CN" w:bidi="ar-SA"/>
    </w:rPr>
  </w:style>
  <w:style w:type="character" w:customStyle="1" w:styleId="92">
    <w:name w:val="font11"/>
    <w:basedOn w:val="37"/>
    <w:autoRedefine/>
    <w:qFormat/>
    <w:uiPriority w:val="0"/>
    <w:rPr>
      <w:rFonts w:hint="eastAsia" w:ascii="宋体" w:hAnsi="宋体" w:eastAsia="宋体" w:cs="宋体"/>
      <w:color w:val="000000"/>
      <w:sz w:val="21"/>
      <w:szCs w:val="21"/>
      <w:u w:val="none"/>
    </w:rPr>
  </w:style>
  <w:style w:type="paragraph" w:customStyle="1" w:styleId="93">
    <w:name w:val="表中文字"/>
    <w:basedOn w:val="1"/>
    <w:autoRedefine/>
    <w:qFormat/>
    <w:uiPriority w:val="0"/>
    <w:pPr>
      <w:spacing w:line="240" w:lineRule="exact"/>
      <w:jc w:val="center"/>
    </w:pPr>
    <w:rPr>
      <w:rFonts w:ascii="宋体" w:hAnsi="宋体"/>
      <w:szCs w:val="20"/>
    </w:rPr>
  </w:style>
  <w:style w:type="paragraph" w:customStyle="1" w:styleId="94">
    <w:name w:val="A正文"/>
    <w:basedOn w:val="14"/>
    <w:autoRedefine/>
    <w:qFormat/>
    <w:uiPriority w:val="0"/>
    <w:pPr>
      <w:spacing w:line="360" w:lineRule="auto"/>
      <w:ind w:firstLine="480"/>
    </w:pPr>
    <w:rPr>
      <w:szCs w:val="24"/>
    </w:rPr>
  </w:style>
  <w:style w:type="paragraph" w:customStyle="1" w:styleId="95">
    <w:name w:val="三级标题"/>
    <w:basedOn w:val="1"/>
    <w:next w:val="1"/>
    <w:autoRedefine/>
    <w:qFormat/>
    <w:uiPriority w:val="0"/>
    <w:pPr>
      <w:spacing w:line="360" w:lineRule="auto"/>
    </w:pPr>
    <w:rPr>
      <w:sz w:val="24"/>
    </w:rPr>
  </w:style>
  <w:style w:type="paragraph" w:customStyle="1" w:styleId="96">
    <w:name w:val="A表头"/>
    <w:basedOn w:val="1"/>
    <w:autoRedefine/>
    <w:qFormat/>
    <w:uiPriority w:val="0"/>
    <w:pPr>
      <w:jc w:val="center"/>
    </w:pPr>
    <w:rPr>
      <w:b/>
    </w:rPr>
  </w:style>
  <w:style w:type="paragraph" w:customStyle="1" w:styleId="97">
    <w:name w:val="A表格内容"/>
    <w:basedOn w:val="1"/>
    <w:autoRedefine/>
    <w:qFormat/>
    <w:uiPriority w:val="0"/>
    <w:pPr>
      <w:jc w:val="center"/>
    </w:pPr>
    <w:rPr>
      <w:rFonts w:cs="宋体"/>
      <w:kern w:val="0"/>
      <w:szCs w:val="20"/>
    </w:rPr>
  </w:style>
  <w:style w:type="paragraph" w:customStyle="1" w:styleId="98">
    <w:name w:val="表格内容"/>
    <w:basedOn w:val="1"/>
    <w:autoRedefine/>
    <w:qFormat/>
    <w:uiPriority w:val="0"/>
    <w:pPr>
      <w:adjustRightInd w:val="0"/>
      <w:snapToGrid w:val="0"/>
      <w:jc w:val="center"/>
    </w:pPr>
    <w:rPr>
      <w:szCs w:val="20"/>
    </w:rPr>
  </w:style>
  <w:style w:type="character" w:customStyle="1" w:styleId="99">
    <w:name w:val="报告表格式 Char1"/>
    <w:link w:val="49"/>
    <w:autoRedefine/>
    <w:qFormat/>
    <w:uiPriority w:val="0"/>
    <w:rPr>
      <w:rFonts w:ascii="Times New Roman" w:hAnsi="Times New Roman" w:eastAsia="宋体" w:cs="Times New Roman"/>
    </w:rPr>
  </w:style>
  <w:style w:type="paragraph" w:customStyle="1" w:styleId="100">
    <w:name w:val="无间隔1"/>
    <w:next w:val="1"/>
    <w:autoRedefine/>
    <w:qFormat/>
    <w:uiPriority w:val="0"/>
    <w:pPr>
      <w:adjustRightInd w:val="0"/>
      <w:snapToGrid w:val="0"/>
      <w:spacing w:line="360" w:lineRule="auto"/>
      <w:jc w:val="center"/>
    </w:pPr>
    <w:rPr>
      <w:rFonts w:ascii="Calibri" w:hAnsi="Calibri" w:eastAsia="宋体" w:cs="Times New Roman"/>
      <w:b/>
      <w:snapToGrid w:val="0"/>
      <w:sz w:val="21"/>
      <w:szCs w:val="22"/>
      <w:lang w:val="en-US" w:eastAsia="zh-CN" w:bidi="ar-SA"/>
    </w:rPr>
  </w:style>
  <w:style w:type="paragraph" w:customStyle="1" w:styleId="101">
    <w:name w:val="表头及表尾"/>
    <w:autoRedefine/>
    <w:qFormat/>
    <w:uiPriority w:val="0"/>
    <w:pPr>
      <w:tabs>
        <w:tab w:val="center" w:pos="4200"/>
        <w:tab w:val="right" w:pos="8400"/>
      </w:tabs>
      <w:adjustRightInd w:val="0"/>
      <w:snapToGrid w:val="0"/>
      <w:spacing w:line="360" w:lineRule="auto"/>
      <w:jc w:val="center"/>
    </w:pPr>
    <w:rPr>
      <w:rFonts w:ascii="Calibri" w:hAnsi="Calibri" w:eastAsia="宋体" w:cs="Times New Roman"/>
      <w:b/>
      <w:snapToGrid w:val="0"/>
      <w:sz w:val="21"/>
      <w:szCs w:val="21"/>
      <w:lang w:val="en-US" w:eastAsia="zh-CN" w:bidi="ar-SA"/>
    </w:rPr>
  </w:style>
  <w:style w:type="paragraph" w:customStyle="1" w:styleId="102">
    <w:name w:val="表格正文"/>
    <w:basedOn w:val="4"/>
    <w:autoRedefine/>
    <w:qFormat/>
    <w:uiPriority w:val="0"/>
    <w:pPr>
      <w:ind w:firstLine="0" w:firstLineChars="0"/>
    </w:pPr>
    <w:rPr>
      <w:color w:val="000000"/>
      <w:spacing w:val="12"/>
      <w:szCs w:val="20"/>
    </w:rPr>
  </w:style>
  <w:style w:type="character" w:customStyle="1" w:styleId="103">
    <w:name w:val="font41"/>
    <w:basedOn w:val="37"/>
    <w:autoRedefine/>
    <w:qFormat/>
    <w:uiPriority w:val="0"/>
    <w:rPr>
      <w:rFonts w:hint="default" w:ascii="Times New Roman" w:hAnsi="Times New Roman" w:cs="Times New Roman"/>
      <w:b/>
      <w:color w:val="000000"/>
      <w:sz w:val="21"/>
      <w:szCs w:val="21"/>
      <w:u w:val="none"/>
    </w:rPr>
  </w:style>
  <w:style w:type="paragraph" w:customStyle="1" w:styleId="104">
    <w:name w:val="纯文本1"/>
    <w:basedOn w:val="1"/>
    <w:autoRedefine/>
    <w:qFormat/>
    <w:uiPriority w:val="0"/>
    <w:rPr>
      <w:rFonts w:ascii="宋体" w:hAnsi="Courier New"/>
      <w:szCs w:val="20"/>
    </w:rPr>
  </w:style>
  <w:style w:type="paragraph" w:customStyle="1" w:styleId="105">
    <w:name w:val="Body text|1"/>
    <w:basedOn w:val="1"/>
    <w:autoRedefine/>
    <w:qFormat/>
    <w:uiPriority w:val="0"/>
    <w:pPr>
      <w:spacing w:after="330" w:line="480" w:lineRule="auto"/>
      <w:ind w:firstLine="400"/>
    </w:pPr>
    <w:rPr>
      <w:sz w:val="20"/>
      <w:szCs w:val="20"/>
      <w:lang w:val="zh-TW" w:eastAsia="zh-TW" w:bidi="zh-TW"/>
    </w:rPr>
  </w:style>
  <w:style w:type="paragraph" w:customStyle="1" w:styleId="106">
    <w:name w:val="CUCD-0"/>
    <w:basedOn w:val="1"/>
    <w:autoRedefine/>
    <w:qFormat/>
    <w:uiPriority w:val="0"/>
    <w:pPr>
      <w:spacing w:beforeLines="50" w:line="360" w:lineRule="auto"/>
      <w:ind w:firstLine="200" w:firstLineChars="200"/>
    </w:pPr>
    <w:rPr>
      <w:rFonts w:ascii="Arial" w:hAnsi="Arial"/>
      <w:szCs w:val="22"/>
    </w:rPr>
  </w:style>
  <w:style w:type="paragraph" w:customStyle="1" w:styleId="107">
    <w:name w:val="7表格内容7"/>
    <w:basedOn w:val="1"/>
    <w:autoRedefine/>
    <w:qFormat/>
    <w:uiPriority w:val="0"/>
    <w:pPr>
      <w:widowControl/>
      <w:spacing w:line="260" w:lineRule="exact"/>
      <w:jc w:val="center"/>
    </w:pPr>
    <w:rPr>
      <w:kern w:val="0"/>
      <w:szCs w:val="21"/>
    </w:rPr>
  </w:style>
  <w:style w:type="paragraph" w:customStyle="1" w:styleId="108">
    <w:name w:val="表格内的字体"/>
    <w:basedOn w:val="1"/>
    <w:autoRedefine/>
    <w:qFormat/>
    <w:uiPriority w:val="0"/>
    <w:pPr>
      <w:widowControl/>
      <w:jc w:val="center"/>
    </w:pPr>
  </w:style>
  <w:style w:type="paragraph" w:customStyle="1" w:styleId="109">
    <w:name w:val="Table Text"/>
    <w:basedOn w:val="1"/>
    <w:semiHidden/>
    <w:qFormat/>
    <w:uiPriority w:val="0"/>
    <w:rPr>
      <w:rFonts w:ascii="宋体" w:hAnsi="宋体" w:cs="宋体"/>
      <w:szCs w:val="21"/>
      <w:lang w:eastAsia="en-US"/>
    </w:rPr>
  </w:style>
  <w:style w:type="paragraph" w:customStyle="1" w:styleId="110">
    <w:name w:val="1-正文"/>
    <w:basedOn w:val="1"/>
    <w:qFormat/>
    <w:uiPriority w:val="0"/>
    <w:pPr>
      <w:ind w:firstLine="480" w:firstLineChars="200"/>
    </w:pPr>
    <w:rPr>
      <w:rFonts w:ascii="宋体" w:hAnsi="宋体"/>
    </w:rPr>
  </w:style>
  <w:style w:type="paragraph" w:customStyle="1" w:styleId="111">
    <w:name w:val="样式 样式 样式 四号 左侧:  1.53 厘米 + 首行缩进:  2 字符 + 居中 左侧:  2 字符 首行缩进:  2..."/>
    <w:basedOn w:val="112"/>
    <w:qFormat/>
    <w:uiPriority w:val="0"/>
    <w:pPr>
      <w:jc w:val="center"/>
    </w:pPr>
  </w:style>
  <w:style w:type="paragraph" w:customStyle="1" w:styleId="112">
    <w:name w:val="样式 样式 四号 左侧:  1.53 厘米 + 首行缩进:  2 字符"/>
    <w:basedOn w:val="113"/>
    <w:qFormat/>
    <w:uiPriority w:val="0"/>
    <w:pPr>
      <w:ind w:left="200" w:leftChars="200"/>
    </w:pPr>
    <w:rPr>
      <w:szCs w:val="20"/>
    </w:rPr>
  </w:style>
  <w:style w:type="paragraph" w:customStyle="1" w:styleId="113">
    <w:name w:val="样式 四号 左侧:  1.53 厘米"/>
    <w:basedOn w:val="1"/>
    <w:qFormat/>
    <w:uiPriority w:val="0"/>
    <w:pPr>
      <w:adjustRightInd w:val="0"/>
    </w:pPr>
    <w:rPr>
      <w:w w:val="90"/>
      <w:sz w:val="28"/>
      <w:szCs w:val="28"/>
    </w:rPr>
  </w:style>
  <w:style w:type="paragraph" w:customStyle="1" w:styleId="114">
    <w:name w:val="表格1"/>
    <w:basedOn w:val="1"/>
    <w:semiHidden/>
    <w:qFormat/>
    <w:uiPriority w:val="0"/>
    <w:pPr>
      <w:adjustRightInd w:val="0"/>
      <w:spacing w:line="400" w:lineRule="atLeast"/>
      <w:jc w:val="center"/>
      <w:textAlignment w:val="baseline"/>
    </w:pPr>
    <w:rPr>
      <w:kern w:val="0"/>
    </w:rPr>
  </w:style>
  <w:style w:type="paragraph" w:customStyle="1" w:styleId="115">
    <w:name w:val="五号表文"/>
    <w:basedOn w:val="1"/>
    <w:autoRedefine/>
    <w:qFormat/>
    <w:uiPriority w:val="0"/>
    <w:pPr>
      <w:adjustRightInd w:val="0"/>
      <w:jc w:val="center"/>
    </w:pPr>
  </w:style>
  <w:style w:type="paragraph" w:customStyle="1" w:styleId="116">
    <w:name w:val="表格   环评"/>
    <w:basedOn w:val="1"/>
    <w:next w:val="1"/>
    <w:autoRedefine/>
    <w:qFormat/>
    <w:uiPriority w:val="0"/>
    <w:pPr>
      <w:keepNext/>
      <w:keepLines/>
      <w:spacing w:line="360" w:lineRule="auto"/>
      <w:jc w:val="center"/>
      <w:outlineLvl w:val="3"/>
    </w:pPr>
    <w:rPr>
      <w:rFonts w:hint="eastAsia"/>
      <w:szCs w:val="21"/>
    </w:rPr>
  </w:style>
  <w:style w:type="paragraph" w:customStyle="1" w:styleId="117">
    <w:name w:val="WPSOffice手动目录 1"/>
    <w:qFormat/>
    <w:uiPriority w:val="0"/>
    <w:rPr>
      <w:rFonts w:ascii="Times New Roman" w:hAnsi="Times New Roman" w:eastAsia="宋体" w:cs="Times New Roman"/>
      <w:lang w:val="en-US" w:eastAsia="zh-CN" w:bidi="ar-SA"/>
    </w:rPr>
  </w:style>
  <w:style w:type="character" w:customStyle="1" w:styleId="118">
    <w:name w:val="表头 Char1"/>
    <w:basedOn w:val="37"/>
    <w:qFormat/>
    <w:uiPriority w:val="0"/>
    <w:rPr>
      <w:b/>
      <w:kern w:val="21"/>
      <w:sz w:val="24"/>
    </w:rPr>
  </w:style>
  <w:style w:type="paragraph" w:customStyle="1" w:styleId="119">
    <w:name w:val="Default1"/>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38.bin"/><Relationship Id="rId98" Type="http://schemas.openxmlformats.org/officeDocument/2006/relationships/image" Target="media/image52.wmf"/><Relationship Id="rId97" Type="http://schemas.openxmlformats.org/officeDocument/2006/relationships/oleObject" Target="embeddings/oleObject37.bin"/><Relationship Id="rId96" Type="http://schemas.openxmlformats.org/officeDocument/2006/relationships/image" Target="media/image51.wmf"/><Relationship Id="rId95" Type="http://schemas.openxmlformats.org/officeDocument/2006/relationships/oleObject" Target="embeddings/oleObject36.bin"/><Relationship Id="rId94" Type="http://schemas.openxmlformats.org/officeDocument/2006/relationships/image" Target="media/image50.wmf"/><Relationship Id="rId93" Type="http://schemas.openxmlformats.org/officeDocument/2006/relationships/oleObject" Target="embeddings/oleObject35.bin"/><Relationship Id="rId92" Type="http://schemas.openxmlformats.org/officeDocument/2006/relationships/image" Target="media/image49.wmf"/><Relationship Id="rId91" Type="http://schemas.openxmlformats.org/officeDocument/2006/relationships/oleObject" Target="embeddings/oleObject34.bin"/><Relationship Id="rId90" Type="http://schemas.openxmlformats.org/officeDocument/2006/relationships/image" Target="media/image48.wmf"/><Relationship Id="rId9" Type="http://schemas.openxmlformats.org/officeDocument/2006/relationships/theme" Target="theme/theme1.xml"/><Relationship Id="rId89" Type="http://schemas.openxmlformats.org/officeDocument/2006/relationships/oleObject" Target="embeddings/oleObject33.bin"/><Relationship Id="rId88" Type="http://schemas.openxmlformats.org/officeDocument/2006/relationships/image" Target="media/image47.wmf"/><Relationship Id="rId87" Type="http://schemas.openxmlformats.org/officeDocument/2006/relationships/oleObject" Target="embeddings/oleObject32.bin"/><Relationship Id="rId86" Type="http://schemas.openxmlformats.org/officeDocument/2006/relationships/oleObject" Target="embeddings/oleObject31.bin"/><Relationship Id="rId85" Type="http://schemas.openxmlformats.org/officeDocument/2006/relationships/image" Target="media/image46.wmf"/><Relationship Id="rId84" Type="http://schemas.openxmlformats.org/officeDocument/2006/relationships/oleObject" Target="embeddings/oleObject30.bin"/><Relationship Id="rId83" Type="http://schemas.openxmlformats.org/officeDocument/2006/relationships/oleObject" Target="embeddings/oleObject29.bin"/><Relationship Id="rId82" Type="http://schemas.openxmlformats.org/officeDocument/2006/relationships/image" Target="media/image45.wmf"/><Relationship Id="rId81" Type="http://schemas.openxmlformats.org/officeDocument/2006/relationships/oleObject" Target="embeddings/oleObject28.bin"/><Relationship Id="rId80" Type="http://schemas.openxmlformats.org/officeDocument/2006/relationships/image" Target="media/image44.wmf"/><Relationship Id="rId8" Type="http://schemas.openxmlformats.org/officeDocument/2006/relationships/footer" Target="footer5.xml"/><Relationship Id="rId79" Type="http://schemas.openxmlformats.org/officeDocument/2006/relationships/oleObject" Target="embeddings/oleObject27.bin"/><Relationship Id="rId78" Type="http://schemas.openxmlformats.org/officeDocument/2006/relationships/image" Target="media/image43.wmf"/><Relationship Id="rId77" Type="http://schemas.openxmlformats.org/officeDocument/2006/relationships/oleObject" Target="embeddings/oleObject26.bin"/><Relationship Id="rId76" Type="http://schemas.openxmlformats.org/officeDocument/2006/relationships/oleObject" Target="embeddings/oleObject25.bin"/><Relationship Id="rId75" Type="http://schemas.openxmlformats.org/officeDocument/2006/relationships/image" Target="media/image42.wmf"/><Relationship Id="rId74" Type="http://schemas.openxmlformats.org/officeDocument/2006/relationships/oleObject" Target="embeddings/oleObject24.bin"/><Relationship Id="rId73" Type="http://schemas.openxmlformats.org/officeDocument/2006/relationships/image" Target="media/image41.wmf"/><Relationship Id="rId72" Type="http://schemas.openxmlformats.org/officeDocument/2006/relationships/oleObject" Target="embeddings/oleObject23.bin"/><Relationship Id="rId71" Type="http://schemas.openxmlformats.org/officeDocument/2006/relationships/image" Target="media/image40.wmf"/><Relationship Id="rId70" Type="http://schemas.openxmlformats.org/officeDocument/2006/relationships/oleObject" Target="embeddings/oleObject22.bin"/><Relationship Id="rId7" Type="http://schemas.openxmlformats.org/officeDocument/2006/relationships/footer" Target="footer4.xml"/><Relationship Id="rId69" Type="http://schemas.openxmlformats.org/officeDocument/2006/relationships/image" Target="media/image39.wmf"/><Relationship Id="rId68" Type="http://schemas.openxmlformats.org/officeDocument/2006/relationships/oleObject" Target="embeddings/oleObject21.bin"/><Relationship Id="rId67" Type="http://schemas.openxmlformats.org/officeDocument/2006/relationships/image" Target="media/image38.wmf"/><Relationship Id="rId66" Type="http://schemas.openxmlformats.org/officeDocument/2006/relationships/oleObject" Target="embeddings/oleObject20.bin"/><Relationship Id="rId65" Type="http://schemas.openxmlformats.org/officeDocument/2006/relationships/image" Target="media/image37.wmf"/><Relationship Id="rId64" Type="http://schemas.openxmlformats.org/officeDocument/2006/relationships/oleObject" Target="embeddings/oleObject19.bin"/><Relationship Id="rId63" Type="http://schemas.openxmlformats.org/officeDocument/2006/relationships/image" Target="media/image36.wmf"/><Relationship Id="rId62" Type="http://schemas.openxmlformats.org/officeDocument/2006/relationships/oleObject" Target="embeddings/oleObject18.bin"/><Relationship Id="rId61" Type="http://schemas.openxmlformats.org/officeDocument/2006/relationships/image" Target="media/image35.wmf"/><Relationship Id="rId60" Type="http://schemas.openxmlformats.org/officeDocument/2006/relationships/oleObject" Target="embeddings/oleObject17.bin"/><Relationship Id="rId6" Type="http://schemas.openxmlformats.org/officeDocument/2006/relationships/footer" Target="footer3.xml"/><Relationship Id="rId59" Type="http://schemas.openxmlformats.org/officeDocument/2006/relationships/image" Target="media/image34.wmf"/><Relationship Id="rId58" Type="http://schemas.openxmlformats.org/officeDocument/2006/relationships/oleObject" Target="embeddings/oleObject16.bin"/><Relationship Id="rId57" Type="http://schemas.openxmlformats.org/officeDocument/2006/relationships/image" Target="media/image33.wmf"/><Relationship Id="rId56" Type="http://schemas.openxmlformats.org/officeDocument/2006/relationships/oleObject" Target="embeddings/oleObject15.bin"/><Relationship Id="rId55" Type="http://schemas.openxmlformats.org/officeDocument/2006/relationships/image" Target="media/image32.wmf"/><Relationship Id="rId54" Type="http://schemas.openxmlformats.org/officeDocument/2006/relationships/oleObject" Target="embeddings/oleObject14.bin"/><Relationship Id="rId53" Type="http://schemas.openxmlformats.org/officeDocument/2006/relationships/image" Target="media/image31.wmf"/><Relationship Id="rId52" Type="http://schemas.openxmlformats.org/officeDocument/2006/relationships/oleObject" Target="embeddings/oleObject13.bin"/><Relationship Id="rId51" Type="http://schemas.openxmlformats.org/officeDocument/2006/relationships/image" Target="media/image30.wmf"/><Relationship Id="rId50" Type="http://schemas.openxmlformats.org/officeDocument/2006/relationships/oleObject" Target="embeddings/oleObject12.bin"/><Relationship Id="rId5" Type="http://schemas.openxmlformats.org/officeDocument/2006/relationships/footer" Target="footer2.xml"/><Relationship Id="rId49" Type="http://schemas.openxmlformats.org/officeDocument/2006/relationships/image" Target="media/image29.wmf"/><Relationship Id="rId48" Type="http://schemas.openxmlformats.org/officeDocument/2006/relationships/oleObject" Target="embeddings/oleObject11.bin"/><Relationship Id="rId47" Type="http://schemas.openxmlformats.org/officeDocument/2006/relationships/image" Target="media/image28.wmf"/><Relationship Id="rId46" Type="http://schemas.openxmlformats.org/officeDocument/2006/relationships/oleObject" Target="embeddings/oleObject10.bin"/><Relationship Id="rId45" Type="http://schemas.openxmlformats.org/officeDocument/2006/relationships/image" Target="media/image27.wmf"/><Relationship Id="rId44" Type="http://schemas.openxmlformats.org/officeDocument/2006/relationships/oleObject" Target="embeddings/oleObject9.bin"/><Relationship Id="rId43" Type="http://schemas.openxmlformats.org/officeDocument/2006/relationships/image" Target="media/image26.wmf"/><Relationship Id="rId42" Type="http://schemas.openxmlformats.org/officeDocument/2006/relationships/oleObject" Target="embeddings/oleObject8.bin"/><Relationship Id="rId41" Type="http://schemas.openxmlformats.org/officeDocument/2006/relationships/image" Target="media/image25.wmf"/><Relationship Id="rId40" Type="http://schemas.openxmlformats.org/officeDocument/2006/relationships/oleObject" Target="embeddings/oleObject7.bin"/><Relationship Id="rId4" Type="http://schemas.openxmlformats.org/officeDocument/2006/relationships/footer" Target="footer1.xml"/><Relationship Id="rId39" Type="http://schemas.openxmlformats.org/officeDocument/2006/relationships/image" Target="media/image24.wmf"/><Relationship Id="rId38" Type="http://schemas.openxmlformats.org/officeDocument/2006/relationships/oleObject" Target="embeddings/oleObject6.bin"/><Relationship Id="rId37" Type="http://schemas.openxmlformats.org/officeDocument/2006/relationships/image" Target="media/image23.wmf"/><Relationship Id="rId36" Type="http://schemas.openxmlformats.org/officeDocument/2006/relationships/oleObject" Target="embeddings/oleObject5.bin"/><Relationship Id="rId35" Type="http://schemas.openxmlformats.org/officeDocument/2006/relationships/image" Target="media/image22.wmf"/><Relationship Id="rId34" Type="http://schemas.openxmlformats.org/officeDocument/2006/relationships/oleObject" Target="embeddings/oleObject4.bin"/><Relationship Id="rId33" Type="http://schemas.openxmlformats.org/officeDocument/2006/relationships/image" Target="media/image21.wmf"/><Relationship Id="rId32" Type="http://schemas.openxmlformats.org/officeDocument/2006/relationships/oleObject" Target="embeddings/oleObject3.bin"/><Relationship Id="rId31" Type="http://schemas.openxmlformats.org/officeDocument/2006/relationships/image" Target="media/image20.wmf"/><Relationship Id="rId30" Type="http://schemas.openxmlformats.org/officeDocument/2006/relationships/oleObject" Target="embeddings/oleObject2.bin"/><Relationship Id="rId3" Type="http://schemas.openxmlformats.org/officeDocument/2006/relationships/header" Target="header1.xml"/><Relationship Id="rId29" Type="http://schemas.openxmlformats.org/officeDocument/2006/relationships/image" Target="media/image19.wmf"/><Relationship Id="rId28" Type="http://schemas.openxmlformats.org/officeDocument/2006/relationships/oleObject" Target="embeddings/oleObject1.bin"/><Relationship Id="rId27" Type="http://schemas.openxmlformats.org/officeDocument/2006/relationships/image" Target="media/image18.jpe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jpe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7" Type="http://schemas.openxmlformats.org/officeDocument/2006/relationships/fontTable" Target="fontTable.xml"/><Relationship Id="rId176" Type="http://schemas.openxmlformats.org/officeDocument/2006/relationships/numbering" Target="numbering.xml"/><Relationship Id="rId175" Type="http://schemas.openxmlformats.org/officeDocument/2006/relationships/customXml" Target="../customXml/item1.xml"/><Relationship Id="rId174" Type="http://schemas.openxmlformats.org/officeDocument/2006/relationships/image" Target="media/image115.jpeg"/><Relationship Id="rId173" Type="http://schemas.openxmlformats.org/officeDocument/2006/relationships/image" Target="media/image114.jpeg"/><Relationship Id="rId172" Type="http://schemas.openxmlformats.org/officeDocument/2006/relationships/image" Target="media/image113.jpeg"/><Relationship Id="rId171" Type="http://schemas.openxmlformats.org/officeDocument/2006/relationships/image" Target="media/image112.jpeg"/><Relationship Id="rId170" Type="http://schemas.openxmlformats.org/officeDocument/2006/relationships/image" Target="media/image111.png"/><Relationship Id="rId17" Type="http://schemas.openxmlformats.org/officeDocument/2006/relationships/image" Target="media/image8.jpeg"/><Relationship Id="rId169" Type="http://schemas.openxmlformats.org/officeDocument/2006/relationships/image" Target="media/image110.png"/><Relationship Id="rId168" Type="http://schemas.openxmlformats.org/officeDocument/2006/relationships/image" Target="media/image109.png"/><Relationship Id="rId167" Type="http://schemas.openxmlformats.org/officeDocument/2006/relationships/image" Target="media/image108.png"/><Relationship Id="rId166" Type="http://schemas.openxmlformats.org/officeDocument/2006/relationships/image" Target="media/image107.png"/><Relationship Id="rId165" Type="http://schemas.openxmlformats.org/officeDocument/2006/relationships/image" Target="media/image106.png"/><Relationship Id="rId164" Type="http://schemas.openxmlformats.org/officeDocument/2006/relationships/image" Target="media/image105.png"/><Relationship Id="rId163" Type="http://schemas.openxmlformats.org/officeDocument/2006/relationships/image" Target="media/image104.png"/><Relationship Id="rId162" Type="http://schemas.openxmlformats.org/officeDocument/2006/relationships/image" Target="media/image103.jpeg"/><Relationship Id="rId161" Type="http://schemas.openxmlformats.org/officeDocument/2006/relationships/image" Target="media/image102.jpeg"/><Relationship Id="rId160" Type="http://schemas.openxmlformats.org/officeDocument/2006/relationships/image" Target="media/image101.jpeg"/><Relationship Id="rId16" Type="http://schemas.openxmlformats.org/officeDocument/2006/relationships/image" Target="media/image7.jpeg"/><Relationship Id="rId159" Type="http://schemas.openxmlformats.org/officeDocument/2006/relationships/image" Target="media/image100.jpeg"/><Relationship Id="rId158" Type="http://schemas.openxmlformats.org/officeDocument/2006/relationships/image" Target="media/image99.jpeg"/><Relationship Id="rId157" Type="http://schemas.openxmlformats.org/officeDocument/2006/relationships/image" Target="media/image98.jpeg"/><Relationship Id="rId156" Type="http://schemas.openxmlformats.org/officeDocument/2006/relationships/image" Target="media/image97.jpeg"/><Relationship Id="rId155" Type="http://schemas.openxmlformats.org/officeDocument/2006/relationships/image" Target="media/image96.jpeg"/><Relationship Id="rId154" Type="http://schemas.openxmlformats.org/officeDocument/2006/relationships/image" Target="media/image95.jpeg"/><Relationship Id="rId153" Type="http://schemas.openxmlformats.org/officeDocument/2006/relationships/image" Target="media/image94.jpeg"/><Relationship Id="rId152" Type="http://schemas.openxmlformats.org/officeDocument/2006/relationships/image" Target="media/image93.jpeg"/><Relationship Id="rId151" Type="http://schemas.openxmlformats.org/officeDocument/2006/relationships/image" Target="media/image92.jpeg"/><Relationship Id="rId150" Type="http://schemas.openxmlformats.org/officeDocument/2006/relationships/image" Target="media/image91.jpeg"/><Relationship Id="rId15" Type="http://schemas.openxmlformats.org/officeDocument/2006/relationships/image" Target="media/image6.png"/><Relationship Id="rId149" Type="http://schemas.openxmlformats.org/officeDocument/2006/relationships/image" Target="media/image90.jpeg"/><Relationship Id="rId148" Type="http://schemas.openxmlformats.org/officeDocument/2006/relationships/image" Target="media/image89.jpeg"/><Relationship Id="rId147" Type="http://schemas.openxmlformats.org/officeDocument/2006/relationships/image" Target="media/image88.jpeg"/><Relationship Id="rId146" Type="http://schemas.openxmlformats.org/officeDocument/2006/relationships/image" Target="media/image87.jpeg"/><Relationship Id="rId145" Type="http://schemas.openxmlformats.org/officeDocument/2006/relationships/image" Target="media/image86.jpeg"/><Relationship Id="rId144" Type="http://schemas.openxmlformats.org/officeDocument/2006/relationships/image" Target="media/image85.jpeg"/><Relationship Id="rId143" Type="http://schemas.openxmlformats.org/officeDocument/2006/relationships/image" Target="media/image84.jpeg"/><Relationship Id="rId142" Type="http://schemas.openxmlformats.org/officeDocument/2006/relationships/image" Target="media/image83.jpeg"/><Relationship Id="rId141" Type="http://schemas.openxmlformats.org/officeDocument/2006/relationships/image" Target="media/image82.jpeg"/><Relationship Id="rId140" Type="http://schemas.openxmlformats.org/officeDocument/2006/relationships/image" Target="media/image81.jpeg"/><Relationship Id="rId14" Type="http://schemas.openxmlformats.org/officeDocument/2006/relationships/image" Target="media/image5.jpeg"/><Relationship Id="rId139" Type="http://schemas.openxmlformats.org/officeDocument/2006/relationships/image" Target="media/image80.jpeg"/><Relationship Id="rId138" Type="http://schemas.openxmlformats.org/officeDocument/2006/relationships/image" Target="media/image79.jpeg"/><Relationship Id="rId137" Type="http://schemas.openxmlformats.org/officeDocument/2006/relationships/image" Target="media/image78.jpeg"/><Relationship Id="rId136" Type="http://schemas.openxmlformats.org/officeDocument/2006/relationships/image" Target="media/image77.jpeg"/><Relationship Id="rId135" Type="http://schemas.openxmlformats.org/officeDocument/2006/relationships/image" Target="media/image76.png"/><Relationship Id="rId134" Type="http://schemas.openxmlformats.org/officeDocument/2006/relationships/image" Target="media/image75.png"/><Relationship Id="rId133" Type="http://schemas.openxmlformats.org/officeDocument/2006/relationships/image" Target="media/image74.jpeg"/><Relationship Id="rId132" Type="http://schemas.openxmlformats.org/officeDocument/2006/relationships/image" Target="media/image73.png"/><Relationship Id="rId131" Type="http://schemas.openxmlformats.org/officeDocument/2006/relationships/image" Target="media/image72.png"/><Relationship Id="rId130" Type="http://schemas.openxmlformats.org/officeDocument/2006/relationships/image" Target="media/image71.png"/><Relationship Id="rId13" Type="http://schemas.openxmlformats.org/officeDocument/2006/relationships/image" Target="media/image4.png"/><Relationship Id="rId129" Type="http://schemas.openxmlformats.org/officeDocument/2006/relationships/image" Target="media/image70.png"/><Relationship Id="rId128" Type="http://schemas.openxmlformats.org/officeDocument/2006/relationships/image" Target="media/image69.png"/><Relationship Id="rId127" Type="http://schemas.openxmlformats.org/officeDocument/2006/relationships/image" Target="media/image68.png"/><Relationship Id="rId126" Type="http://schemas.openxmlformats.org/officeDocument/2006/relationships/image" Target="media/image67.png"/><Relationship Id="rId125" Type="http://schemas.openxmlformats.org/officeDocument/2006/relationships/image" Target="media/image66.png"/><Relationship Id="rId124" Type="http://schemas.openxmlformats.org/officeDocument/2006/relationships/image" Target="media/image65.wmf"/><Relationship Id="rId123" Type="http://schemas.openxmlformats.org/officeDocument/2006/relationships/oleObject" Target="embeddings/oleObject50.bin"/><Relationship Id="rId122" Type="http://schemas.openxmlformats.org/officeDocument/2006/relationships/image" Target="media/image64.wmf"/><Relationship Id="rId121" Type="http://schemas.openxmlformats.org/officeDocument/2006/relationships/oleObject" Target="embeddings/oleObject49.bin"/><Relationship Id="rId120" Type="http://schemas.openxmlformats.org/officeDocument/2006/relationships/image" Target="media/image63.wmf"/><Relationship Id="rId12" Type="http://schemas.openxmlformats.org/officeDocument/2006/relationships/image" Target="media/image3.png"/><Relationship Id="rId119" Type="http://schemas.openxmlformats.org/officeDocument/2006/relationships/oleObject" Target="embeddings/oleObject48.bin"/><Relationship Id="rId118" Type="http://schemas.openxmlformats.org/officeDocument/2006/relationships/image" Target="media/image62.wmf"/><Relationship Id="rId117" Type="http://schemas.openxmlformats.org/officeDocument/2006/relationships/image" Target="media/image61.wmf"/><Relationship Id="rId116" Type="http://schemas.openxmlformats.org/officeDocument/2006/relationships/oleObject" Target="embeddings/oleObject47.bin"/><Relationship Id="rId115" Type="http://schemas.openxmlformats.org/officeDocument/2006/relationships/image" Target="media/image60.wmf"/><Relationship Id="rId114" Type="http://schemas.openxmlformats.org/officeDocument/2006/relationships/oleObject" Target="embeddings/oleObject46.bin"/><Relationship Id="rId113" Type="http://schemas.openxmlformats.org/officeDocument/2006/relationships/image" Target="media/image59.wmf"/><Relationship Id="rId112" Type="http://schemas.openxmlformats.org/officeDocument/2006/relationships/oleObject" Target="embeddings/oleObject45.bin"/><Relationship Id="rId111" Type="http://schemas.openxmlformats.org/officeDocument/2006/relationships/image" Target="media/image58.wmf"/><Relationship Id="rId110" Type="http://schemas.openxmlformats.org/officeDocument/2006/relationships/oleObject" Target="embeddings/oleObject44.bin"/><Relationship Id="rId11" Type="http://schemas.openxmlformats.org/officeDocument/2006/relationships/image" Target="media/image2.png"/><Relationship Id="rId109" Type="http://schemas.openxmlformats.org/officeDocument/2006/relationships/image" Target="media/image57.wmf"/><Relationship Id="rId108" Type="http://schemas.openxmlformats.org/officeDocument/2006/relationships/oleObject" Target="embeddings/oleObject43.bin"/><Relationship Id="rId107" Type="http://schemas.openxmlformats.org/officeDocument/2006/relationships/image" Target="media/image56.wmf"/><Relationship Id="rId106" Type="http://schemas.openxmlformats.org/officeDocument/2006/relationships/oleObject" Target="embeddings/oleObject42.bin"/><Relationship Id="rId105" Type="http://schemas.openxmlformats.org/officeDocument/2006/relationships/oleObject" Target="embeddings/oleObject41.bin"/><Relationship Id="rId104" Type="http://schemas.openxmlformats.org/officeDocument/2006/relationships/image" Target="media/image55.wmf"/><Relationship Id="rId103" Type="http://schemas.openxmlformats.org/officeDocument/2006/relationships/oleObject" Target="embeddings/oleObject40.bin"/><Relationship Id="rId102" Type="http://schemas.openxmlformats.org/officeDocument/2006/relationships/image" Target="media/image54.wmf"/><Relationship Id="rId101" Type="http://schemas.openxmlformats.org/officeDocument/2006/relationships/oleObject" Target="embeddings/oleObject39.bin"/><Relationship Id="rId100" Type="http://schemas.openxmlformats.org/officeDocument/2006/relationships/image" Target="media/image53.wmf"/><Relationship Id="rId10" Type="http://schemas.openxmlformats.org/officeDocument/2006/relationships/image" Target="media/image1.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34"/>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130</Pages>
  <Words>19087</Words>
  <Characters>20097</Characters>
  <Lines>405</Lines>
  <Paragraphs>114</Paragraphs>
  <TotalTime>4</TotalTime>
  <ScaleCrop>false</ScaleCrop>
  <LinksUpToDate>false</LinksUpToDate>
  <CharactersWithSpaces>20805</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2025-04-23T02:39:00Z</dcterms:created>
  <dc:creator>lhj</dc:creator>
  <cp:lastModifiedBy>芯鈊</cp:lastModifiedBy>
  <cp:lastPrinted>2025-06-19T02:13:00Z</cp:lastPrinted>
  <dcterms:modified xsi:type="dcterms:W3CDTF">2025-10-23T08:49:06Z</dcterms:modified>
  <dc:title>附件2</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30BC41A53518497094FD88E7297C3137_13</vt:lpwstr>
  </property>
  <property fmtid="{D5CDD505-2E9C-101B-9397-08002B2CF9AE}" pid="4" name="KSOTemplateDocerSaveRecord">
    <vt:lpwstr>eyJoZGlkIjoiOWMyZGEwMThhNTM3YTY0N2U2NmY3MzkzODM5YWI5MmIiLCJ1c2VySWQiOiI1NzU5NzA2MzAifQ==</vt:lpwstr>
  </property>
</Properties>
</file>