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sz w:val="72"/>
          <w:szCs w:val="96"/>
        </w:rPr>
      </w:pPr>
      <w:r>
        <w:drawing>
          <wp:anchor distT="0" distB="0" distL="114300" distR="114300" simplePos="0" relativeHeight="251664384" behindDoc="1" locked="0" layoutInCell="1" allowOverlap="1">
            <wp:simplePos x="0" y="0"/>
            <wp:positionH relativeFrom="column">
              <wp:posOffset>-120650</wp:posOffset>
            </wp:positionH>
            <wp:positionV relativeFrom="paragraph">
              <wp:posOffset>-2651760</wp:posOffset>
            </wp:positionV>
            <wp:extent cx="7592060" cy="11995785"/>
            <wp:effectExtent l="0" t="0" r="8890" b="5715"/>
            <wp:wrapNone/>
            <wp:docPr id="8" name="图片 8" descr="决算封面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决算封面无"/>
                    <pic:cNvPicPr>
                      <a:picLocks noChangeAspect="1"/>
                    </pic:cNvPicPr>
                  </pic:nvPicPr>
                  <pic:blipFill>
                    <a:blip r:embed="rId9"/>
                    <a:stretch>
                      <a:fillRect/>
                    </a:stretch>
                  </pic:blipFill>
                  <pic:spPr>
                    <a:xfrm>
                      <a:off x="0" y="0"/>
                      <a:ext cx="7592060" cy="11996061"/>
                    </a:xfrm>
                    <a:prstGeom prst="rect">
                      <a:avLst/>
                    </a:prstGeom>
                  </pic:spPr>
                </pic:pic>
              </a:graphicData>
            </a:graphic>
          </wp:anchor>
        </w:drawing>
      </w:r>
    </w:p>
    <w:p>
      <w:pPr>
        <w:rPr>
          <w:rFonts w:ascii="黑体" w:hAnsi="黑体" w:eastAsia="黑体" w:cs="黑体"/>
          <w:sz w:val="72"/>
          <w:szCs w:val="96"/>
        </w:rPr>
      </w:pPr>
    </w:p>
    <w:p>
      <w:pPr>
        <w:rPr>
          <w:rFonts w:ascii="黑体" w:hAnsi="黑体" w:eastAsia="黑体" w:cs="黑体"/>
          <w:sz w:val="72"/>
          <w:szCs w:val="96"/>
        </w:rPr>
      </w:pPr>
    </w:p>
    <w:p>
      <w:pPr>
        <w:rPr>
          <w:rFonts w:ascii="黑体" w:hAnsi="黑体" w:eastAsia="黑体" w:cs="黑体"/>
          <w:sz w:val="72"/>
          <w:szCs w:val="96"/>
        </w:rPr>
      </w:pPr>
    </w:p>
    <w:p>
      <w:pPr>
        <w:rPr>
          <w:rFonts w:ascii="黑体" w:hAnsi="黑体" w:eastAsia="黑体" w:cs="黑体"/>
          <w:sz w:val="72"/>
          <w:szCs w:val="96"/>
        </w:rPr>
      </w:pPr>
    </w:p>
    <w:p>
      <w:pPr>
        <w:rPr>
          <w:rFonts w:ascii="黑体" w:hAnsi="黑体" w:eastAsia="黑体" w:cs="黑体"/>
          <w:sz w:val="72"/>
          <w:szCs w:val="96"/>
        </w:rPr>
      </w:pPr>
    </w:p>
    <w:p>
      <w:pPr>
        <w:rPr>
          <w:rFonts w:ascii="黑体" w:hAnsi="黑体" w:eastAsia="黑体" w:cs="黑体"/>
          <w:sz w:val="72"/>
          <w:szCs w:val="96"/>
        </w:rPr>
      </w:pPr>
    </w:p>
    <w:p>
      <w:pPr>
        <w:rPr>
          <w:rFonts w:ascii="黑体" w:hAnsi="黑体" w:eastAsia="黑体" w:cs="黑体"/>
          <w:sz w:val="72"/>
          <w:szCs w:val="96"/>
        </w:rPr>
      </w:pPr>
    </w:p>
    <w:p>
      <w:pPr>
        <w:rPr>
          <w:rFonts w:ascii="黑体" w:hAnsi="黑体" w:eastAsia="黑体" w:cs="黑体"/>
          <w:sz w:val="72"/>
          <w:szCs w:val="96"/>
        </w:rPr>
      </w:pPr>
    </w:p>
    <w:p>
      <w:pPr>
        <w:rPr>
          <w:rFonts w:ascii="黑体" w:hAnsi="黑体" w:eastAsia="黑体" w:cs="黑体"/>
          <w:sz w:val="72"/>
          <w:szCs w:val="96"/>
        </w:rPr>
      </w:pPr>
    </w:p>
    <w:p>
      <w:pPr>
        <w:rPr>
          <w:rFonts w:ascii="黑体" w:hAnsi="黑体" w:eastAsia="黑体" w:cs="黑体"/>
          <w:sz w:val="72"/>
          <w:szCs w:val="96"/>
        </w:rPr>
      </w:pPr>
    </w:p>
    <w:p>
      <w:pPr>
        <w:rPr>
          <w:rFonts w:ascii="黑体" w:hAnsi="黑体" w:eastAsia="黑体" w:cs="黑体"/>
          <w:sz w:val="72"/>
          <w:szCs w:val="96"/>
        </w:rPr>
      </w:pPr>
    </w:p>
    <w:p>
      <w:pPr>
        <w:jc w:val="center"/>
        <w:rPr>
          <w:rFonts w:ascii="楷体_GB2312" w:hAnsi="楷体_GB2312" w:eastAsia="楷体_GB2312" w:cs="楷体_GB2312"/>
          <w:sz w:val="44"/>
          <w:szCs w:val="52"/>
        </w:rPr>
      </w:pPr>
      <w:r>
        <w:rPr>
          <w:rFonts w:hint="eastAsia" w:ascii="楷体_GB2312" w:hAnsi="楷体_GB2312" w:eastAsia="楷体_GB2312" w:cs="楷体_GB2312"/>
          <w:sz w:val="44"/>
          <w:szCs w:val="52"/>
        </w:rPr>
        <w:t>2021年</w:t>
      </w:r>
      <w:r>
        <w:rPr>
          <w:rFonts w:ascii="楷体_GB2312" w:hAnsi="楷体_GB2312" w:eastAsia="楷体_GB2312" w:cs="楷体_GB2312"/>
          <w:sz w:val="44"/>
          <w:szCs w:val="52"/>
        </w:rPr>
        <w:t>9</w:t>
      </w:r>
      <w:r>
        <w:rPr>
          <w:rFonts w:hint="eastAsia" w:ascii="楷体_GB2312" w:hAnsi="楷体_GB2312" w:eastAsia="楷体_GB2312" w:cs="楷体_GB2312"/>
          <w:sz w:val="44"/>
          <w:szCs w:val="52"/>
        </w:rPr>
        <w:t>月</w:t>
      </w:r>
    </w:p>
    <w:p>
      <w:pPr>
        <w:rPr>
          <w:rFonts w:ascii="黑体" w:hAnsi="黑体" w:eastAsia="黑体" w:cs="黑体"/>
          <w:sz w:val="72"/>
          <w:szCs w:val="96"/>
        </w:rPr>
      </w:pPr>
    </w:p>
    <w:p>
      <w:pPr>
        <w:rPr>
          <w:rFonts w:ascii="黑体" w:hAnsi="黑体" w:eastAsia="黑体" w:cs="黑体"/>
          <w:sz w:val="72"/>
          <w:szCs w:val="96"/>
        </w:rPr>
      </w:pP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highlight w:val="yellow"/>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中共</w:t>
      </w:r>
      <w: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秦皇岛经济技术开发区工作委员会办公室</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二〇二一年九月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黑体" w:hAnsi="黑体" w:eastAsia="黑体" w:cs="黑体"/>
          <w:sz w:val="72"/>
          <w:szCs w:val="96"/>
        </w:rPr>
      </w:pPr>
      <w:r>
        <w:rPr>
          <w:rFonts w:hint="eastAsia" w:ascii="黑体" w:hAnsi="黑体" w:eastAsia="黑体" w:cs="黑体"/>
          <w:sz w:val="72"/>
          <w:szCs w:val="96"/>
        </w:rPr>
        <w:t>中共</w:t>
      </w:r>
      <w:r>
        <w:rPr>
          <w:rFonts w:ascii="黑体" w:hAnsi="黑体" w:eastAsia="黑体" w:cs="黑体"/>
          <w:sz w:val="72"/>
          <w:szCs w:val="96"/>
        </w:rPr>
        <w:t>秦皇岛经济技术开发区工作委员会办公室</w:t>
      </w:r>
    </w:p>
    <w:p>
      <w:pPr>
        <w:jc w:val="cente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二〇二一年九月</w:t>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rPr>
          <w:rFonts w:ascii="Times New Roman" w:hAnsi="Times New Roman" w:eastAsia="黑体" w:cs="Times New Roman"/>
          <w:sz w:val="32"/>
          <w:szCs w:val="32"/>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0" w:num="1"/>
          <w:titlePg/>
          <w:docGrid w:type="lines" w:linePitch="312" w:charSpace="0"/>
        </w:sect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0"/>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560" w:lineRule="exact"/>
        <w:ind w:firstLine="640" w:firstLineChars="200"/>
        <w:rPr>
          <w:rFonts w:ascii="仿宋_GB2312" w:hAnsi="宋体" w:eastAsia="仿宋_GB2312"/>
          <w:color w:val="000000"/>
          <w:kern w:val="0"/>
          <w:sz w:val="32"/>
          <w:szCs w:val="32"/>
        </w:rPr>
      </w:pPr>
      <w:r>
        <w:rPr>
          <w:rFonts w:hint="eastAsia" w:ascii="仿宋_GB2312" w:eastAsia="仿宋_GB2312"/>
          <w:color w:val="000000"/>
          <w:sz w:val="32"/>
          <w:szCs w:val="32"/>
        </w:rPr>
        <w:t>1.秘书科(挂机要局牌子)主要职责为：负责工委（工委办）各类文稿起草、审核、修改、印发；负责工委领导讲话材料和向市委报送的请示、报告等文字材料的起草，负责会议记录、会议纪要、领导讲话录音的整理和《办公室通报》的制发等工作；负责工委系统的公文管理；</w:t>
      </w:r>
      <w:r>
        <w:rPr>
          <w:rFonts w:hint="eastAsia" w:ascii="仿宋_GB2312" w:hAnsi="_x000B__x000C_" w:eastAsia="仿宋_GB2312"/>
          <w:color w:val="000000"/>
          <w:sz w:val="32"/>
          <w:szCs w:val="32"/>
        </w:rPr>
        <w:t>贯彻执行中央、省、市委关于密码工作的方针、政策和市委机要局工作部署，具体规划和组织全区密码工作，实施对全区核心密码和普通密码工作的业务领导和管理；</w:t>
      </w:r>
      <w:r>
        <w:rPr>
          <w:rFonts w:hint="eastAsia" w:ascii="仿宋_GB2312" w:hAnsi="宋体" w:eastAsia="仿宋_GB2312"/>
          <w:color w:val="000000"/>
          <w:kern w:val="0"/>
          <w:sz w:val="32"/>
          <w:szCs w:val="32"/>
        </w:rPr>
        <w:t>负责公文交互平台和党委系统内网的日常管理，内网文件的接收办理，工委系统机关办公自动化工作；负责处理开发区党风廉政建设主体责任领导小组的日常工作。</w:t>
      </w:r>
    </w:p>
    <w:p>
      <w:pPr>
        <w:spacing w:line="560" w:lineRule="exact"/>
        <w:ind w:firstLine="640" w:firstLineChars="200"/>
        <w:rPr>
          <w:rFonts w:ascii="仿宋_GB2312" w:hAnsi="仿宋" w:eastAsia="仿宋_GB2312"/>
          <w:color w:val="000000"/>
          <w:sz w:val="32"/>
          <w:szCs w:val="32"/>
        </w:rPr>
      </w:pPr>
      <w:r>
        <w:rPr>
          <w:rFonts w:hint="eastAsia" w:ascii="仿宋_GB2312" w:eastAsia="仿宋_GB2312"/>
          <w:color w:val="000000"/>
          <w:sz w:val="32"/>
          <w:szCs w:val="32"/>
        </w:rPr>
        <w:t>2.综合科（对外挂国家保密局牌子）主要职责是：</w:t>
      </w:r>
      <w:r>
        <w:rPr>
          <w:rFonts w:hint="eastAsia" w:ascii="仿宋_GB2312" w:hAnsi="_x000B__x000C_" w:eastAsia="仿宋_GB2312"/>
          <w:color w:val="000000"/>
          <w:sz w:val="32"/>
          <w:szCs w:val="32"/>
        </w:rPr>
        <w:t>负责工委系统各部门的固定资产管理、办公用品采购、</w:t>
      </w:r>
      <w:r>
        <w:rPr>
          <w:rFonts w:hint="eastAsia" w:ascii="仿宋_GB2312" w:hAnsi="宋体" w:eastAsia="仿宋_GB2312" w:cs="宋体"/>
          <w:color w:val="000000"/>
          <w:spacing w:val="-4"/>
          <w:kern w:val="0"/>
          <w:sz w:val="32"/>
          <w:szCs w:val="32"/>
        </w:rPr>
        <w:t>办公用房管理、</w:t>
      </w:r>
      <w:r>
        <w:rPr>
          <w:rFonts w:hint="eastAsia" w:ascii="仿宋_GB2312" w:hAnsi="_x000B__x000C_" w:eastAsia="仿宋_GB2312"/>
          <w:color w:val="000000"/>
          <w:sz w:val="32"/>
          <w:szCs w:val="32"/>
        </w:rPr>
        <w:t>公务用车管理；负责</w:t>
      </w:r>
      <w:r>
        <w:rPr>
          <w:rFonts w:hint="eastAsia" w:ascii="仿宋_GB2312" w:eastAsia="仿宋_GB2312"/>
          <w:color w:val="000000"/>
          <w:sz w:val="32"/>
          <w:szCs w:val="32"/>
        </w:rPr>
        <w:t>工委系统人事、劳资、统计工作；承担开发区保密工作委员会的日常工作，执行工委、管委关于保密工作的方针、政策，制定全区保密工作计划，建立完善保密规章制度，组织涉密人员参加业务培训，对全区干部员工进行《中华人民共和</w:t>
      </w:r>
      <w:bookmarkStart w:id="0" w:name="_GoBack"/>
      <w:r>
        <w:rPr>
          <w:rFonts w:hint="eastAsia" w:ascii="仿宋_GB2312" w:eastAsia="仿宋_GB2312"/>
          <w:color w:val="000000"/>
          <w:sz w:val="32"/>
          <w:szCs w:val="32"/>
        </w:rPr>
        <w:t>国保守国家秘密法》《保密工作条例》的宣传教育，对保密工作</w:t>
      </w:r>
      <w:bookmarkEnd w:id="0"/>
      <w:r>
        <w:rPr>
          <w:rFonts w:hint="eastAsia" w:ascii="仿宋_GB2312" w:eastAsia="仿宋_GB2312"/>
          <w:color w:val="000000"/>
          <w:sz w:val="32"/>
          <w:szCs w:val="32"/>
        </w:rPr>
        <w:t>进行检查指导，督促查处失泄密事件等；</w:t>
      </w:r>
      <w:r>
        <w:rPr>
          <w:rFonts w:hint="eastAsia" w:ascii="仿宋_GB2312" w:hAnsi="宋体" w:eastAsia="仿宋_GB2312"/>
          <w:color w:val="000000"/>
          <w:sz w:val="32"/>
          <w:szCs w:val="32"/>
        </w:rPr>
        <w:t>负责工委暨工委办的印信管理；</w:t>
      </w:r>
      <w:r>
        <w:rPr>
          <w:rFonts w:hint="eastAsia" w:ascii="仿宋_GB2312" w:eastAsia="仿宋_GB2312"/>
          <w:color w:val="000000"/>
          <w:sz w:val="32"/>
          <w:szCs w:val="32"/>
        </w:rPr>
        <w:t>负责工委机关党总支和工委办党支部的日常工作；负责工委</w:t>
      </w:r>
      <w:r>
        <w:rPr>
          <w:rFonts w:hint="eastAsia" w:ascii="仿宋_GB2312" w:hAnsi="宋体" w:eastAsia="仿宋_GB2312"/>
          <w:color w:val="000000"/>
          <w:sz w:val="32"/>
          <w:szCs w:val="32"/>
        </w:rPr>
        <w:t>办</w:t>
      </w:r>
      <w:r>
        <w:rPr>
          <w:rFonts w:hint="eastAsia" w:ascii="仿宋_GB2312" w:eastAsia="仿宋_GB2312"/>
          <w:color w:val="000000"/>
          <w:sz w:val="32"/>
          <w:szCs w:val="32"/>
        </w:rPr>
        <w:t>行政管理事务和“部门三包”工作。</w:t>
      </w:r>
    </w:p>
    <w:p>
      <w:pPr>
        <w:spacing w:line="560" w:lineRule="exact"/>
        <w:ind w:firstLine="640" w:firstLineChars="200"/>
        <w:rPr>
          <w:rFonts w:ascii="仿宋_GB2312" w:hAnsi="Calibri" w:eastAsia="仿宋_GB2312"/>
          <w:color w:val="000000"/>
          <w:sz w:val="32"/>
          <w:szCs w:val="32"/>
        </w:rPr>
      </w:pPr>
      <w:r>
        <w:rPr>
          <w:rFonts w:hint="eastAsia" w:ascii="仿宋_GB2312" w:eastAsia="仿宋_GB2312"/>
          <w:color w:val="000000"/>
          <w:sz w:val="32"/>
          <w:szCs w:val="32"/>
        </w:rPr>
        <w:t>3.信息科（对外挂统战部牌子）主要职责是：负责工委系统的信息编辑、上报工作，印发《开发区信息》专刊，负责信息员队伍建设、管理、学习、培训；负责统战及人大政协事务，包括统战对象的管理，对港澳台资企业和台属、侨眷的服务，负责开发区宗教工作领导小组日常工作，负责区内人大代表、政协委员的联络、联谊工作和民主党派的联系管理服务，做好与市及海港区、山海关区、抚宁区、北戴河区人大、政协的联系、协调工作；负责工委各型会议的会务和全区性重大活动的筹备工作；负责工委系统的对外联系接待和工委领导的调研走访工作；负责处理开发区全面深化改革领导小组日常工作，统筹协调推进全区深化改革工作。</w:t>
      </w:r>
    </w:p>
    <w:p>
      <w:pPr>
        <w:spacing w:line="560" w:lineRule="exact"/>
        <w:ind w:firstLine="662" w:firstLineChars="207"/>
        <w:rPr>
          <w:rFonts w:ascii="仿宋_GB2312" w:hAnsi="黑体" w:eastAsia="仿宋_GB2312"/>
          <w:color w:val="000000"/>
          <w:sz w:val="32"/>
          <w:szCs w:val="32"/>
        </w:rPr>
      </w:pPr>
      <w:r>
        <w:rPr>
          <w:rFonts w:hint="eastAsia" w:ascii="仿宋_GB2312" w:hAnsi="宋体" w:eastAsia="仿宋_GB2312"/>
          <w:color w:val="000000"/>
          <w:kern w:val="0"/>
          <w:sz w:val="32"/>
          <w:szCs w:val="32"/>
        </w:rPr>
        <w:t>4.暑办：</w:t>
      </w:r>
      <w:r>
        <w:rPr>
          <w:rFonts w:hint="eastAsia" w:ascii="仿宋_GB2312" w:hAnsi="黑体" w:eastAsia="仿宋_GB2312"/>
          <w:color w:val="000000"/>
          <w:sz w:val="32"/>
          <w:szCs w:val="32"/>
        </w:rPr>
        <w:t>对全区旅游旺季工作(</w:t>
      </w:r>
      <w:r>
        <w:rPr>
          <w:rFonts w:hint="eastAsia" w:ascii="仿宋_GB2312" w:eastAsia="仿宋_GB2312"/>
          <w:color w:val="000000"/>
          <w:sz w:val="32"/>
          <w:szCs w:val="32"/>
        </w:rPr>
        <w:t>涉暑工作</w:t>
      </w:r>
      <w:r>
        <w:rPr>
          <w:rFonts w:hint="eastAsia" w:ascii="仿宋_GB2312" w:hAnsi="黑体" w:eastAsia="仿宋_GB2312"/>
          <w:color w:val="000000"/>
          <w:sz w:val="32"/>
          <w:szCs w:val="32"/>
        </w:rPr>
        <w:t>)情况进行调查研究和综合分析，向上级相关部门提供暑期工作信息，并与区内各相关部门配合，发挥综合、指导、协调、服务的职能作用。</w:t>
      </w:r>
    </w:p>
    <w:p>
      <w:pPr>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5.督查室。负责国家、省、市对开发区的考核指标完成情况的督查督办，省委重点督查事项的督查督办；负责市委督查室、市政府督查室专项督查批示件及督办件的督查督办；市委督查室、市政府督查室专项检查、专项工作会议议定事项、专项督查行动等落实情况的督查督办；开发区工委、管委重大决策的督办落实和工委、管委领导交办事项的督查督办等。</w:t>
      </w:r>
    </w:p>
    <w:p>
      <w:pPr>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6.组织部。负责工委、管委机关及直属企事业单位科级干部的培养、选拔和任用工作；干部教育培训工作；干部考核工作；科级干部档案管理和县级干部工资管理工作；干部、党员的统计工作；知识分子和人才工作；基层组织建设、党员队伍建设工作；出国政审工作；党费的收缴使用和管理；组织关系的转接工作；组织工作信访、组工调研、自身建设等各项工作。</w:t>
      </w:r>
    </w:p>
    <w:p>
      <w:pPr>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7.老干部科（关心下一代工作委员会办公室）。贯彻落实党的老干部工作的方针政策，参与制定工委、管委机关老干部工作的政策规定，并组织实施；</w:t>
      </w:r>
      <w:r>
        <w:rPr>
          <w:rFonts w:hint="eastAsia" w:ascii="仿宋_GB2312" w:hAnsi="宋体" w:eastAsia="仿宋_GB2312"/>
          <w:color w:val="000000"/>
          <w:sz w:val="32"/>
          <w:szCs w:val="32"/>
          <w:shd w:val="clear" w:color="auto" w:fill="FFFFFF"/>
        </w:rPr>
        <w:t>督促检查全区离退休干部和工、管委机关退休干部政治、生活待遇各项政策的落实。参与离休干部离休费和医药费和保障机制的建设和完善工作；</w:t>
      </w:r>
      <w:r>
        <w:rPr>
          <w:rFonts w:hint="eastAsia" w:ascii="仿宋_GB2312" w:hAnsi="宋体" w:eastAsia="仿宋_GB2312"/>
          <w:color w:val="000000"/>
          <w:sz w:val="32"/>
          <w:szCs w:val="32"/>
        </w:rPr>
        <w:t>做好新形势下的老干部思想政治工作，组织老干部积极参与两个文明建设，为全区的改革、发展和稳定继续发挥作用；积极开展老干部工作的调查研究，及时掌握信息和动态，向开发区工委、管委提出政策性的建议；协助关工委做好关心下一代工作。做好关心下一代工作办公室的工作；负责老干部来信来访工作，配合原单位做好老干部去世后的善后处理工作，以及老干部的走访、慰问等工作。</w:t>
      </w:r>
    </w:p>
    <w:p>
      <w:pPr>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8.宣传部（区文明办）。负责全区理论学习工作：制定年度全区党员干部理论学习计划，安排理论学习内容并抓好落实；负责区中心组学习以及学习档案的整理、报送；对一些重大理论问题，组织开展研究讨论，提高认识，明辨是非，防止在理论问题上出现偏差；及时给干部员工提供政治理论学习指导书目和必要的学习参考资料；调查研究政治理论学习中的新情况、新问题，不断总结交流经验；深入实际调查研究，及时了解开发区员工的思想状况，有针对性地提出思想政治教育的意见和措施；认真研究新形势下思想政治工作的规律，不断总结思想政治工作经验，为领导提供决策依据；制定形势政策教育年度工作计划，并检查、督促和组织实施；了解党员队伍的思想状况和党员教育工作情况，会同有关部门制定党员教育工作计划；与上级思想政治工作研究会加强联系，协调组织好思想政治工作理论研究、理论教育、理论教育和理论宣传工作；全区思想政治工作人员专业职务评定工作；围绕开发区中心，服务大局，不断增强引导社会舆论的能力，强化主流意识形态；积极掌握开发区内互联网、短信等新兴传播渠道情况，充分利用开发区网络资源，开展各种有益活动；建立健全舆情信息工作网络，确保上通下达，为切实反映人民群众的愿望和呼声，为工、管委体察民情、科学决策，提供参考依据和信息服务；指导有关单位开展各项宣传活动；负责全区精神文明建设工作的组织、协调。</w:t>
      </w:r>
    </w:p>
    <w:p>
      <w:pPr>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9.信访局。受理人民来信，接待群众来访，处理群众提出的信访问题，向人民群众提供有关信访方面的法律、法规和政策咨询；向同级有关部门和下级机关、单位交办的信访案件；督促检查信访工作和信访案件的处理；向领导机关和领导同志提供信访信息。</w:t>
      </w:r>
    </w:p>
    <w:p>
      <w:pPr>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10.机关工委。宣传和执行党的路线、方针、政策，发挥党组织的战斗堡垒作用和党员的先锋模范作用，保证各单位完成各项工作任务；组织党员认真学习马克思列宁主义、毛泽东思想、邓小平理论、“三个代表”重要思想、科学发展观、习近平新时代中国特色社会主义思想和党的路线、方针、政策，学习科学、文化和业务知识，提高党员的思想政治理论水平和工作能力；围绕开发区经济建设中心任务开展工作，对党建工作做出安排和部署，对各基层党组织进行分类指导；对党员进行教育和管理，严格党的组织生活，监督党员切实履行义务，抓好党风廉政建设；搞好党的组织建设。做好各基层党组织的组建、换届改选及党组织领导成员的任免工作；加强党的作风建设，教育广大党员转变思想观念，改进工作作风，提高服务质量，开展精神文明创建活动；负责党员、党务干部培训工作；对入党积极分子进行教育培养，认真做好发展党员工作，做好党员统计、组织关系接转、党费收缴工作。</w:t>
      </w:r>
    </w:p>
    <w:p>
      <w:pPr>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11.企业工委。负责检查指导区内企业党组织学习、宣传、贯彻党的路线、方针、政策，负责监督国家法律、法规在企业贯彻实施；负责制定全区企业党建目标任务和计划并监督实施；加强企业党建调研，深入企业分类指导；负责区内企业党组织的组建、改选、撤销和调整及党组织成员的任免工作；负责指导企业党组织做好党员和员工的思想政治工作，督促企业党组织经常地、有计划的组织党员学习，教育党员和员工模范遵守国家法律法规和企业规章制度。负责指导企业党组织开展精神文明创建工作；认真做好企业党员发展工作。有计划、有重点地发现和培养优秀分子，建立一支高质量的入党积极分子队伍，不断扩大党员在企业特别是非公有制企业的覆盖面；做好零散党员和流动党员的管理工作，理顺党员的隶属关系；做好党费的收缴和管理工作；指导区内企业群团组织开展工作。</w:t>
      </w:r>
    </w:p>
    <w:p>
      <w:pPr>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12.联合接访中心。负责接访大厅的日常工作；负责协调处理上访事件；负责特殊时期信访值班工作。</w:t>
      </w:r>
    </w:p>
    <w:p>
      <w:pPr>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13.党校。依据《中国共产党党校工作条例》，制定切实可行的教育培训、教学研究计划和措施，并积极实施；负责举办培训班、轮训班、理论研讨班，把马克思主义中国化最新成果作为理论教育中心内容，全方位培训党员、干部和入党积极分子，提高党员干部的战略思维能力和驾驭全局能力；负责以党校为阵地，通过构建特色虚拟党校、加强大组工网管理等渠道和形式，宣传党的路线、方针、政策，增强党员干部的道路自信、理论自信和制度自信；负责加强党建理论研究，围绕全区党建工作出现的新情况、新问题，确定有关专题，组织力量进行党建理论研究；在工、管委的领导下，加强与有关职能部门的协助与合作。</w:t>
      </w:r>
    </w:p>
    <w:p>
      <w:pPr>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14.考核办。研究制定开发区综合考核工作的相关政策、年度计划及考核办法；负责领导班子和领导干部年度工作考核；负责对机关各部门、直属企事业单位部门全年目标任务完成情况进行考核；统筹组织开展全区党风廉政建设和廉政勤政建设、平安建设（统治、维稳）、精神文明建设、依法行政和信访工作等专项考核工作；组织协调对机关工作纪律、工作作风的检查督导工作；受理与考核工作相关的申诉或举报；负责全区干部监督工作的统一协调和宏观指导，做好日常监督管理工作。</w:t>
      </w:r>
    </w:p>
    <w:p>
      <w:pPr>
        <w:keepNext/>
        <w:keepLines/>
        <w:numPr>
          <w:ilvl w:val="0"/>
          <w:numId w:val="1"/>
        </w:numPr>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机构设置</w:t>
      </w:r>
    </w:p>
    <w:p>
      <w:pPr>
        <w:spacing w:line="600" w:lineRule="exact"/>
        <w:ind w:firstLine="640" w:firstLineChars="200"/>
        <w:rPr>
          <w:rFonts w:ascii="黑体" w:hAnsi="Calibri" w:eastAsia="黑体" w:cs="黑体"/>
          <w:kern w:val="0"/>
          <w:sz w:val="32"/>
          <w:szCs w:val="32"/>
        </w:rPr>
      </w:pPr>
      <w:r>
        <w:rPr>
          <w:rFonts w:hint="eastAsia" w:ascii="仿宋_GB2312" w:eastAsia="仿宋_GB2312" w:cs="ArialUnicodeMS"/>
          <w:kern w:val="0"/>
          <w:sz w:val="32"/>
          <w:szCs w:val="32"/>
        </w:rPr>
        <w:t>中共秦皇岛经济技术开发区工作委员会办公室内设机构14个，包括：</w:t>
      </w:r>
      <w:r>
        <w:rPr>
          <w:rFonts w:hint="eastAsia" w:ascii="仿宋_GB2312" w:eastAsia="仿宋_GB2312"/>
          <w:color w:val="000000"/>
          <w:sz w:val="32"/>
          <w:szCs w:val="32"/>
        </w:rPr>
        <w:t>秘书科(机要局)、综合科（国家保密局）、信息科（统战部）、</w:t>
      </w:r>
      <w:r>
        <w:rPr>
          <w:rFonts w:hint="eastAsia" w:ascii="仿宋_GB2312" w:hAnsi="宋体" w:eastAsia="仿宋_GB2312"/>
          <w:color w:val="000000"/>
          <w:kern w:val="0"/>
          <w:sz w:val="32"/>
          <w:szCs w:val="32"/>
        </w:rPr>
        <w:t>暑办、</w:t>
      </w:r>
      <w:r>
        <w:rPr>
          <w:rFonts w:hint="eastAsia" w:ascii="仿宋_GB2312" w:hAnsi="宋体" w:eastAsia="仿宋_GB2312"/>
          <w:color w:val="000000"/>
          <w:sz w:val="32"/>
          <w:szCs w:val="32"/>
        </w:rPr>
        <w:t>督查室、组织部、老干部科（关心下一代工作委员会办公室）、宣传部（区文明办）、信访局、机关工委、企业工委、联合接访中心、党校、考核办。</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w:t>
      </w:r>
      <w:r>
        <w:rPr>
          <w:rFonts w:ascii="仿宋_GB2312" w:hAnsi="Calibri" w:eastAsia="仿宋_GB2312" w:cs="ArialUnicodeMS"/>
          <w:kern w:val="0"/>
          <w:sz w:val="32"/>
          <w:szCs w:val="32"/>
        </w:rPr>
        <w:t>2020</w:t>
      </w:r>
      <w:r>
        <w:rPr>
          <w:rFonts w:hint="eastAsia" w:ascii="仿宋_GB2312" w:hAnsi="Calibri" w:eastAsia="仿宋_GB2312" w:cs="ArialUnicodeMS"/>
          <w:kern w:val="0"/>
          <w:sz w:val="32"/>
          <w:szCs w:val="32"/>
        </w:rPr>
        <w:t>年度本部门决算汇编范围的独立核算单位（以下简称“单位”）共</w:t>
      </w:r>
      <w:r>
        <w:rPr>
          <w:rFonts w:ascii="仿宋_GB2312" w:hAnsi="Calibri" w:eastAsia="仿宋_GB2312" w:cs="ArialUnicodeMS"/>
          <w:kern w:val="0"/>
          <w:sz w:val="32"/>
          <w:szCs w:val="32"/>
        </w:rPr>
        <w:t>2</w:t>
      </w:r>
      <w:r>
        <w:rPr>
          <w:rFonts w:hint="eastAsia" w:ascii="仿宋_GB2312" w:hAnsi="Calibri" w:eastAsia="仿宋_GB2312" w:cs="ArialUnicodeMS"/>
          <w:kern w:val="0"/>
          <w:sz w:val="32"/>
          <w:szCs w:val="32"/>
        </w:rPr>
        <w:t>个，具体情况如下：</w:t>
      </w:r>
    </w:p>
    <w:tbl>
      <w:tblPr>
        <w:tblStyle w:val="7"/>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eastAsia="仿宋_GB2312" w:cs="ArialUnicodeMS"/>
                <w:kern w:val="0"/>
                <w:sz w:val="32"/>
                <w:szCs w:val="32"/>
              </w:rPr>
              <w:t>中共秦皇岛经济技术开发区工作委员会办公室（本级）</w:t>
            </w:r>
          </w:p>
        </w:tc>
        <w:tc>
          <w:tcPr>
            <w:tcW w:w="2445" w:type="dxa"/>
          </w:tcPr>
          <w:p>
            <w:pPr>
              <w:spacing w:line="560" w:lineRule="exact"/>
              <w:rPr>
                <w:rFonts w:ascii="仿宋_GB2312" w:hAnsi="Calibri" w:eastAsia="仿宋_GB2312" w:cs="ArialUnicodeMS"/>
                <w:kern w:val="0"/>
                <w:sz w:val="28"/>
                <w:szCs w:val="28"/>
              </w:rPr>
            </w:pPr>
            <w:r>
              <w:rPr>
                <w:rFonts w:hint="eastAsia" w:ascii="仿宋_GB2312" w:eastAsia="仿宋_GB2312" w:cs="ArialUnicodeMS"/>
                <w:kern w:val="0"/>
                <w:sz w:val="28"/>
                <w:szCs w:val="28"/>
              </w:rPr>
              <w:t>行政单位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w:t>
            </w:r>
          </w:p>
        </w:tc>
        <w:tc>
          <w:tcPr>
            <w:tcW w:w="3485" w:type="dxa"/>
          </w:tcPr>
          <w:p>
            <w:pPr>
              <w:spacing w:line="560" w:lineRule="exact"/>
              <w:rPr>
                <w:rFonts w:ascii="仿宋_GB2312" w:hAnsi="Calibri" w:eastAsia="仿宋_GB2312" w:cs="ArialUnicodeMS"/>
                <w:kern w:val="0"/>
                <w:sz w:val="28"/>
                <w:szCs w:val="28"/>
              </w:rPr>
            </w:pPr>
            <w:r>
              <w:rPr>
                <w:rFonts w:hint="eastAsia" w:ascii="仿宋_GB2312" w:eastAsia="仿宋_GB2312" w:cs="ArialUnicodeMS"/>
                <w:kern w:val="0"/>
                <w:sz w:val="28"/>
                <w:szCs w:val="28"/>
              </w:rPr>
              <w:t>秦皇岛经济技术开发区暑期工作领导小组办公室</w:t>
            </w:r>
          </w:p>
        </w:tc>
        <w:tc>
          <w:tcPr>
            <w:tcW w:w="2445" w:type="dxa"/>
          </w:tcPr>
          <w:p>
            <w:pPr>
              <w:spacing w:line="560" w:lineRule="exact"/>
              <w:rPr>
                <w:rFonts w:ascii="仿宋_GB2312" w:hAnsi="Calibri" w:eastAsia="仿宋_GB2312" w:cs="ArialUnicodeMS"/>
                <w:kern w:val="0"/>
                <w:sz w:val="28"/>
                <w:szCs w:val="28"/>
              </w:rPr>
            </w:pPr>
            <w:r>
              <w:rPr>
                <w:rFonts w:hint="eastAsia" w:ascii="仿宋_GB2312" w:eastAsia="仿宋_GB2312" w:cs="ArialUnicodeMS"/>
                <w:kern w:val="0"/>
                <w:sz w:val="28"/>
                <w:szCs w:val="28"/>
              </w:rPr>
              <w:t>财政补助事业单位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p>
        </w:tc>
      </w:tr>
    </w:tbl>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1312"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1312;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0"/>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adjustRightInd w:val="0"/>
        <w:snapToGrid w:val="0"/>
        <w:spacing w:line="580" w:lineRule="exact"/>
        <w:ind w:firstLine="420" w:firstLineChars="200"/>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工</w:t>
      </w:r>
      <w:r>
        <w:rPr>
          <w:rFonts w:ascii="仿宋" w:hAnsi="仿宋" w:eastAsia="仿宋" w:cs="DengXian-Regular"/>
          <w:sz w:val="32"/>
          <w:szCs w:val="32"/>
        </w:rPr>
        <w:t>委办</w:t>
      </w:r>
      <w:r>
        <w:rPr>
          <w:rFonts w:hint="eastAsia" w:ascii="仿宋" w:hAnsi="仿宋" w:eastAsia="仿宋" w:cs="DengXian-Regular"/>
          <w:sz w:val="32"/>
          <w:szCs w:val="32"/>
        </w:rPr>
        <w:t>20</w:t>
      </w:r>
      <w:r>
        <w:rPr>
          <w:rFonts w:ascii="仿宋" w:hAnsi="仿宋" w:eastAsia="仿宋" w:cs="DengXian-Regular"/>
          <w:sz w:val="32"/>
          <w:szCs w:val="32"/>
        </w:rPr>
        <w:t>20</w:t>
      </w:r>
      <w:r>
        <w:rPr>
          <w:rFonts w:hint="eastAsia" w:ascii="仿宋" w:hAnsi="仿宋" w:eastAsia="仿宋" w:cs="DengXian-Regular"/>
          <w:sz w:val="32"/>
          <w:szCs w:val="32"/>
        </w:rPr>
        <w:t>年度收入支</w:t>
      </w:r>
      <w:r>
        <w:rPr>
          <w:rFonts w:ascii="仿宋" w:hAnsi="仿宋" w:eastAsia="仿宋" w:cs="DengXian-Regular"/>
          <w:sz w:val="32"/>
          <w:szCs w:val="32"/>
        </w:rPr>
        <w:t>出</w:t>
      </w:r>
      <w:r>
        <w:rPr>
          <w:rFonts w:hint="eastAsia" w:ascii="仿宋" w:hAnsi="仿宋" w:eastAsia="仿宋" w:cs="DengXian-Regular"/>
          <w:sz w:val="32"/>
          <w:szCs w:val="32"/>
        </w:rPr>
        <w:t>总计（</w:t>
      </w:r>
      <w:r>
        <w:rPr>
          <w:rFonts w:ascii="仿宋" w:hAnsi="仿宋" w:eastAsia="仿宋" w:cs="DengXian-Regular"/>
          <w:sz w:val="32"/>
          <w:szCs w:val="32"/>
        </w:rPr>
        <w:t>含结转结余）2232.42</w:t>
      </w:r>
      <w:r>
        <w:rPr>
          <w:rFonts w:hint="eastAsia" w:ascii="仿宋" w:hAnsi="仿宋" w:eastAsia="仿宋" w:cs="DengXian-Regular"/>
          <w:sz w:val="32"/>
          <w:szCs w:val="32"/>
        </w:rPr>
        <w:t>万元，与201</w:t>
      </w:r>
      <w:r>
        <w:rPr>
          <w:rFonts w:hint="eastAsia" w:ascii="仿宋" w:hAnsi="仿宋" w:eastAsia="仿宋" w:cs="Calibri"/>
          <w:sz w:val="32"/>
          <w:szCs w:val="32"/>
        </w:rPr>
        <w:t>9</w:t>
      </w:r>
      <w:r>
        <w:rPr>
          <w:rFonts w:hint="eastAsia" w:ascii="仿宋" w:hAnsi="仿宋" w:eastAsia="仿宋" w:cs="DengXian-Regular"/>
          <w:sz w:val="32"/>
          <w:szCs w:val="32"/>
        </w:rPr>
        <w:t>年度决算</w:t>
      </w:r>
      <w:r>
        <w:rPr>
          <w:rFonts w:ascii="仿宋" w:hAnsi="仿宋" w:eastAsia="仿宋" w:cs="DengXian-Regular"/>
          <w:sz w:val="32"/>
          <w:szCs w:val="32"/>
        </w:rPr>
        <w:t>相比，</w:t>
      </w:r>
      <w:r>
        <w:rPr>
          <w:rFonts w:hint="eastAsia" w:ascii="仿宋" w:hAnsi="仿宋" w:eastAsia="仿宋" w:cs="DengXian-Regular"/>
          <w:sz w:val="32"/>
          <w:szCs w:val="32"/>
        </w:rPr>
        <w:t>2020年</w:t>
      </w:r>
      <w:r>
        <w:rPr>
          <w:rFonts w:ascii="仿宋" w:hAnsi="仿宋" w:eastAsia="仿宋" w:cs="DengXian-Regular"/>
          <w:sz w:val="32"/>
          <w:szCs w:val="32"/>
        </w:rPr>
        <w:t>度收入总计</w:t>
      </w:r>
      <w:r>
        <w:rPr>
          <w:rFonts w:hint="eastAsia" w:ascii="仿宋" w:hAnsi="仿宋" w:eastAsia="仿宋" w:cs="DengXian-Regular"/>
          <w:sz w:val="32"/>
          <w:szCs w:val="32"/>
        </w:rPr>
        <w:t>减少</w:t>
      </w:r>
      <w:r>
        <w:rPr>
          <w:rFonts w:ascii="仿宋" w:hAnsi="仿宋" w:eastAsia="仿宋" w:cs="DengXian-Regular"/>
          <w:sz w:val="32"/>
          <w:szCs w:val="32"/>
        </w:rPr>
        <w:t>444.29</w:t>
      </w:r>
      <w:r>
        <w:rPr>
          <w:rFonts w:hint="eastAsia" w:ascii="仿宋" w:hAnsi="仿宋" w:eastAsia="仿宋" w:cs="DengXian-Regular"/>
          <w:sz w:val="32"/>
          <w:szCs w:val="32"/>
        </w:rPr>
        <w:t>万</w:t>
      </w:r>
      <w:r>
        <w:rPr>
          <w:rFonts w:ascii="仿宋" w:hAnsi="仿宋" w:eastAsia="仿宋" w:cs="DengXian-Regular"/>
          <w:sz w:val="32"/>
          <w:szCs w:val="32"/>
        </w:rPr>
        <w:t>元，下</w:t>
      </w:r>
      <w:r>
        <w:rPr>
          <w:rFonts w:hint="eastAsia" w:ascii="仿宋" w:hAnsi="仿宋" w:eastAsia="仿宋" w:cs="DengXian-Regular"/>
          <w:sz w:val="32"/>
          <w:szCs w:val="32"/>
        </w:rPr>
        <w:t>降20</w:t>
      </w:r>
      <w:r>
        <w:rPr>
          <w:rFonts w:ascii="仿宋" w:hAnsi="仿宋" w:eastAsia="仿宋" w:cs="DengXian-Regular"/>
          <w:sz w:val="32"/>
          <w:szCs w:val="32"/>
        </w:rPr>
        <w:t>.23</w:t>
      </w:r>
      <w:r>
        <w:rPr>
          <w:rFonts w:hint="eastAsia" w:ascii="仿宋" w:hAnsi="仿宋" w:eastAsia="仿宋" w:cs="DengXian-Regular"/>
          <w:sz w:val="32"/>
          <w:szCs w:val="32"/>
        </w:rPr>
        <w:t>%，</w:t>
      </w:r>
      <w:r>
        <w:rPr>
          <w:rFonts w:ascii="仿宋" w:hAnsi="仿宋" w:eastAsia="仿宋" w:cs="DengXian-Regular"/>
          <w:sz w:val="32"/>
          <w:szCs w:val="32"/>
        </w:rPr>
        <w:t>下降原因主要为</w:t>
      </w:r>
      <w:r>
        <w:rPr>
          <w:rFonts w:hint="eastAsia" w:ascii="仿宋" w:hAnsi="仿宋" w:eastAsia="仿宋" w:cs="DengXian-Regular"/>
          <w:sz w:val="32"/>
          <w:szCs w:val="32"/>
        </w:rPr>
        <w:t>专</w:t>
      </w:r>
      <w:r>
        <w:rPr>
          <w:rFonts w:ascii="仿宋" w:hAnsi="仿宋" w:eastAsia="仿宋" w:cs="DengXian-Regular"/>
          <w:sz w:val="32"/>
          <w:szCs w:val="32"/>
        </w:rPr>
        <w:t>项业务收入减少</w:t>
      </w:r>
      <w:r>
        <w:rPr>
          <w:rFonts w:hint="eastAsia" w:ascii="仿宋" w:hAnsi="仿宋" w:eastAsia="仿宋" w:cs="DengXian-Regular"/>
          <w:sz w:val="32"/>
          <w:szCs w:val="32"/>
        </w:rPr>
        <w:t>325.64万</w:t>
      </w:r>
      <w:r>
        <w:rPr>
          <w:rFonts w:ascii="仿宋" w:hAnsi="仿宋" w:eastAsia="仿宋" w:cs="DengXian-Regular"/>
          <w:sz w:val="32"/>
          <w:szCs w:val="32"/>
        </w:rPr>
        <w:t>元，群众团体事务</w:t>
      </w:r>
      <w:r>
        <w:rPr>
          <w:rFonts w:hint="eastAsia" w:ascii="仿宋" w:hAnsi="仿宋" w:eastAsia="仿宋" w:cs="DengXian-Regular"/>
          <w:sz w:val="32"/>
          <w:szCs w:val="32"/>
        </w:rPr>
        <w:t>收</w:t>
      </w:r>
      <w:r>
        <w:rPr>
          <w:rFonts w:ascii="仿宋" w:hAnsi="仿宋" w:eastAsia="仿宋" w:cs="DengXian-Regular"/>
          <w:sz w:val="32"/>
          <w:szCs w:val="32"/>
        </w:rPr>
        <w:t>入减少</w:t>
      </w:r>
      <w:r>
        <w:rPr>
          <w:rFonts w:hint="eastAsia" w:ascii="仿宋" w:hAnsi="仿宋" w:eastAsia="仿宋" w:cs="DengXian-Regular"/>
          <w:sz w:val="32"/>
          <w:szCs w:val="32"/>
        </w:rPr>
        <w:t>61.21万</w:t>
      </w:r>
      <w:r>
        <w:rPr>
          <w:rFonts w:ascii="仿宋" w:hAnsi="仿宋" w:eastAsia="仿宋" w:cs="DengXian-Regular"/>
          <w:sz w:val="32"/>
          <w:szCs w:val="32"/>
        </w:rPr>
        <w:t>元，</w:t>
      </w:r>
      <w:r>
        <w:rPr>
          <w:rFonts w:hint="eastAsia" w:ascii="仿宋" w:hAnsi="仿宋" w:eastAsia="仿宋" w:cs="DengXian-Regular"/>
          <w:sz w:val="32"/>
          <w:szCs w:val="32"/>
        </w:rPr>
        <w:t>信访</w:t>
      </w:r>
      <w:r>
        <w:rPr>
          <w:rFonts w:ascii="仿宋" w:hAnsi="仿宋" w:eastAsia="仿宋" w:cs="DengXian-Regular"/>
          <w:sz w:val="32"/>
          <w:szCs w:val="32"/>
        </w:rPr>
        <w:t>事务</w:t>
      </w:r>
      <w:r>
        <w:rPr>
          <w:rFonts w:hint="eastAsia" w:ascii="仿宋" w:hAnsi="仿宋" w:eastAsia="仿宋" w:cs="DengXian-Regular"/>
          <w:sz w:val="32"/>
          <w:szCs w:val="32"/>
        </w:rPr>
        <w:t>收</w:t>
      </w:r>
      <w:r>
        <w:rPr>
          <w:rFonts w:ascii="仿宋" w:hAnsi="仿宋" w:eastAsia="仿宋" w:cs="DengXian-Regular"/>
          <w:sz w:val="32"/>
          <w:szCs w:val="32"/>
        </w:rPr>
        <w:t>入减少</w:t>
      </w:r>
      <w:r>
        <w:rPr>
          <w:rFonts w:hint="eastAsia" w:ascii="仿宋" w:hAnsi="仿宋" w:eastAsia="仿宋" w:cs="DengXian-Regular"/>
          <w:sz w:val="32"/>
          <w:szCs w:val="32"/>
        </w:rPr>
        <w:t>18</w:t>
      </w:r>
      <w:r>
        <w:rPr>
          <w:rFonts w:ascii="仿宋" w:hAnsi="仿宋" w:eastAsia="仿宋" w:cs="DengXian-Regular"/>
          <w:sz w:val="32"/>
          <w:szCs w:val="32"/>
        </w:rPr>
        <w:t>.</w:t>
      </w:r>
      <w:r>
        <w:rPr>
          <w:rFonts w:hint="eastAsia" w:ascii="仿宋" w:hAnsi="仿宋" w:eastAsia="仿宋" w:cs="DengXian-Regular"/>
          <w:sz w:val="32"/>
          <w:szCs w:val="32"/>
        </w:rPr>
        <w:t>36万</w:t>
      </w:r>
      <w:r>
        <w:rPr>
          <w:rFonts w:ascii="仿宋" w:hAnsi="仿宋" w:eastAsia="仿宋" w:cs="DengXian-Regular"/>
          <w:sz w:val="32"/>
          <w:szCs w:val="32"/>
        </w:rPr>
        <w:t>元</w:t>
      </w:r>
      <w:r>
        <w:rPr>
          <w:rFonts w:hint="eastAsia" w:ascii="仿宋" w:hAnsi="仿宋" w:eastAsia="仿宋" w:cs="DengXian-Regular"/>
          <w:sz w:val="32"/>
          <w:szCs w:val="32"/>
        </w:rPr>
        <w:t>；</w:t>
      </w:r>
      <w:r>
        <w:rPr>
          <w:rFonts w:ascii="仿宋" w:hAnsi="仿宋" w:eastAsia="仿宋" w:cs="DengXian-Regular"/>
          <w:sz w:val="32"/>
          <w:szCs w:val="32"/>
        </w:rPr>
        <w:t>支出总计</w:t>
      </w:r>
      <w:r>
        <w:rPr>
          <w:rFonts w:hint="eastAsia" w:ascii="仿宋" w:hAnsi="仿宋" w:eastAsia="仿宋" w:cs="DengXian-Regular"/>
          <w:sz w:val="32"/>
          <w:szCs w:val="32"/>
        </w:rPr>
        <w:t>减少</w:t>
      </w:r>
      <w:r>
        <w:rPr>
          <w:rFonts w:ascii="仿宋" w:hAnsi="仿宋" w:eastAsia="仿宋" w:cs="DengXian-Regular"/>
          <w:sz w:val="32"/>
          <w:szCs w:val="32"/>
        </w:rPr>
        <w:t>375.81</w:t>
      </w:r>
      <w:r>
        <w:rPr>
          <w:rFonts w:hint="eastAsia" w:ascii="仿宋" w:hAnsi="仿宋" w:eastAsia="仿宋" w:cs="DengXian-Regular"/>
          <w:sz w:val="32"/>
          <w:szCs w:val="32"/>
        </w:rPr>
        <w:t>万</w:t>
      </w:r>
      <w:r>
        <w:rPr>
          <w:rFonts w:ascii="仿宋" w:hAnsi="仿宋" w:eastAsia="仿宋" w:cs="DengXian-Regular"/>
          <w:sz w:val="32"/>
          <w:szCs w:val="32"/>
        </w:rPr>
        <w:t>元，下降17.29</w:t>
      </w:r>
      <w:r>
        <w:rPr>
          <w:rFonts w:hint="eastAsia" w:ascii="仿宋" w:hAnsi="仿宋" w:eastAsia="仿宋" w:cs="DengXian-Regular"/>
          <w:sz w:val="32"/>
          <w:szCs w:val="32"/>
        </w:rPr>
        <w:t>%。下降</w:t>
      </w:r>
      <w:r>
        <w:rPr>
          <w:rFonts w:ascii="仿宋" w:hAnsi="仿宋" w:eastAsia="仿宋" w:cs="DengXian-Regular"/>
          <w:sz w:val="32"/>
          <w:szCs w:val="32"/>
        </w:rPr>
        <w:t>原因主要是专项业务支出减少</w:t>
      </w:r>
      <w:r>
        <w:rPr>
          <w:rFonts w:hint="eastAsia" w:ascii="仿宋" w:hAnsi="仿宋" w:eastAsia="仿宋" w:cs="DengXian-Regular"/>
          <w:sz w:val="32"/>
          <w:szCs w:val="32"/>
        </w:rPr>
        <w:t>323.43万</w:t>
      </w:r>
      <w:r>
        <w:rPr>
          <w:rFonts w:ascii="仿宋" w:hAnsi="仿宋" w:eastAsia="仿宋" w:cs="DengXian-Regular"/>
          <w:sz w:val="32"/>
          <w:szCs w:val="32"/>
        </w:rPr>
        <w:t>元，主要是创文明城</w:t>
      </w:r>
      <w:r>
        <w:rPr>
          <w:rFonts w:hint="eastAsia" w:ascii="仿宋" w:hAnsi="仿宋" w:eastAsia="仿宋" w:cs="DengXian-Regular"/>
          <w:sz w:val="32"/>
          <w:szCs w:val="32"/>
        </w:rPr>
        <w:t xml:space="preserve">市 </w:t>
      </w:r>
      <w:r>
        <w:rPr>
          <w:rFonts w:ascii="仿宋" w:hAnsi="仿宋" w:eastAsia="仿宋" w:cs="DengXian-Regular"/>
          <w:sz w:val="32"/>
          <w:szCs w:val="32"/>
        </w:rPr>
        <w:t>、创森林城市</w:t>
      </w:r>
      <w:r>
        <w:rPr>
          <w:rFonts w:hint="eastAsia" w:ascii="仿宋" w:hAnsi="仿宋" w:eastAsia="仿宋" w:cs="DengXian-Regular"/>
          <w:sz w:val="32"/>
          <w:szCs w:val="32"/>
        </w:rPr>
        <w:t>、</w:t>
      </w:r>
      <w:r>
        <w:rPr>
          <w:rFonts w:ascii="仿宋" w:hAnsi="仿宋" w:eastAsia="仿宋" w:cs="DengXian-Regular"/>
          <w:sz w:val="32"/>
          <w:szCs w:val="32"/>
        </w:rPr>
        <w:t>创卫生城市</w:t>
      </w:r>
      <w:r>
        <w:rPr>
          <w:rFonts w:hint="eastAsia" w:ascii="仿宋" w:hAnsi="仿宋" w:eastAsia="仿宋" w:cs="DengXian-Regular"/>
          <w:sz w:val="32"/>
          <w:szCs w:val="32"/>
        </w:rPr>
        <w:t>等</w:t>
      </w:r>
      <w:r>
        <w:rPr>
          <w:rFonts w:ascii="仿宋" w:hAnsi="仿宋" w:eastAsia="仿宋" w:cs="DengXian-Regular"/>
          <w:sz w:val="32"/>
          <w:szCs w:val="32"/>
        </w:rPr>
        <w:t>专项</w:t>
      </w:r>
      <w:r>
        <w:rPr>
          <w:rFonts w:hint="eastAsia" w:ascii="仿宋" w:hAnsi="仿宋" w:eastAsia="仿宋" w:cs="DengXian-Regular"/>
          <w:sz w:val="32"/>
          <w:szCs w:val="32"/>
        </w:rPr>
        <w:t>项目</w:t>
      </w:r>
      <w:r>
        <w:rPr>
          <w:rFonts w:ascii="仿宋" w:hAnsi="仿宋" w:eastAsia="仿宋" w:cs="DengXian-Regular"/>
          <w:sz w:val="32"/>
          <w:szCs w:val="32"/>
        </w:rPr>
        <w:t>经费减少</w:t>
      </w:r>
      <w:r>
        <w:rPr>
          <w:rFonts w:hint="eastAsia" w:ascii="仿宋" w:hAnsi="仿宋" w:eastAsia="仿宋" w:cs="DengXian-Regular"/>
          <w:sz w:val="32"/>
          <w:szCs w:val="32"/>
        </w:rPr>
        <w:t>，</w:t>
      </w:r>
      <w:r>
        <w:rPr>
          <w:rFonts w:ascii="仿宋" w:hAnsi="仿宋" w:eastAsia="仿宋" w:cs="DengXian-Regular"/>
          <w:sz w:val="32"/>
          <w:szCs w:val="32"/>
        </w:rPr>
        <w:t>行政运行</w:t>
      </w:r>
      <w:r>
        <w:rPr>
          <w:rFonts w:hint="eastAsia" w:ascii="仿宋" w:hAnsi="仿宋" w:eastAsia="仿宋" w:cs="DengXian-Regular"/>
          <w:sz w:val="32"/>
          <w:szCs w:val="32"/>
        </w:rPr>
        <w:t>经</w:t>
      </w:r>
      <w:r>
        <w:rPr>
          <w:rFonts w:ascii="仿宋" w:hAnsi="仿宋" w:eastAsia="仿宋" w:cs="DengXian-Regular"/>
          <w:sz w:val="32"/>
          <w:szCs w:val="32"/>
        </w:rPr>
        <w:t>费、信</w:t>
      </w:r>
      <w:r>
        <w:rPr>
          <w:rFonts w:hint="eastAsia" w:ascii="仿宋" w:hAnsi="仿宋" w:eastAsia="仿宋" w:cs="DengXian-Regular"/>
          <w:sz w:val="32"/>
          <w:szCs w:val="32"/>
        </w:rPr>
        <w:t>访</w:t>
      </w:r>
      <w:r>
        <w:rPr>
          <w:rFonts w:ascii="仿宋" w:hAnsi="仿宋" w:eastAsia="仿宋" w:cs="DengXian-Regular"/>
          <w:sz w:val="32"/>
          <w:szCs w:val="32"/>
        </w:rPr>
        <w:t>事务、一般行政管理事务等经费均比去年有减少。</w:t>
      </w:r>
      <w:r>
        <w:rPr>
          <w:rFonts w:hint="eastAsia" w:ascii="仿宋" w:hAnsi="仿宋" w:eastAsia="仿宋" w:cs="DengXian-Regular"/>
          <w:sz w:val="32"/>
          <w:szCs w:val="32"/>
        </w:rPr>
        <w:t xml:space="preserve"> </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工委</w:t>
      </w:r>
      <w:r>
        <w:rPr>
          <w:rFonts w:ascii="仿宋_GB2312" w:hAnsi="Times New Roman" w:eastAsia="仿宋_GB2312" w:cs="Wingdings"/>
          <w:sz w:val="32"/>
          <w:szCs w:val="32"/>
        </w:rPr>
        <w:t>办</w:t>
      </w:r>
      <w:r>
        <w:rPr>
          <w:rFonts w:hint="eastAsia" w:ascii="仿宋_GB2312" w:hAnsi="Times New Roman" w:eastAsia="仿宋_GB2312" w:cs="Wingdings"/>
          <w:color w:val="000000" w:themeColor="text1"/>
          <w:sz w:val="32"/>
          <w:szCs w:val="32"/>
          <w14:textFill>
            <w14:solidFill>
              <w14:schemeClr w14:val="tx1"/>
            </w14:solidFill>
          </w14:textFill>
        </w:rPr>
        <w:t>2020年度本年收入合计</w:t>
      </w:r>
      <w:r>
        <w:rPr>
          <w:rFonts w:ascii="仿宋_GB2312" w:hAnsi="Times New Roman" w:eastAsia="仿宋_GB2312" w:cs="Wingdings"/>
          <w:color w:val="000000" w:themeColor="text1"/>
          <w:sz w:val="32"/>
          <w:szCs w:val="32"/>
          <w14:textFill>
            <w14:solidFill>
              <w14:schemeClr w14:val="tx1"/>
            </w14:solidFill>
          </w14:textFill>
        </w:rPr>
        <w:t>2196.65</w:t>
      </w:r>
      <w:r>
        <w:rPr>
          <w:rFonts w:hint="eastAsia" w:ascii="仿宋_GB2312" w:hAnsi="Times New Roman" w:eastAsia="仿宋_GB2312" w:cs="Wingdings"/>
          <w:color w:val="000000" w:themeColor="text1"/>
          <w:sz w:val="32"/>
          <w:szCs w:val="32"/>
          <w14:textFill>
            <w14:solidFill>
              <w14:schemeClr w14:val="tx1"/>
            </w14:solidFill>
          </w14:textFill>
        </w:rPr>
        <w:t>万元，其中：财政拨款收入</w:t>
      </w:r>
      <w:r>
        <w:rPr>
          <w:rFonts w:ascii="仿宋_GB2312" w:hAnsi="Times New Roman" w:eastAsia="仿宋_GB2312" w:cs="Wingdings"/>
          <w:color w:val="000000" w:themeColor="text1"/>
          <w:sz w:val="32"/>
          <w:szCs w:val="32"/>
          <w14:textFill>
            <w14:solidFill>
              <w14:schemeClr w14:val="tx1"/>
            </w14:solidFill>
          </w14:textFill>
        </w:rPr>
        <w:t>2169.65</w:t>
      </w:r>
      <w:r>
        <w:rPr>
          <w:rFonts w:hint="eastAsia" w:ascii="仿宋_GB2312" w:hAnsi="Times New Roman" w:eastAsia="仿宋_GB2312" w:cs="Wingdings"/>
          <w:color w:val="000000" w:themeColor="text1"/>
          <w:sz w:val="32"/>
          <w:szCs w:val="32"/>
          <w14:textFill>
            <w14:solidFill>
              <w14:schemeClr w14:val="tx1"/>
            </w14:solidFill>
          </w14:textFill>
        </w:rPr>
        <w:t>万元，占</w:t>
      </w:r>
      <w:r>
        <w:rPr>
          <w:rFonts w:ascii="仿宋_GB2312" w:hAnsi="Times New Roman" w:eastAsia="仿宋_GB2312" w:cs="Wingdings"/>
          <w:color w:val="000000" w:themeColor="text1"/>
          <w:sz w:val="32"/>
          <w:szCs w:val="32"/>
          <w14:textFill>
            <w14:solidFill>
              <w14:schemeClr w14:val="tx1"/>
            </w14:solidFill>
          </w14:textFill>
        </w:rPr>
        <w:t>98.79</w:t>
      </w:r>
      <w:r>
        <w:rPr>
          <w:rFonts w:hint="eastAsia" w:ascii="仿宋_GB2312" w:hAnsi="Times New Roman" w:eastAsia="仿宋_GB2312" w:cs="Wingdings"/>
          <w:color w:val="000000" w:themeColor="text1"/>
          <w:sz w:val="32"/>
          <w:szCs w:val="32"/>
          <w14:textFill>
            <w14:solidFill>
              <w14:schemeClr w14:val="tx1"/>
            </w14:solidFill>
          </w14:textFill>
        </w:rPr>
        <w:t>%；政府性</w:t>
      </w:r>
      <w:r>
        <w:rPr>
          <w:rFonts w:ascii="仿宋_GB2312" w:hAnsi="Times New Roman" w:eastAsia="仿宋_GB2312" w:cs="Wingdings"/>
          <w:color w:val="000000" w:themeColor="text1"/>
          <w:sz w:val="32"/>
          <w:szCs w:val="32"/>
          <w14:textFill>
            <w14:solidFill>
              <w14:schemeClr w14:val="tx1"/>
            </w14:solidFill>
          </w14:textFill>
        </w:rPr>
        <w:t>基金预算</w:t>
      </w:r>
      <w:r>
        <w:rPr>
          <w:rFonts w:hint="eastAsia" w:ascii="仿宋_GB2312" w:hAnsi="Times New Roman" w:eastAsia="仿宋_GB2312" w:cs="Wingdings"/>
          <w:color w:val="000000" w:themeColor="text1"/>
          <w:sz w:val="32"/>
          <w:szCs w:val="32"/>
          <w14:textFill>
            <w14:solidFill>
              <w14:schemeClr w14:val="tx1"/>
            </w14:solidFill>
          </w14:textFill>
        </w:rPr>
        <w:t>财政</w:t>
      </w:r>
      <w:r>
        <w:rPr>
          <w:rFonts w:ascii="仿宋_GB2312" w:hAnsi="Times New Roman" w:eastAsia="仿宋_GB2312" w:cs="Wingdings"/>
          <w:color w:val="000000" w:themeColor="text1"/>
          <w:sz w:val="32"/>
          <w:szCs w:val="32"/>
          <w14:textFill>
            <w14:solidFill>
              <w14:schemeClr w14:val="tx1"/>
            </w14:solidFill>
          </w14:textFill>
        </w:rPr>
        <w:t>拨款收入</w:t>
      </w:r>
      <w:r>
        <w:rPr>
          <w:rFonts w:hint="eastAsia" w:ascii="仿宋_GB2312" w:hAnsi="Times New Roman" w:eastAsia="仿宋_GB2312" w:cs="Wingdings"/>
          <w:color w:val="000000" w:themeColor="text1"/>
          <w:sz w:val="32"/>
          <w:szCs w:val="32"/>
          <w14:textFill>
            <w14:solidFill>
              <w14:schemeClr w14:val="tx1"/>
            </w14:solidFill>
          </w14:textFill>
        </w:rPr>
        <w:t>24万元，占</w:t>
      </w:r>
      <w:r>
        <w:rPr>
          <w:rFonts w:ascii="仿宋_GB2312" w:hAnsi="Times New Roman" w:eastAsia="仿宋_GB2312" w:cs="Wingdings"/>
          <w:color w:val="000000" w:themeColor="text1"/>
          <w:sz w:val="32"/>
          <w:szCs w:val="32"/>
          <w14:textFill>
            <w14:solidFill>
              <w14:schemeClr w14:val="tx1"/>
            </w14:solidFill>
          </w14:textFill>
        </w:rPr>
        <w:t>1.09</w:t>
      </w:r>
      <w:r>
        <w:rPr>
          <w:rFonts w:hint="eastAsia" w:ascii="仿宋_GB2312" w:hAnsi="Times New Roman" w:eastAsia="仿宋_GB2312" w:cs="Wingdings"/>
          <w:color w:val="000000" w:themeColor="text1"/>
          <w:sz w:val="32"/>
          <w:szCs w:val="32"/>
          <w14:textFill>
            <w14:solidFill>
              <w14:schemeClr w14:val="tx1"/>
            </w14:solidFill>
          </w14:textFill>
        </w:rPr>
        <w:t>%；其他</w:t>
      </w:r>
      <w:r>
        <w:rPr>
          <w:rFonts w:ascii="仿宋_GB2312" w:hAnsi="Times New Roman" w:eastAsia="仿宋_GB2312" w:cs="Wingdings"/>
          <w:color w:val="000000" w:themeColor="text1"/>
          <w:sz w:val="32"/>
          <w:szCs w:val="32"/>
          <w14:textFill>
            <w14:solidFill>
              <w14:schemeClr w14:val="tx1"/>
            </w14:solidFill>
          </w14:textFill>
        </w:rPr>
        <w:t>收</w:t>
      </w:r>
      <w:r>
        <w:rPr>
          <w:rFonts w:hint="eastAsia" w:ascii="仿宋_GB2312" w:hAnsi="Times New Roman" w:eastAsia="仿宋_GB2312" w:cs="Wingdings"/>
          <w:color w:val="000000" w:themeColor="text1"/>
          <w:sz w:val="32"/>
          <w:szCs w:val="32"/>
          <w14:textFill>
            <w14:solidFill>
              <w14:schemeClr w14:val="tx1"/>
            </w14:solidFill>
          </w14:textFill>
        </w:rPr>
        <w:t>入2.6万元，占</w:t>
      </w:r>
      <w:r>
        <w:rPr>
          <w:rFonts w:ascii="仿宋_GB2312" w:hAnsi="Times New Roman" w:eastAsia="仿宋_GB2312" w:cs="Wingdings"/>
          <w:color w:val="000000" w:themeColor="text1"/>
          <w:sz w:val="32"/>
          <w:szCs w:val="32"/>
          <w14:textFill>
            <w14:solidFill>
              <w14:schemeClr w14:val="tx1"/>
            </w14:solidFill>
          </w14:textFill>
        </w:rPr>
        <w:t>0.12</w:t>
      </w:r>
      <w:r>
        <w:rPr>
          <w:rFonts w:hint="eastAsia" w:ascii="仿宋_GB2312" w:hAnsi="Times New Roman" w:eastAsia="仿宋_GB2312" w:cs="Wingdings"/>
          <w:color w:val="000000" w:themeColor="text1"/>
          <w:sz w:val="32"/>
          <w:szCs w:val="32"/>
          <w14:textFill>
            <w14:solidFill>
              <w14:schemeClr w14:val="tx1"/>
            </w14:solidFill>
          </w14:textFill>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w:t>
      </w:r>
      <w:r>
        <w:rPr>
          <w:rFonts w:ascii="仿宋_GB2312" w:hAnsi="Times New Roman" w:eastAsia="仿宋_GB2312" w:cs="Wingdings"/>
          <w:sz w:val="32"/>
          <w:szCs w:val="32"/>
        </w:rPr>
        <w:t>2189.61</w:t>
      </w:r>
      <w:r>
        <w:rPr>
          <w:rFonts w:hint="eastAsia" w:ascii="仿宋_GB2312" w:hAnsi="Times New Roman" w:eastAsia="仿宋_GB2312" w:cs="Wingdings"/>
          <w:sz w:val="32"/>
          <w:szCs w:val="32"/>
        </w:rPr>
        <w:t>万元，其中：基本支出</w:t>
      </w:r>
      <w:r>
        <w:rPr>
          <w:rFonts w:ascii="仿宋_GB2312" w:hAnsi="Times New Roman" w:eastAsia="仿宋_GB2312" w:cs="Wingdings"/>
          <w:sz w:val="32"/>
          <w:szCs w:val="32"/>
        </w:rPr>
        <w:t>1244.98</w:t>
      </w:r>
      <w:r>
        <w:rPr>
          <w:rFonts w:hint="eastAsia" w:ascii="仿宋_GB2312" w:hAnsi="Times New Roman" w:eastAsia="仿宋_GB2312" w:cs="Wingdings"/>
          <w:sz w:val="32"/>
          <w:szCs w:val="32"/>
        </w:rPr>
        <w:t>万元，占</w:t>
      </w:r>
      <w:r>
        <w:rPr>
          <w:rFonts w:ascii="仿宋_GB2312" w:hAnsi="Times New Roman" w:eastAsia="仿宋_GB2312" w:cs="Wingdings"/>
          <w:sz w:val="32"/>
          <w:szCs w:val="32"/>
        </w:rPr>
        <w:t>56.86</w:t>
      </w:r>
      <w:r>
        <w:rPr>
          <w:rFonts w:hint="eastAsia" w:ascii="仿宋_GB2312" w:hAnsi="Times New Roman" w:eastAsia="仿宋_GB2312" w:cs="Wingdings"/>
          <w:sz w:val="32"/>
          <w:szCs w:val="32"/>
        </w:rPr>
        <w:t>%；项目支出</w:t>
      </w:r>
      <w:r>
        <w:rPr>
          <w:rFonts w:ascii="仿宋_GB2312" w:hAnsi="Times New Roman" w:eastAsia="仿宋_GB2312" w:cs="Wingdings"/>
          <w:sz w:val="32"/>
          <w:szCs w:val="32"/>
        </w:rPr>
        <w:t>944.63</w:t>
      </w:r>
      <w:r>
        <w:rPr>
          <w:rFonts w:hint="eastAsia" w:ascii="仿宋_GB2312" w:hAnsi="Times New Roman" w:eastAsia="仿宋_GB2312" w:cs="Wingdings"/>
          <w:sz w:val="32"/>
          <w:szCs w:val="32"/>
        </w:rPr>
        <w:t>万元，占</w:t>
      </w:r>
      <w:r>
        <w:rPr>
          <w:rFonts w:ascii="仿宋_GB2312" w:hAnsi="Times New Roman" w:eastAsia="仿宋_GB2312" w:cs="Wingdings"/>
          <w:sz w:val="32"/>
          <w:szCs w:val="32"/>
        </w:rPr>
        <w:t>43.14</w:t>
      </w:r>
      <w:r>
        <w:rPr>
          <w:rFonts w:hint="eastAsia" w:ascii="仿宋_GB2312" w:hAnsi="Times New Roman" w:eastAsia="仿宋_GB2312" w:cs="Wingdings"/>
          <w:sz w:val="32"/>
          <w:szCs w:val="32"/>
        </w:rPr>
        <w:t>%。</w:t>
      </w:r>
      <w:r>
        <w:rPr>
          <w:rFonts w:ascii="仿宋_GB2312" w:hAnsi="Times New Roman" w:eastAsia="仿宋_GB2312" w:cs="Wingdings"/>
          <w:sz w:val="32"/>
          <w:szCs w:val="32"/>
        </w:rPr>
        <w:t xml:space="preserve"> </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本部门2020年度收入</w:t>
      </w:r>
      <w:r>
        <w:rPr>
          <w:rFonts w:ascii="仿宋_GB2312" w:hAnsi="Times New Roman" w:eastAsia="仿宋_GB2312" w:cs="Wingdings"/>
          <w:sz w:val="32"/>
          <w:szCs w:val="32"/>
        </w:rPr>
        <w:t>2196.65</w:t>
      </w:r>
      <w:r>
        <w:rPr>
          <w:rFonts w:hint="eastAsia" w:ascii="仿宋_GB2312" w:hAnsi="Times New Roman" w:eastAsia="仿宋_GB2312" w:cs="Wingdings"/>
          <w:sz w:val="32"/>
          <w:szCs w:val="32"/>
        </w:rPr>
        <w:t>万元,比2019年度减少</w:t>
      </w:r>
      <w:r>
        <w:rPr>
          <w:rFonts w:ascii="仿宋_GB2312" w:hAnsi="Times New Roman" w:eastAsia="仿宋_GB2312" w:cs="Wingdings"/>
          <w:sz w:val="32"/>
          <w:szCs w:val="32"/>
        </w:rPr>
        <w:t>444.29</w:t>
      </w:r>
      <w:r>
        <w:rPr>
          <w:rFonts w:hint="eastAsia" w:ascii="仿宋_GB2312" w:hAnsi="Times New Roman" w:eastAsia="仿宋_GB2312" w:cs="Wingdings"/>
          <w:sz w:val="32"/>
          <w:szCs w:val="32"/>
        </w:rPr>
        <w:t>万元，降低20.23%，主</w:t>
      </w:r>
      <w:r>
        <w:rPr>
          <w:rFonts w:ascii="仿宋_GB2312" w:hAnsi="Times New Roman" w:eastAsia="仿宋_GB2312" w:cs="Wingdings"/>
          <w:sz w:val="32"/>
          <w:szCs w:val="32"/>
        </w:rPr>
        <w:t>要是</w:t>
      </w:r>
      <w:r>
        <w:rPr>
          <w:rFonts w:hint="eastAsia" w:ascii="仿宋" w:hAnsi="仿宋" w:eastAsia="仿宋" w:cs="DengXian-Regular"/>
          <w:sz w:val="32"/>
          <w:szCs w:val="32"/>
        </w:rPr>
        <w:t>专</w:t>
      </w:r>
      <w:r>
        <w:rPr>
          <w:rFonts w:ascii="仿宋" w:hAnsi="仿宋" w:eastAsia="仿宋" w:cs="DengXian-Regular"/>
          <w:sz w:val="32"/>
          <w:szCs w:val="32"/>
        </w:rPr>
        <w:t>项业务收入减少</w:t>
      </w:r>
      <w:r>
        <w:rPr>
          <w:rFonts w:hint="eastAsia" w:ascii="仿宋" w:hAnsi="仿宋" w:eastAsia="仿宋" w:cs="DengXian-Regular"/>
          <w:sz w:val="32"/>
          <w:szCs w:val="32"/>
        </w:rPr>
        <w:t>325.64万</w:t>
      </w:r>
      <w:r>
        <w:rPr>
          <w:rFonts w:ascii="仿宋" w:hAnsi="仿宋" w:eastAsia="仿宋" w:cs="DengXian-Regular"/>
          <w:sz w:val="32"/>
          <w:szCs w:val="32"/>
        </w:rPr>
        <w:t>元，群众团体事务</w:t>
      </w:r>
      <w:r>
        <w:rPr>
          <w:rFonts w:hint="eastAsia" w:ascii="仿宋" w:hAnsi="仿宋" w:eastAsia="仿宋" w:cs="DengXian-Regular"/>
          <w:sz w:val="32"/>
          <w:szCs w:val="32"/>
        </w:rPr>
        <w:t>收</w:t>
      </w:r>
      <w:r>
        <w:rPr>
          <w:rFonts w:ascii="仿宋" w:hAnsi="仿宋" w:eastAsia="仿宋" w:cs="DengXian-Regular"/>
          <w:sz w:val="32"/>
          <w:szCs w:val="32"/>
        </w:rPr>
        <w:t>入减少</w:t>
      </w:r>
      <w:r>
        <w:rPr>
          <w:rFonts w:hint="eastAsia" w:ascii="仿宋" w:hAnsi="仿宋" w:eastAsia="仿宋" w:cs="DengXian-Regular"/>
          <w:sz w:val="32"/>
          <w:szCs w:val="32"/>
        </w:rPr>
        <w:t>61.21万</w:t>
      </w:r>
      <w:r>
        <w:rPr>
          <w:rFonts w:ascii="仿宋" w:hAnsi="仿宋" w:eastAsia="仿宋" w:cs="DengXian-Regular"/>
          <w:sz w:val="32"/>
          <w:szCs w:val="32"/>
        </w:rPr>
        <w:t>元，</w:t>
      </w:r>
      <w:r>
        <w:rPr>
          <w:rFonts w:hint="eastAsia" w:ascii="仿宋" w:hAnsi="仿宋" w:eastAsia="仿宋" w:cs="DengXian-Regular"/>
          <w:sz w:val="32"/>
          <w:szCs w:val="32"/>
        </w:rPr>
        <w:t>信访</w:t>
      </w:r>
      <w:r>
        <w:rPr>
          <w:rFonts w:ascii="仿宋" w:hAnsi="仿宋" w:eastAsia="仿宋" w:cs="DengXian-Regular"/>
          <w:sz w:val="32"/>
          <w:szCs w:val="32"/>
        </w:rPr>
        <w:t>事务</w:t>
      </w:r>
      <w:r>
        <w:rPr>
          <w:rFonts w:hint="eastAsia" w:ascii="仿宋" w:hAnsi="仿宋" w:eastAsia="仿宋" w:cs="DengXian-Regular"/>
          <w:sz w:val="32"/>
          <w:szCs w:val="32"/>
        </w:rPr>
        <w:t>收</w:t>
      </w:r>
      <w:r>
        <w:rPr>
          <w:rFonts w:ascii="仿宋" w:hAnsi="仿宋" w:eastAsia="仿宋" w:cs="DengXian-Regular"/>
          <w:sz w:val="32"/>
          <w:szCs w:val="32"/>
        </w:rPr>
        <w:t>入减少</w:t>
      </w:r>
      <w:r>
        <w:rPr>
          <w:rFonts w:hint="eastAsia" w:ascii="仿宋" w:hAnsi="仿宋" w:eastAsia="仿宋" w:cs="DengXian-Regular"/>
          <w:sz w:val="32"/>
          <w:szCs w:val="32"/>
        </w:rPr>
        <w:t>18</w:t>
      </w:r>
      <w:r>
        <w:rPr>
          <w:rFonts w:ascii="仿宋" w:hAnsi="仿宋" w:eastAsia="仿宋" w:cs="DengXian-Regular"/>
          <w:sz w:val="32"/>
          <w:szCs w:val="32"/>
        </w:rPr>
        <w:t>.</w:t>
      </w:r>
      <w:r>
        <w:rPr>
          <w:rFonts w:hint="eastAsia" w:ascii="仿宋" w:hAnsi="仿宋" w:eastAsia="仿宋" w:cs="DengXian-Regular"/>
          <w:sz w:val="32"/>
          <w:szCs w:val="32"/>
        </w:rPr>
        <w:t>36万</w:t>
      </w:r>
      <w:r>
        <w:rPr>
          <w:rFonts w:ascii="仿宋" w:hAnsi="仿宋" w:eastAsia="仿宋" w:cs="DengXian-Regular"/>
          <w:sz w:val="32"/>
          <w:szCs w:val="32"/>
        </w:rPr>
        <w:t>元</w:t>
      </w:r>
      <w:r>
        <w:rPr>
          <w:rFonts w:hint="eastAsia" w:ascii="仿宋_GB2312" w:hAnsi="Times New Roman" w:eastAsia="仿宋_GB2312" w:cs="Wingdings"/>
          <w:sz w:val="32"/>
          <w:szCs w:val="32"/>
        </w:rPr>
        <w:t>；本年支出</w:t>
      </w:r>
      <w:r>
        <w:rPr>
          <w:rFonts w:ascii="仿宋_GB2312" w:hAnsi="Times New Roman" w:eastAsia="仿宋_GB2312" w:cs="Wingdings"/>
          <w:sz w:val="32"/>
          <w:szCs w:val="32"/>
        </w:rPr>
        <w:t>2565.42</w:t>
      </w:r>
      <w:r>
        <w:rPr>
          <w:rFonts w:hint="eastAsia" w:ascii="仿宋_GB2312" w:hAnsi="Times New Roman" w:eastAsia="仿宋_GB2312" w:cs="Wingdings"/>
          <w:sz w:val="32"/>
          <w:szCs w:val="32"/>
        </w:rPr>
        <w:t>万元，</w:t>
      </w:r>
      <w:r>
        <w:rPr>
          <w:rFonts w:ascii="仿宋" w:hAnsi="仿宋" w:eastAsia="仿宋" w:cs="DengXian-Regular"/>
          <w:sz w:val="32"/>
          <w:szCs w:val="32"/>
        </w:rPr>
        <w:t>支出总计</w:t>
      </w:r>
      <w:r>
        <w:rPr>
          <w:rFonts w:hint="eastAsia" w:ascii="仿宋" w:hAnsi="仿宋" w:eastAsia="仿宋" w:cs="DengXian-Regular"/>
          <w:sz w:val="32"/>
          <w:szCs w:val="32"/>
        </w:rPr>
        <w:t>减少</w:t>
      </w:r>
      <w:r>
        <w:rPr>
          <w:rFonts w:ascii="仿宋" w:hAnsi="仿宋" w:eastAsia="仿宋" w:cs="DengXian-Regular"/>
          <w:sz w:val="32"/>
          <w:szCs w:val="32"/>
        </w:rPr>
        <w:t>375.81</w:t>
      </w:r>
      <w:r>
        <w:rPr>
          <w:rFonts w:hint="eastAsia" w:ascii="仿宋" w:hAnsi="仿宋" w:eastAsia="仿宋" w:cs="DengXian-Regular"/>
          <w:sz w:val="32"/>
          <w:szCs w:val="32"/>
        </w:rPr>
        <w:t>万</w:t>
      </w:r>
      <w:r>
        <w:rPr>
          <w:rFonts w:ascii="仿宋" w:hAnsi="仿宋" w:eastAsia="仿宋" w:cs="DengXian-Regular"/>
          <w:sz w:val="32"/>
          <w:szCs w:val="32"/>
        </w:rPr>
        <w:t>元，下降17.29</w:t>
      </w:r>
      <w:r>
        <w:rPr>
          <w:rFonts w:hint="eastAsia" w:ascii="仿宋" w:hAnsi="仿宋" w:eastAsia="仿宋" w:cs="DengXian-Regular"/>
          <w:sz w:val="32"/>
          <w:szCs w:val="32"/>
        </w:rPr>
        <w:t>%。下降</w:t>
      </w:r>
      <w:r>
        <w:rPr>
          <w:rFonts w:ascii="仿宋" w:hAnsi="仿宋" w:eastAsia="仿宋" w:cs="DengXian-Regular"/>
          <w:sz w:val="32"/>
          <w:szCs w:val="32"/>
        </w:rPr>
        <w:t>原因主要是专项业务支出减少</w:t>
      </w:r>
      <w:r>
        <w:rPr>
          <w:rFonts w:hint="eastAsia" w:ascii="仿宋" w:hAnsi="仿宋" w:eastAsia="仿宋" w:cs="DengXian-Regular"/>
          <w:sz w:val="32"/>
          <w:szCs w:val="32"/>
        </w:rPr>
        <w:t>323.43万</w:t>
      </w:r>
      <w:r>
        <w:rPr>
          <w:rFonts w:ascii="仿宋" w:hAnsi="仿宋" w:eastAsia="仿宋" w:cs="DengXian-Regular"/>
          <w:sz w:val="32"/>
          <w:szCs w:val="32"/>
        </w:rPr>
        <w:t>元，</w:t>
      </w:r>
      <w:r>
        <w:rPr>
          <w:rFonts w:hint="eastAsia" w:ascii="仿宋" w:hAnsi="仿宋" w:eastAsia="仿宋" w:cs="DengXian-Regular"/>
          <w:sz w:val="32"/>
          <w:szCs w:val="32"/>
        </w:rPr>
        <w:t>如</w:t>
      </w:r>
      <w:r>
        <w:rPr>
          <w:rFonts w:ascii="仿宋" w:hAnsi="仿宋" w:eastAsia="仿宋" w:cs="DengXian-Regular"/>
          <w:sz w:val="32"/>
          <w:szCs w:val="32"/>
        </w:rPr>
        <w:t>创文明城</w:t>
      </w:r>
      <w:r>
        <w:rPr>
          <w:rFonts w:hint="eastAsia" w:ascii="仿宋" w:hAnsi="仿宋" w:eastAsia="仿宋" w:cs="DengXian-Regular"/>
          <w:sz w:val="32"/>
          <w:szCs w:val="32"/>
        </w:rPr>
        <w:t xml:space="preserve">市 </w:t>
      </w:r>
      <w:r>
        <w:rPr>
          <w:rFonts w:ascii="仿宋" w:hAnsi="仿宋" w:eastAsia="仿宋" w:cs="DengXian-Regular"/>
          <w:sz w:val="32"/>
          <w:szCs w:val="32"/>
        </w:rPr>
        <w:t>、创森林城市</w:t>
      </w:r>
      <w:r>
        <w:rPr>
          <w:rFonts w:hint="eastAsia" w:ascii="仿宋" w:hAnsi="仿宋" w:eastAsia="仿宋" w:cs="DengXian-Regular"/>
          <w:sz w:val="32"/>
          <w:szCs w:val="32"/>
        </w:rPr>
        <w:t>、</w:t>
      </w:r>
      <w:r>
        <w:rPr>
          <w:rFonts w:ascii="仿宋" w:hAnsi="仿宋" w:eastAsia="仿宋" w:cs="DengXian-Regular"/>
          <w:sz w:val="32"/>
          <w:szCs w:val="32"/>
        </w:rPr>
        <w:t>创卫生城市</w:t>
      </w:r>
      <w:r>
        <w:rPr>
          <w:rFonts w:hint="eastAsia" w:ascii="仿宋" w:hAnsi="仿宋" w:eastAsia="仿宋" w:cs="DengXian-Regular"/>
          <w:sz w:val="32"/>
          <w:szCs w:val="32"/>
        </w:rPr>
        <w:t>等</w:t>
      </w:r>
      <w:r>
        <w:rPr>
          <w:rFonts w:ascii="仿宋" w:hAnsi="仿宋" w:eastAsia="仿宋" w:cs="DengXian-Regular"/>
          <w:sz w:val="32"/>
          <w:szCs w:val="32"/>
        </w:rPr>
        <w:t>专项</w:t>
      </w:r>
      <w:r>
        <w:rPr>
          <w:rFonts w:hint="eastAsia" w:ascii="仿宋" w:hAnsi="仿宋" w:eastAsia="仿宋" w:cs="DengXian-Regular"/>
          <w:sz w:val="32"/>
          <w:szCs w:val="32"/>
        </w:rPr>
        <w:t>项目</w:t>
      </w:r>
      <w:r>
        <w:rPr>
          <w:rFonts w:ascii="仿宋" w:hAnsi="仿宋" w:eastAsia="仿宋" w:cs="DengXian-Regular"/>
          <w:sz w:val="32"/>
          <w:szCs w:val="32"/>
        </w:rPr>
        <w:t>经费减少</w:t>
      </w:r>
      <w:r>
        <w:rPr>
          <w:rFonts w:hint="eastAsia" w:ascii="仿宋" w:hAnsi="仿宋" w:eastAsia="仿宋" w:cs="DengXian-Regular"/>
          <w:sz w:val="32"/>
          <w:szCs w:val="32"/>
        </w:rPr>
        <w:t>较</w:t>
      </w:r>
      <w:r>
        <w:rPr>
          <w:rFonts w:ascii="仿宋" w:hAnsi="仿宋" w:eastAsia="仿宋" w:cs="DengXian-Regular"/>
          <w:sz w:val="32"/>
          <w:szCs w:val="32"/>
        </w:rPr>
        <w:t>多</w:t>
      </w:r>
      <w:r>
        <w:rPr>
          <w:rFonts w:hint="eastAsia" w:ascii="仿宋" w:hAnsi="仿宋" w:eastAsia="仿宋" w:cs="DengXian-Regular"/>
          <w:sz w:val="32"/>
          <w:szCs w:val="32"/>
        </w:rPr>
        <w:t>，</w:t>
      </w:r>
      <w:r>
        <w:rPr>
          <w:rFonts w:ascii="仿宋" w:hAnsi="仿宋" w:eastAsia="仿宋" w:cs="DengXian-Regular"/>
          <w:sz w:val="32"/>
          <w:szCs w:val="32"/>
        </w:rPr>
        <w:t>行政运行</w:t>
      </w:r>
      <w:r>
        <w:rPr>
          <w:rFonts w:hint="eastAsia" w:ascii="仿宋" w:hAnsi="仿宋" w:eastAsia="仿宋" w:cs="DengXian-Regular"/>
          <w:sz w:val="32"/>
          <w:szCs w:val="32"/>
        </w:rPr>
        <w:t>经</w:t>
      </w:r>
      <w:r>
        <w:rPr>
          <w:rFonts w:ascii="仿宋" w:hAnsi="仿宋" w:eastAsia="仿宋" w:cs="DengXian-Regular"/>
          <w:sz w:val="32"/>
          <w:szCs w:val="32"/>
        </w:rPr>
        <w:t>费、信</w:t>
      </w:r>
      <w:r>
        <w:rPr>
          <w:rFonts w:hint="eastAsia" w:ascii="仿宋" w:hAnsi="仿宋" w:eastAsia="仿宋" w:cs="DengXian-Regular"/>
          <w:sz w:val="32"/>
          <w:szCs w:val="32"/>
        </w:rPr>
        <w:t>访</w:t>
      </w:r>
      <w:r>
        <w:rPr>
          <w:rFonts w:ascii="仿宋" w:hAnsi="仿宋" w:eastAsia="仿宋" w:cs="DengXian-Regular"/>
          <w:sz w:val="32"/>
          <w:szCs w:val="32"/>
        </w:rPr>
        <w:t>事务、一般行政管理事务等经费均比去年有减少。</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w:t>
      </w:r>
      <w:r>
        <w:rPr>
          <w:rFonts w:ascii="仿宋_GB2312" w:hAnsi="Times New Roman" w:eastAsia="仿宋_GB2312" w:cs="Wingdings"/>
          <w:sz w:val="32"/>
          <w:szCs w:val="32"/>
        </w:rPr>
        <w:t>2169.65</w:t>
      </w:r>
      <w:r>
        <w:rPr>
          <w:rFonts w:hint="eastAsia" w:ascii="仿宋_GB2312" w:hAnsi="Times New Roman" w:eastAsia="仿宋_GB2312" w:cs="Wingdings"/>
          <w:sz w:val="32"/>
          <w:szCs w:val="32"/>
        </w:rPr>
        <w:t>万元，比上年减少4</w:t>
      </w:r>
      <w:r>
        <w:rPr>
          <w:rFonts w:ascii="仿宋_GB2312" w:hAnsi="Times New Roman" w:eastAsia="仿宋_GB2312" w:cs="Wingdings"/>
          <w:sz w:val="32"/>
          <w:szCs w:val="32"/>
        </w:rPr>
        <w:t>23.94</w:t>
      </w:r>
      <w:r>
        <w:rPr>
          <w:rFonts w:hint="eastAsia" w:ascii="仿宋_GB2312" w:hAnsi="Times New Roman" w:eastAsia="仿宋_GB2312" w:cs="Wingdings"/>
          <w:sz w:val="32"/>
          <w:szCs w:val="32"/>
        </w:rPr>
        <w:t>万元；主要是</w:t>
      </w:r>
      <w:r>
        <w:rPr>
          <w:rFonts w:hint="eastAsia" w:ascii="仿宋" w:hAnsi="仿宋" w:eastAsia="仿宋" w:cs="DengXian-Regular"/>
          <w:sz w:val="32"/>
          <w:szCs w:val="32"/>
        </w:rPr>
        <w:t>专</w:t>
      </w:r>
      <w:r>
        <w:rPr>
          <w:rFonts w:ascii="仿宋" w:hAnsi="仿宋" w:eastAsia="仿宋" w:cs="DengXian-Regular"/>
          <w:sz w:val="32"/>
          <w:szCs w:val="32"/>
        </w:rPr>
        <w:t>项业务收入减少</w:t>
      </w:r>
      <w:r>
        <w:rPr>
          <w:rFonts w:hint="eastAsia" w:ascii="仿宋" w:hAnsi="仿宋" w:eastAsia="仿宋" w:cs="DengXian-Regular"/>
          <w:sz w:val="32"/>
          <w:szCs w:val="32"/>
        </w:rPr>
        <w:t>325.64万</w:t>
      </w:r>
      <w:r>
        <w:rPr>
          <w:rFonts w:ascii="仿宋" w:hAnsi="仿宋" w:eastAsia="仿宋" w:cs="DengXian-Regular"/>
          <w:sz w:val="32"/>
          <w:szCs w:val="32"/>
        </w:rPr>
        <w:t>元，群众团体事务</w:t>
      </w:r>
      <w:r>
        <w:rPr>
          <w:rFonts w:hint="eastAsia" w:ascii="仿宋" w:hAnsi="仿宋" w:eastAsia="仿宋" w:cs="DengXian-Regular"/>
          <w:sz w:val="32"/>
          <w:szCs w:val="32"/>
        </w:rPr>
        <w:t>收</w:t>
      </w:r>
      <w:r>
        <w:rPr>
          <w:rFonts w:ascii="仿宋" w:hAnsi="仿宋" w:eastAsia="仿宋" w:cs="DengXian-Regular"/>
          <w:sz w:val="32"/>
          <w:szCs w:val="32"/>
        </w:rPr>
        <w:t>入减少</w:t>
      </w:r>
      <w:r>
        <w:rPr>
          <w:rFonts w:hint="eastAsia" w:ascii="仿宋" w:hAnsi="仿宋" w:eastAsia="仿宋" w:cs="DengXian-Regular"/>
          <w:sz w:val="32"/>
          <w:szCs w:val="32"/>
        </w:rPr>
        <w:t>61.21万</w:t>
      </w:r>
      <w:r>
        <w:rPr>
          <w:rFonts w:ascii="仿宋" w:hAnsi="仿宋" w:eastAsia="仿宋" w:cs="DengXian-Regular"/>
          <w:sz w:val="32"/>
          <w:szCs w:val="32"/>
        </w:rPr>
        <w:t>元</w:t>
      </w:r>
      <w:r>
        <w:rPr>
          <w:rFonts w:hint="eastAsia" w:ascii="仿宋_GB2312" w:hAnsi="Times New Roman" w:eastAsia="仿宋_GB2312" w:cs="Wingdings"/>
          <w:sz w:val="32"/>
          <w:szCs w:val="32"/>
        </w:rPr>
        <w:t>；本年支出</w:t>
      </w:r>
      <w:r>
        <w:rPr>
          <w:rFonts w:ascii="仿宋_GB2312" w:hAnsi="Times New Roman" w:eastAsia="仿宋_GB2312" w:cs="Wingdings"/>
          <w:sz w:val="32"/>
          <w:szCs w:val="32"/>
        </w:rPr>
        <w:t>2187.01</w:t>
      </w:r>
      <w:r>
        <w:rPr>
          <w:rFonts w:hint="eastAsia" w:ascii="仿宋_GB2312" w:hAnsi="Times New Roman" w:eastAsia="仿宋_GB2312" w:cs="Wingdings"/>
          <w:sz w:val="32"/>
          <w:szCs w:val="32"/>
        </w:rPr>
        <w:t>万元，比上年减少</w:t>
      </w:r>
      <w:r>
        <w:rPr>
          <w:rFonts w:ascii="仿宋_GB2312" w:hAnsi="Times New Roman" w:eastAsia="仿宋_GB2312" w:cs="Wingdings"/>
          <w:sz w:val="32"/>
          <w:szCs w:val="32"/>
        </w:rPr>
        <w:t>351.81</w:t>
      </w:r>
      <w:r>
        <w:rPr>
          <w:rFonts w:hint="eastAsia" w:ascii="仿宋_GB2312" w:hAnsi="Times New Roman" w:eastAsia="仿宋_GB2312" w:cs="Wingdings"/>
          <w:sz w:val="32"/>
          <w:szCs w:val="32"/>
        </w:rPr>
        <w:t>万元，降低1</w:t>
      </w:r>
      <w:r>
        <w:rPr>
          <w:rFonts w:ascii="仿宋_GB2312" w:hAnsi="Times New Roman" w:eastAsia="仿宋_GB2312" w:cs="Wingdings"/>
          <w:sz w:val="32"/>
          <w:szCs w:val="32"/>
        </w:rPr>
        <w:t>6.09</w:t>
      </w:r>
      <w:r>
        <w:rPr>
          <w:rFonts w:hint="eastAsia" w:ascii="仿宋_GB2312" w:hAnsi="Times New Roman" w:eastAsia="仿宋_GB2312" w:cs="Wingdings"/>
          <w:sz w:val="32"/>
          <w:szCs w:val="32"/>
        </w:rPr>
        <w:t>%，主要是</w:t>
      </w:r>
      <w:r>
        <w:rPr>
          <w:rFonts w:ascii="仿宋" w:hAnsi="仿宋" w:eastAsia="仿宋" w:cs="DengXian-Regular"/>
          <w:sz w:val="32"/>
          <w:szCs w:val="32"/>
        </w:rPr>
        <w:t>创文明城</w:t>
      </w:r>
      <w:r>
        <w:rPr>
          <w:rFonts w:hint="eastAsia" w:ascii="仿宋" w:hAnsi="仿宋" w:eastAsia="仿宋" w:cs="DengXian-Regular"/>
          <w:sz w:val="32"/>
          <w:szCs w:val="32"/>
        </w:rPr>
        <w:t xml:space="preserve">市 </w:t>
      </w:r>
      <w:r>
        <w:rPr>
          <w:rFonts w:ascii="仿宋" w:hAnsi="仿宋" w:eastAsia="仿宋" w:cs="DengXian-Regular"/>
          <w:sz w:val="32"/>
          <w:szCs w:val="32"/>
        </w:rPr>
        <w:t>、创森林城市</w:t>
      </w:r>
      <w:r>
        <w:rPr>
          <w:rFonts w:hint="eastAsia" w:ascii="仿宋" w:hAnsi="仿宋" w:eastAsia="仿宋" w:cs="DengXian-Regular"/>
          <w:sz w:val="32"/>
          <w:szCs w:val="32"/>
        </w:rPr>
        <w:t>、</w:t>
      </w:r>
      <w:r>
        <w:rPr>
          <w:rFonts w:ascii="仿宋" w:hAnsi="仿宋" w:eastAsia="仿宋" w:cs="DengXian-Regular"/>
          <w:sz w:val="32"/>
          <w:szCs w:val="32"/>
        </w:rPr>
        <w:t>创卫生城市</w:t>
      </w:r>
      <w:r>
        <w:rPr>
          <w:rFonts w:hint="eastAsia" w:ascii="仿宋" w:hAnsi="仿宋" w:eastAsia="仿宋" w:cs="DengXian-Regular"/>
          <w:sz w:val="32"/>
          <w:szCs w:val="32"/>
        </w:rPr>
        <w:t>等</w:t>
      </w:r>
      <w:r>
        <w:rPr>
          <w:rFonts w:ascii="仿宋" w:hAnsi="仿宋" w:eastAsia="仿宋" w:cs="DengXian-Regular"/>
          <w:sz w:val="32"/>
          <w:szCs w:val="32"/>
        </w:rPr>
        <w:t>专项</w:t>
      </w:r>
      <w:r>
        <w:rPr>
          <w:rFonts w:hint="eastAsia" w:ascii="仿宋" w:hAnsi="仿宋" w:eastAsia="仿宋" w:cs="DengXian-Regular"/>
          <w:sz w:val="32"/>
          <w:szCs w:val="32"/>
        </w:rPr>
        <w:t>项目</w:t>
      </w:r>
      <w:r>
        <w:rPr>
          <w:rFonts w:ascii="仿宋" w:hAnsi="仿宋" w:eastAsia="仿宋" w:cs="DengXian-Regular"/>
          <w:sz w:val="32"/>
          <w:szCs w:val="32"/>
        </w:rPr>
        <w:t>经费</w:t>
      </w:r>
      <w:r>
        <w:rPr>
          <w:rFonts w:hint="eastAsia" w:ascii="仿宋" w:hAnsi="仿宋" w:eastAsia="仿宋" w:cs="DengXian-Regular"/>
          <w:sz w:val="32"/>
          <w:szCs w:val="32"/>
        </w:rPr>
        <w:t>支</w:t>
      </w:r>
      <w:r>
        <w:rPr>
          <w:rFonts w:ascii="仿宋" w:hAnsi="仿宋" w:eastAsia="仿宋" w:cs="DengXian-Regular"/>
          <w:sz w:val="32"/>
          <w:szCs w:val="32"/>
        </w:rPr>
        <w:t>出减少</w:t>
      </w:r>
      <w:r>
        <w:rPr>
          <w:rFonts w:hint="eastAsia" w:ascii="仿宋" w:hAnsi="仿宋" w:eastAsia="仿宋" w:cs="DengXian-Regular"/>
          <w:sz w:val="32"/>
          <w:szCs w:val="32"/>
        </w:rPr>
        <w:t>。</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w:t>
      </w:r>
      <w:r>
        <w:rPr>
          <w:rFonts w:ascii="仿宋_GB2312" w:hAnsi="Times New Roman" w:eastAsia="仿宋_GB2312" w:cs="Wingdings"/>
          <w:sz w:val="32"/>
          <w:szCs w:val="32"/>
        </w:rPr>
        <w:t>24</w:t>
      </w:r>
      <w:r>
        <w:rPr>
          <w:rFonts w:hint="eastAsia" w:ascii="仿宋_GB2312" w:hAnsi="Times New Roman" w:eastAsia="仿宋_GB2312" w:cs="Wingdings"/>
          <w:sz w:val="32"/>
          <w:szCs w:val="32"/>
        </w:rPr>
        <w:t>万元，比上年增加2</w:t>
      </w:r>
      <w:r>
        <w:rPr>
          <w:rFonts w:ascii="仿宋_GB2312" w:hAnsi="Times New Roman" w:eastAsia="仿宋_GB2312" w:cs="Wingdings"/>
          <w:sz w:val="32"/>
          <w:szCs w:val="32"/>
        </w:rPr>
        <w:t>4</w:t>
      </w:r>
      <w:r>
        <w:rPr>
          <w:rFonts w:hint="eastAsia" w:ascii="仿宋_GB2312" w:hAnsi="Times New Roman" w:eastAsia="仿宋_GB2312" w:cs="Wingdings"/>
          <w:sz w:val="32"/>
          <w:szCs w:val="32"/>
        </w:rPr>
        <w:t>万元，增长1</w:t>
      </w:r>
      <w:r>
        <w:rPr>
          <w:rFonts w:ascii="仿宋_GB2312" w:hAnsi="Times New Roman" w:eastAsia="仿宋_GB2312" w:cs="Wingdings"/>
          <w:sz w:val="32"/>
          <w:szCs w:val="32"/>
        </w:rPr>
        <w:t>00</w:t>
      </w:r>
      <w:r>
        <w:rPr>
          <w:rFonts w:hint="eastAsia" w:ascii="仿宋_GB2312" w:hAnsi="Times New Roman" w:eastAsia="仿宋_GB2312" w:cs="Wingdings"/>
          <w:sz w:val="32"/>
          <w:szCs w:val="32"/>
        </w:rPr>
        <w:t>%，主要原因是增加</w:t>
      </w:r>
      <w:r>
        <w:rPr>
          <w:rFonts w:ascii="仿宋_GB2312" w:hAnsi="Times New Roman" w:eastAsia="仿宋_GB2312" w:cs="Wingdings"/>
          <w:sz w:val="32"/>
          <w:szCs w:val="32"/>
        </w:rPr>
        <w:t>国家</w:t>
      </w:r>
      <w:r>
        <w:rPr>
          <w:rFonts w:hint="eastAsia" w:ascii="仿宋_GB2312" w:hAnsi="Times New Roman" w:eastAsia="仿宋_GB2312" w:cs="Wingdings"/>
          <w:sz w:val="32"/>
          <w:szCs w:val="32"/>
        </w:rPr>
        <w:t>电影</w:t>
      </w:r>
      <w:r>
        <w:rPr>
          <w:rFonts w:ascii="仿宋_GB2312" w:hAnsi="Times New Roman" w:eastAsia="仿宋_GB2312" w:cs="Wingdings"/>
          <w:sz w:val="32"/>
          <w:szCs w:val="32"/>
        </w:rPr>
        <w:t>事业</w:t>
      </w:r>
      <w:r>
        <w:rPr>
          <w:rFonts w:hint="eastAsia" w:ascii="仿宋_GB2312" w:hAnsi="Times New Roman" w:eastAsia="仿宋_GB2312" w:cs="Wingdings"/>
          <w:sz w:val="32"/>
          <w:szCs w:val="32"/>
        </w:rPr>
        <w:t>发</w:t>
      </w:r>
      <w:r>
        <w:rPr>
          <w:rFonts w:ascii="仿宋_GB2312" w:hAnsi="Times New Roman" w:eastAsia="仿宋_GB2312" w:cs="Wingdings"/>
          <w:sz w:val="32"/>
          <w:szCs w:val="32"/>
        </w:rPr>
        <w:t>展专项</w:t>
      </w:r>
      <w:r>
        <w:rPr>
          <w:rFonts w:hint="eastAsia" w:ascii="仿宋_GB2312" w:hAnsi="Times New Roman" w:eastAsia="仿宋_GB2312" w:cs="Wingdings"/>
          <w:sz w:val="32"/>
          <w:szCs w:val="32"/>
        </w:rPr>
        <w:t>资金</w:t>
      </w:r>
      <w:r>
        <w:rPr>
          <w:rFonts w:ascii="仿宋_GB2312" w:hAnsi="Times New Roman" w:eastAsia="仿宋_GB2312" w:cs="Wingdings"/>
          <w:sz w:val="32"/>
          <w:szCs w:val="32"/>
        </w:rPr>
        <w:t>收入</w:t>
      </w:r>
      <w:r>
        <w:rPr>
          <w:rFonts w:hint="eastAsia" w:ascii="仿宋_GB2312" w:hAnsi="Times New Roman" w:eastAsia="仿宋_GB2312" w:cs="Wingdings"/>
          <w:sz w:val="32"/>
          <w:szCs w:val="32"/>
        </w:rPr>
        <w:t>24万</w:t>
      </w:r>
      <w:r>
        <w:rPr>
          <w:rFonts w:ascii="仿宋_GB2312" w:hAnsi="Times New Roman" w:eastAsia="仿宋_GB2312" w:cs="Wingdings"/>
          <w:sz w:val="32"/>
          <w:szCs w:val="32"/>
        </w:rPr>
        <w:t>元；</w:t>
      </w:r>
      <w:r>
        <w:rPr>
          <w:rFonts w:hint="eastAsia" w:ascii="仿宋_GB2312" w:hAnsi="Times New Roman" w:eastAsia="仿宋_GB2312" w:cs="Wingdings"/>
          <w:sz w:val="32"/>
          <w:szCs w:val="32"/>
        </w:rPr>
        <w:t>本年支出</w:t>
      </w:r>
      <w:r>
        <w:rPr>
          <w:rFonts w:ascii="仿宋_GB2312" w:hAnsi="Times New Roman" w:eastAsia="仿宋_GB2312" w:cs="Wingdings"/>
          <w:sz w:val="32"/>
          <w:szCs w:val="32"/>
        </w:rPr>
        <w:t>24</w:t>
      </w:r>
      <w:r>
        <w:rPr>
          <w:rFonts w:hint="eastAsia" w:ascii="仿宋_GB2312" w:hAnsi="Times New Roman" w:eastAsia="仿宋_GB2312" w:cs="Wingdings"/>
          <w:sz w:val="32"/>
          <w:szCs w:val="32"/>
        </w:rPr>
        <w:t>万元，比上年增加2</w:t>
      </w:r>
      <w:r>
        <w:rPr>
          <w:rFonts w:ascii="仿宋_GB2312" w:hAnsi="Times New Roman" w:eastAsia="仿宋_GB2312" w:cs="Wingdings"/>
          <w:sz w:val="32"/>
          <w:szCs w:val="32"/>
        </w:rPr>
        <w:t>4</w:t>
      </w:r>
      <w:r>
        <w:rPr>
          <w:rFonts w:hint="eastAsia" w:ascii="仿宋_GB2312" w:hAnsi="Times New Roman" w:eastAsia="仿宋_GB2312" w:cs="Wingdings"/>
          <w:sz w:val="32"/>
          <w:szCs w:val="32"/>
        </w:rPr>
        <w:t>万元，增长1</w:t>
      </w:r>
      <w:r>
        <w:rPr>
          <w:rFonts w:ascii="仿宋_GB2312" w:hAnsi="Times New Roman" w:eastAsia="仿宋_GB2312" w:cs="Wingdings"/>
          <w:sz w:val="32"/>
          <w:szCs w:val="32"/>
        </w:rPr>
        <w:t>00</w:t>
      </w:r>
      <w:r>
        <w:rPr>
          <w:rFonts w:hint="eastAsia" w:ascii="仿宋_GB2312" w:hAnsi="Times New Roman" w:eastAsia="仿宋_GB2312" w:cs="Wingdings"/>
          <w:sz w:val="32"/>
          <w:szCs w:val="32"/>
        </w:rPr>
        <w:t>%，主要是增加</w:t>
      </w:r>
      <w:r>
        <w:rPr>
          <w:rFonts w:ascii="仿宋_GB2312" w:hAnsi="Times New Roman" w:eastAsia="仿宋_GB2312" w:cs="Wingdings"/>
          <w:sz w:val="32"/>
          <w:szCs w:val="32"/>
        </w:rPr>
        <w:t>国家</w:t>
      </w:r>
      <w:r>
        <w:rPr>
          <w:rFonts w:hint="eastAsia" w:ascii="仿宋_GB2312" w:hAnsi="Times New Roman" w:eastAsia="仿宋_GB2312" w:cs="Wingdings"/>
          <w:sz w:val="32"/>
          <w:szCs w:val="32"/>
        </w:rPr>
        <w:t>电影</w:t>
      </w:r>
      <w:r>
        <w:rPr>
          <w:rFonts w:ascii="仿宋_GB2312" w:hAnsi="Times New Roman" w:eastAsia="仿宋_GB2312" w:cs="Wingdings"/>
          <w:sz w:val="32"/>
          <w:szCs w:val="32"/>
        </w:rPr>
        <w:t>事业</w:t>
      </w:r>
      <w:r>
        <w:rPr>
          <w:rFonts w:hint="eastAsia" w:ascii="仿宋_GB2312" w:hAnsi="Times New Roman" w:eastAsia="仿宋_GB2312" w:cs="Wingdings"/>
          <w:sz w:val="32"/>
          <w:szCs w:val="32"/>
        </w:rPr>
        <w:t>发</w:t>
      </w:r>
      <w:r>
        <w:rPr>
          <w:rFonts w:ascii="仿宋_GB2312" w:hAnsi="Times New Roman" w:eastAsia="仿宋_GB2312" w:cs="Wingdings"/>
          <w:sz w:val="32"/>
          <w:szCs w:val="32"/>
        </w:rPr>
        <w:t>展专项</w:t>
      </w:r>
      <w:r>
        <w:rPr>
          <w:rFonts w:hint="eastAsia" w:ascii="仿宋_GB2312" w:hAnsi="Times New Roman" w:eastAsia="仿宋_GB2312" w:cs="Wingdings"/>
          <w:sz w:val="32"/>
          <w:szCs w:val="32"/>
        </w:rPr>
        <w:t>资金支出24万</w:t>
      </w:r>
      <w:r>
        <w:rPr>
          <w:rFonts w:ascii="仿宋_GB2312" w:hAnsi="Times New Roman" w:eastAsia="仿宋_GB2312" w:cs="Wingdings"/>
          <w:sz w:val="32"/>
          <w:szCs w:val="32"/>
        </w:rPr>
        <w:t>元</w:t>
      </w:r>
      <w:r>
        <w:rPr>
          <w:rFonts w:hint="eastAsia" w:ascii="仿宋_GB2312" w:hAnsi="Times New Roman" w:eastAsia="仿宋_GB2312" w:cs="Wingdings"/>
          <w:sz w:val="32"/>
          <w:szCs w:val="32"/>
        </w:rPr>
        <w:t>。</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其他</w:t>
      </w:r>
      <w:r>
        <w:rPr>
          <w:rFonts w:ascii="仿宋_GB2312" w:hAnsi="Times New Roman" w:eastAsia="仿宋_GB2312" w:cs="Wingdings"/>
          <w:sz w:val="32"/>
          <w:szCs w:val="32"/>
        </w:rPr>
        <w:t>收入</w:t>
      </w:r>
      <w:r>
        <w:rPr>
          <w:rFonts w:hint="eastAsia" w:ascii="仿宋_GB2312" w:hAnsi="Times New Roman" w:eastAsia="仿宋_GB2312" w:cs="Wingdings"/>
          <w:sz w:val="32"/>
          <w:szCs w:val="32"/>
        </w:rPr>
        <w:t>2.6万</w:t>
      </w:r>
      <w:r>
        <w:rPr>
          <w:rFonts w:ascii="仿宋_GB2312" w:hAnsi="Times New Roman" w:eastAsia="仿宋_GB2312" w:cs="Wingdings"/>
          <w:sz w:val="32"/>
          <w:szCs w:val="32"/>
        </w:rPr>
        <w:t>元，比上年减少</w:t>
      </w:r>
      <w:r>
        <w:rPr>
          <w:rFonts w:hint="eastAsia" w:ascii="仿宋_GB2312" w:hAnsi="Times New Roman" w:eastAsia="仿宋_GB2312" w:cs="Wingdings"/>
          <w:sz w:val="32"/>
          <w:szCs w:val="32"/>
        </w:rPr>
        <w:t>44.35万</w:t>
      </w:r>
      <w:r>
        <w:rPr>
          <w:rFonts w:ascii="仿宋_GB2312" w:hAnsi="Times New Roman" w:eastAsia="仿宋_GB2312" w:cs="Wingdings"/>
          <w:sz w:val="32"/>
          <w:szCs w:val="32"/>
        </w:rPr>
        <w:t>元，减少</w:t>
      </w:r>
      <w:r>
        <w:rPr>
          <w:rFonts w:hint="eastAsia" w:ascii="仿宋_GB2312" w:hAnsi="Times New Roman" w:eastAsia="仿宋_GB2312" w:cs="Wingdings"/>
          <w:sz w:val="32"/>
          <w:szCs w:val="32"/>
        </w:rPr>
        <w:t>1705.77%，</w:t>
      </w:r>
      <w:r>
        <w:rPr>
          <w:rFonts w:ascii="仿宋_GB2312" w:hAnsi="Times New Roman" w:eastAsia="仿宋_GB2312" w:cs="Wingdings"/>
          <w:sz w:val="32"/>
          <w:szCs w:val="32"/>
        </w:rPr>
        <w:t>主</w:t>
      </w:r>
      <w:r>
        <w:rPr>
          <w:rFonts w:hint="eastAsia" w:ascii="仿宋_GB2312" w:hAnsi="Times New Roman" w:eastAsia="仿宋_GB2312" w:cs="Wingdings"/>
          <w:sz w:val="32"/>
          <w:szCs w:val="32"/>
        </w:rPr>
        <w:t>要</w:t>
      </w:r>
      <w:r>
        <w:rPr>
          <w:rFonts w:ascii="仿宋_GB2312" w:hAnsi="Times New Roman" w:eastAsia="仿宋_GB2312" w:cs="Wingdings"/>
          <w:sz w:val="32"/>
          <w:szCs w:val="32"/>
        </w:rPr>
        <w:t>原因是</w:t>
      </w:r>
      <w:r>
        <w:rPr>
          <w:rFonts w:hint="eastAsia" w:ascii="仿宋_GB2312" w:hAnsi="Times New Roman" w:eastAsia="仿宋_GB2312" w:cs="Wingdings"/>
          <w:sz w:val="32"/>
          <w:szCs w:val="32"/>
        </w:rPr>
        <w:t>返</w:t>
      </w:r>
      <w:r>
        <w:rPr>
          <w:rFonts w:ascii="仿宋_GB2312" w:hAnsi="Times New Roman" w:eastAsia="仿宋_GB2312" w:cs="Wingdings"/>
          <w:sz w:val="32"/>
          <w:szCs w:val="32"/>
        </w:rPr>
        <w:t>还见习</w:t>
      </w:r>
      <w:r>
        <w:rPr>
          <w:rFonts w:hint="eastAsia" w:ascii="仿宋_GB2312" w:hAnsi="Times New Roman" w:eastAsia="仿宋_GB2312" w:cs="Wingdings"/>
          <w:sz w:val="32"/>
          <w:szCs w:val="32"/>
        </w:rPr>
        <w:t>岗补贴减少</w:t>
      </w:r>
      <w:r>
        <w:rPr>
          <w:rFonts w:ascii="仿宋_GB2312" w:hAnsi="Times New Roman" w:eastAsia="仿宋_GB2312" w:cs="Wingdings"/>
          <w:sz w:val="32"/>
          <w:szCs w:val="32"/>
        </w:rPr>
        <w:t>13.88</w:t>
      </w:r>
      <w:r>
        <w:rPr>
          <w:rFonts w:hint="eastAsia" w:ascii="仿宋_GB2312" w:hAnsi="Times New Roman" w:eastAsia="仿宋_GB2312" w:cs="Wingdings"/>
          <w:sz w:val="32"/>
          <w:szCs w:val="32"/>
        </w:rPr>
        <w:t>万</w:t>
      </w:r>
      <w:r>
        <w:rPr>
          <w:rFonts w:ascii="仿宋_GB2312" w:hAnsi="Times New Roman" w:eastAsia="仿宋_GB2312" w:cs="Wingdings"/>
          <w:sz w:val="32"/>
          <w:szCs w:val="32"/>
        </w:rPr>
        <w:t>元，无市</w:t>
      </w:r>
      <w:r>
        <w:rPr>
          <w:rFonts w:hint="eastAsia" w:ascii="仿宋_GB2312" w:hAnsi="Times New Roman" w:eastAsia="仿宋_GB2312" w:cs="Wingdings"/>
          <w:sz w:val="32"/>
          <w:szCs w:val="32"/>
        </w:rPr>
        <w:t>暑</w:t>
      </w:r>
      <w:r>
        <w:rPr>
          <w:rFonts w:ascii="仿宋_GB2312" w:hAnsi="Times New Roman" w:eastAsia="仿宋_GB2312" w:cs="Wingdings"/>
          <w:sz w:val="32"/>
          <w:szCs w:val="32"/>
        </w:rPr>
        <w:t>办拨付的暑期工作经费</w:t>
      </w:r>
      <w:r>
        <w:rPr>
          <w:rFonts w:hint="eastAsia" w:ascii="仿宋_GB2312" w:hAnsi="Times New Roman" w:eastAsia="仿宋_GB2312" w:cs="Wingdings"/>
          <w:sz w:val="32"/>
          <w:szCs w:val="32"/>
        </w:rPr>
        <w:t>14万</w:t>
      </w:r>
      <w:r>
        <w:rPr>
          <w:rFonts w:ascii="仿宋_GB2312" w:hAnsi="Times New Roman" w:eastAsia="仿宋_GB2312" w:cs="Wingdings"/>
          <w:sz w:val="32"/>
          <w:szCs w:val="32"/>
        </w:rPr>
        <w:t>元</w:t>
      </w:r>
      <w:r>
        <w:rPr>
          <w:rFonts w:hint="eastAsia" w:ascii="仿宋_GB2312" w:hAnsi="Times New Roman" w:eastAsia="仿宋_GB2312" w:cs="Wingdings"/>
          <w:sz w:val="32"/>
          <w:szCs w:val="32"/>
        </w:rPr>
        <w:t>及</w:t>
      </w:r>
      <w:r>
        <w:rPr>
          <w:rFonts w:ascii="仿宋_GB2312" w:hAnsi="Times New Roman" w:eastAsia="仿宋_GB2312" w:cs="Wingdings"/>
          <w:sz w:val="32"/>
          <w:szCs w:val="32"/>
        </w:rPr>
        <w:t>暑期工作先进奖励金</w:t>
      </w:r>
      <w:r>
        <w:rPr>
          <w:rFonts w:hint="eastAsia" w:ascii="仿宋_GB2312" w:hAnsi="Times New Roman" w:eastAsia="仿宋_GB2312" w:cs="Wingdings"/>
          <w:sz w:val="32"/>
          <w:szCs w:val="32"/>
        </w:rPr>
        <w:t>4.5万</w:t>
      </w:r>
      <w:r>
        <w:rPr>
          <w:rFonts w:ascii="仿宋_GB2312" w:hAnsi="Times New Roman" w:eastAsia="仿宋_GB2312" w:cs="Wingdings"/>
          <w:sz w:val="32"/>
          <w:szCs w:val="32"/>
        </w:rPr>
        <w:t>元</w:t>
      </w:r>
      <w:r>
        <w:rPr>
          <w:rFonts w:hint="eastAsia" w:ascii="仿宋_GB2312" w:hAnsi="Times New Roman" w:eastAsia="仿宋_GB2312" w:cs="Wingdings"/>
          <w:sz w:val="32"/>
          <w:szCs w:val="32"/>
        </w:rPr>
        <w:t>、</w:t>
      </w:r>
      <w:r>
        <w:rPr>
          <w:rFonts w:ascii="仿宋_GB2312" w:hAnsi="Times New Roman" w:eastAsia="仿宋_GB2312" w:cs="Wingdings"/>
          <w:sz w:val="32"/>
          <w:szCs w:val="32"/>
        </w:rPr>
        <w:t>国库</w:t>
      </w:r>
      <w:r>
        <w:rPr>
          <w:rFonts w:hint="eastAsia" w:ascii="仿宋_GB2312" w:hAnsi="Times New Roman" w:eastAsia="仿宋_GB2312" w:cs="Wingdings"/>
          <w:sz w:val="32"/>
          <w:szCs w:val="32"/>
        </w:rPr>
        <w:t>拨</w:t>
      </w:r>
      <w:r>
        <w:rPr>
          <w:rFonts w:ascii="仿宋_GB2312" w:hAnsi="Times New Roman" w:eastAsia="仿宋_GB2312" w:cs="Wingdings"/>
          <w:sz w:val="32"/>
          <w:szCs w:val="32"/>
        </w:rPr>
        <w:t>付在职人员补缴养老保险</w:t>
      </w:r>
      <w:r>
        <w:rPr>
          <w:rFonts w:hint="eastAsia" w:ascii="仿宋_GB2312" w:hAnsi="Times New Roman" w:eastAsia="仿宋_GB2312" w:cs="Wingdings"/>
          <w:sz w:val="32"/>
          <w:szCs w:val="32"/>
        </w:rPr>
        <w:t>11.97万</w:t>
      </w:r>
      <w:r>
        <w:rPr>
          <w:rFonts w:ascii="仿宋_GB2312" w:hAnsi="Times New Roman" w:eastAsia="仿宋_GB2312" w:cs="Wingdings"/>
          <w:sz w:val="32"/>
          <w:szCs w:val="32"/>
        </w:rPr>
        <w:t>元。</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ascii="仿宋_GB2312" w:hAnsi="Times New Roman" w:eastAsia="仿宋_GB2312" w:cs="Wingdings"/>
          <w:sz w:val="32"/>
          <w:szCs w:val="32"/>
        </w:rPr>
        <w:t>2193.65</w:t>
      </w:r>
      <w:r>
        <w:rPr>
          <w:rFonts w:hint="eastAsia" w:ascii="仿宋_GB2312" w:hAnsi="Times New Roman" w:eastAsia="仿宋_GB2312" w:cs="Wingdings"/>
          <w:sz w:val="32"/>
          <w:szCs w:val="32"/>
        </w:rPr>
        <w:t>万元，完成年初预算的</w:t>
      </w:r>
      <w:r>
        <w:rPr>
          <w:rFonts w:ascii="仿宋_GB2312" w:hAnsi="Times New Roman" w:eastAsia="仿宋_GB2312" w:cs="Wingdings"/>
          <w:sz w:val="32"/>
          <w:szCs w:val="32"/>
        </w:rPr>
        <w:t>87.17</w:t>
      </w:r>
      <w:r>
        <w:rPr>
          <w:rFonts w:hint="eastAsia" w:ascii="仿宋_GB2312" w:hAnsi="Times New Roman" w:eastAsia="仿宋_GB2312" w:cs="Wingdings"/>
          <w:sz w:val="32"/>
          <w:szCs w:val="32"/>
        </w:rPr>
        <w:t>%,比年初预算减少3</w:t>
      </w:r>
      <w:r>
        <w:rPr>
          <w:rFonts w:ascii="仿宋_GB2312" w:hAnsi="Times New Roman" w:eastAsia="仿宋_GB2312" w:cs="Wingdings"/>
          <w:sz w:val="32"/>
          <w:szCs w:val="32"/>
        </w:rPr>
        <w:t>22.97</w:t>
      </w:r>
      <w:r>
        <w:rPr>
          <w:rFonts w:hint="eastAsia" w:ascii="仿宋_GB2312" w:hAnsi="Times New Roman" w:eastAsia="仿宋_GB2312" w:cs="Wingdings"/>
          <w:sz w:val="32"/>
          <w:szCs w:val="32"/>
        </w:rPr>
        <w:t>万元，决算数小于预算数主要原因是项目收</w:t>
      </w:r>
      <w:r>
        <w:rPr>
          <w:rFonts w:ascii="仿宋_GB2312" w:hAnsi="Times New Roman" w:eastAsia="仿宋_GB2312" w:cs="Wingdings"/>
          <w:sz w:val="32"/>
          <w:szCs w:val="32"/>
        </w:rPr>
        <w:t>入</w:t>
      </w:r>
      <w:r>
        <w:rPr>
          <w:rFonts w:hint="eastAsia" w:ascii="仿宋_GB2312" w:hAnsi="Times New Roman" w:eastAsia="仿宋_GB2312" w:cs="Wingdings"/>
          <w:sz w:val="32"/>
          <w:szCs w:val="32"/>
        </w:rPr>
        <w:t>比</w:t>
      </w:r>
      <w:r>
        <w:rPr>
          <w:rFonts w:ascii="仿宋_GB2312" w:hAnsi="Times New Roman" w:eastAsia="仿宋_GB2312" w:cs="Wingdings"/>
          <w:sz w:val="32"/>
          <w:szCs w:val="32"/>
        </w:rPr>
        <w:t>预算减少</w:t>
      </w:r>
      <w:r>
        <w:rPr>
          <w:rFonts w:hint="eastAsia" w:ascii="仿宋_GB2312" w:hAnsi="Times New Roman" w:eastAsia="仿宋_GB2312" w:cs="Wingdings"/>
          <w:sz w:val="32"/>
          <w:szCs w:val="32"/>
        </w:rPr>
        <w:t>279.61万</w:t>
      </w:r>
      <w:r>
        <w:rPr>
          <w:rFonts w:ascii="仿宋_GB2312" w:hAnsi="Times New Roman" w:eastAsia="仿宋_GB2312" w:cs="Wingdings"/>
          <w:sz w:val="32"/>
          <w:szCs w:val="32"/>
        </w:rPr>
        <w:t>元，</w:t>
      </w:r>
      <w:r>
        <w:rPr>
          <w:rFonts w:hint="eastAsia" w:ascii="仿宋_GB2312" w:hAnsi="Times New Roman" w:eastAsia="仿宋_GB2312" w:cs="Wingdings"/>
          <w:sz w:val="32"/>
          <w:szCs w:val="32"/>
        </w:rPr>
        <w:t>人</w:t>
      </w:r>
      <w:r>
        <w:rPr>
          <w:rFonts w:ascii="仿宋_GB2312" w:hAnsi="Times New Roman" w:eastAsia="仿宋_GB2312" w:cs="Wingdings"/>
          <w:sz w:val="32"/>
          <w:szCs w:val="32"/>
        </w:rPr>
        <w:t>员</w:t>
      </w:r>
      <w:r>
        <w:rPr>
          <w:rFonts w:hint="eastAsia" w:ascii="仿宋_GB2312" w:hAnsi="Times New Roman" w:eastAsia="仿宋_GB2312" w:cs="Wingdings"/>
          <w:sz w:val="32"/>
          <w:szCs w:val="32"/>
        </w:rPr>
        <w:t>收</w:t>
      </w:r>
      <w:r>
        <w:rPr>
          <w:rFonts w:ascii="仿宋_GB2312" w:hAnsi="Times New Roman" w:eastAsia="仿宋_GB2312" w:cs="Wingdings"/>
          <w:sz w:val="32"/>
          <w:szCs w:val="32"/>
        </w:rPr>
        <w:t>入</w:t>
      </w:r>
      <w:r>
        <w:rPr>
          <w:rFonts w:hint="eastAsia" w:ascii="仿宋_GB2312" w:hAnsi="Times New Roman" w:eastAsia="仿宋_GB2312" w:cs="Wingdings"/>
          <w:sz w:val="32"/>
          <w:szCs w:val="32"/>
        </w:rPr>
        <w:t>比</w:t>
      </w:r>
      <w:r>
        <w:rPr>
          <w:rFonts w:ascii="仿宋_GB2312" w:hAnsi="Times New Roman" w:eastAsia="仿宋_GB2312" w:cs="Wingdings"/>
          <w:sz w:val="32"/>
          <w:szCs w:val="32"/>
        </w:rPr>
        <w:t>预算减少</w:t>
      </w:r>
      <w:r>
        <w:rPr>
          <w:rFonts w:hint="eastAsia" w:ascii="仿宋_GB2312" w:hAnsi="Times New Roman" w:eastAsia="仿宋_GB2312" w:cs="Wingdings"/>
          <w:sz w:val="32"/>
          <w:szCs w:val="32"/>
        </w:rPr>
        <w:t>47.41万</w:t>
      </w:r>
      <w:r>
        <w:rPr>
          <w:rFonts w:ascii="仿宋_GB2312" w:hAnsi="Times New Roman" w:eastAsia="仿宋_GB2312" w:cs="Wingdings"/>
          <w:sz w:val="32"/>
          <w:szCs w:val="32"/>
        </w:rPr>
        <w:t>元</w:t>
      </w:r>
      <w:r>
        <w:rPr>
          <w:rFonts w:hint="eastAsia" w:ascii="仿宋_GB2312" w:hAnsi="Times New Roman" w:eastAsia="仿宋_GB2312" w:cs="Wingdings"/>
          <w:sz w:val="32"/>
          <w:szCs w:val="32"/>
        </w:rPr>
        <w:t>；本年支出</w:t>
      </w:r>
      <w:r>
        <w:rPr>
          <w:rFonts w:ascii="仿宋_GB2312" w:hAnsi="Times New Roman" w:eastAsia="仿宋_GB2312" w:cs="Wingdings"/>
          <w:sz w:val="32"/>
          <w:szCs w:val="32"/>
        </w:rPr>
        <w:t>2189.61</w:t>
      </w:r>
      <w:r>
        <w:rPr>
          <w:rFonts w:hint="eastAsia" w:ascii="仿宋_GB2312" w:hAnsi="Times New Roman" w:eastAsia="仿宋_GB2312" w:cs="Wingdings"/>
          <w:sz w:val="32"/>
          <w:szCs w:val="32"/>
        </w:rPr>
        <w:t>万元，完成年初预算的</w:t>
      </w:r>
      <w:r>
        <w:rPr>
          <w:rFonts w:ascii="仿宋_GB2312" w:hAnsi="Times New Roman" w:eastAsia="仿宋_GB2312" w:cs="Wingdings"/>
          <w:sz w:val="32"/>
          <w:szCs w:val="32"/>
        </w:rPr>
        <w:t>87</w:t>
      </w:r>
      <w:r>
        <w:rPr>
          <w:rFonts w:hint="eastAsia" w:ascii="仿宋_GB2312" w:hAnsi="Times New Roman" w:eastAsia="仿宋_GB2312" w:cs="Wingdings"/>
          <w:sz w:val="32"/>
          <w:szCs w:val="32"/>
        </w:rPr>
        <w:t>%,比年初预算减少3</w:t>
      </w:r>
      <w:r>
        <w:rPr>
          <w:rFonts w:ascii="仿宋_GB2312" w:hAnsi="Times New Roman" w:eastAsia="仿宋_GB2312" w:cs="Wingdings"/>
          <w:sz w:val="32"/>
          <w:szCs w:val="32"/>
        </w:rPr>
        <w:t>27.01</w:t>
      </w:r>
      <w:r>
        <w:rPr>
          <w:rFonts w:hint="eastAsia" w:ascii="仿宋_GB2312" w:hAnsi="Times New Roman" w:eastAsia="仿宋_GB2312" w:cs="Wingdings"/>
          <w:sz w:val="32"/>
          <w:szCs w:val="32"/>
        </w:rPr>
        <w:t>万元，决算数小于预算数主要原因是主要是</w:t>
      </w:r>
      <w:r>
        <w:rPr>
          <w:rFonts w:ascii="仿宋" w:hAnsi="仿宋" w:eastAsia="仿宋" w:cs="DengXian-Regular"/>
          <w:sz w:val="32"/>
          <w:szCs w:val="32"/>
        </w:rPr>
        <w:t>创文明城</w:t>
      </w:r>
      <w:r>
        <w:rPr>
          <w:rFonts w:hint="eastAsia" w:ascii="仿宋" w:hAnsi="仿宋" w:eastAsia="仿宋" w:cs="DengXian-Regular"/>
          <w:sz w:val="32"/>
          <w:szCs w:val="32"/>
        </w:rPr>
        <w:t xml:space="preserve">市 </w:t>
      </w:r>
      <w:r>
        <w:rPr>
          <w:rFonts w:ascii="仿宋" w:hAnsi="仿宋" w:eastAsia="仿宋" w:cs="DengXian-Regular"/>
          <w:sz w:val="32"/>
          <w:szCs w:val="32"/>
        </w:rPr>
        <w:t>、创森林城市</w:t>
      </w:r>
      <w:r>
        <w:rPr>
          <w:rFonts w:hint="eastAsia" w:ascii="仿宋" w:hAnsi="仿宋" w:eastAsia="仿宋" w:cs="DengXian-Regular"/>
          <w:sz w:val="32"/>
          <w:szCs w:val="32"/>
        </w:rPr>
        <w:t>、</w:t>
      </w:r>
      <w:r>
        <w:rPr>
          <w:rFonts w:ascii="仿宋" w:hAnsi="仿宋" w:eastAsia="仿宋" w:cs="DengXian-Regular"/>
          <w:sz w:val="32"/>
          <w:szCs w:val="32"/>
        </w:rPr>
        <w:t>创卫生城市</w:t>
      </w:r>
      <w:r>
        <w:rPr>
          <w:rFonts w:hint="eastAsia" w:ascii="仿宋" w:hAnsi="仿宋" w:eastAsia="仿宋" w:cs="DengXian-Regular"/>
          <w:sz w:val="32"/>
          <w:szCs w:val="32"/>
        </w:rPr>
        <w:t>等</w:t>
      </w:r>
      <w:r>
        <w:rPr>
          <w:rFonts w:ascii="仿宋" w:hAnsi="仿宋" w:eastAsia="仿宋" w:cs="DengXian-Regular"/>
          <w:sz w:val="32"/>
          <w:szCs w:val="32"/>
        </w:rPr>
        <w:t>专项</w:t>
      </w:r>
      <w:r>
        <w:rPr>
          <w:rFonts w:hint="eastAsia" w:ascii="仿宋" w:hAnsi="仿宋" w:eastAsia="仿宋" w:cs="DengXian-Regular"/>
          <w:sz w:val="32"/>
          <w:szCs w:val="32"/>
        </w:rPr>
        <w:t>项目</w:t>
      </w:r>
      <w:r>
        <w:rPr>
          <w:rFonts w:ascii="仿宋" w:hAnsi="仿宋" w:eastAsia="仿宋" w:cs="DengXian-Regular"/>
          <w:sz w:val="32"/>
          <w:szCs w:val="32"/>
        </w:rPr>
        <w:t>经费</w:t>
      </w:r>
      <w:r>
        <w:rPr>
          <w:rFonts w:hint="eastAsia" w:ascii="仿宋" w:hAnsi="仿宋" w:eastAsia="仿宋" w:cs="DengXian-Regular"/>
          <w:sz w:val="32"/>
          <w:szCs w:val="32"/>
        </w:rPr>
        <w:t>支</w:t>
      </w:r>
      <w:r>
        <w:rPr>
          <w:rFonts w:ascii="仿宋" w:hAnsi="仿宋" w:eastAsia="仿宋" w:cs="DengXian-Regular"/>
          <w:sz w:val="32"/>
          <w:szCs w:val="32"/>
        </w:rPr>
        <w:t>出减少</w:t>
      </w:r>
      <w:r>
        <w:rPr>
          <w:rFonts w:hint="eastAsia" w:ascii="仿宋_GB2312" w:hAnsi="Times New Roman" w:eastAsia="仿宋_GB2312" w:cs="Wingdings"/>
          <w:sz w:val="32"/>
          <w:szCs w:val="32"/>
        </w:rPr>
        <w:t>。具体情况如下：</w:t>
      </w:r>
    </w:p>
    <w:p>
      <w:pPr>
        <w:numPr>
          <w:ilvl w:val="0"/>
          <w:numId w:val="3"/>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一般公共预算财政拨款本年收入完成年初预算</w:t>
      </w:r>
      <w:r>
        <w:rPr>
          <w:rFonts w:ascii="仿宋_GB2312" w:hAnsi="Times New Roman" w:eastAsia="仿宋_GB2312" w:cs="Wingdings"/>
          <w:sz w:val="32"/>
          <w:szCs w:val="32"/>
        </w:rPr>
        <w:t>87.38</w:t>
      </w:r>
      <w:r>
        <w:rPr>
          <w:rFonts w:hint="eastAsia" w:ascii="仿宋_GB2312" w:hAnsi="Times New Roman" w:eastAsia="仿宋_GB2312" w:cs="Wingdings"/>
          <w:sz w:val="32"/>
          <w:szCs w:val="32"/>
        </w:rPr>
        <w:t>%，比年初预算减</w:t>
      </w:r>
      <w:r>
        <w:rPr>
          <w:rFonts w:ascii="仿宋_GB2312" w:hAnsi="Times New Roman" w:eastAsia="仿宋_GB2312" w:cs="Wingdings"/>
          <w:sz w:val="32"/>
          <w:szCs w:val="32"/>
        </w:rPr>
        <w:t>312.97</w:t>
      </w:r>
      <w:r>
        <w:rPr>
          <w:rFonts w:hint="eastAsia" w:ascii="仿宋_GB2312" w:hAnsi="Times New Roman" w:eastAsia="仿宋_GB2312" w:cs="Wingdings"/>
          <w:sz w:val="32"/>
          <w:szCs w:val="32"/>
        </w:rPr>
        <w:t>万元，主要是项目收</w:t>
      </w:r>
      <w:r>
        <w:rPr>
          <w:rFonts w:ascii="仿宋_GB2312" w:hAnsi="Times New Roman" w:eastAsia="仿宋_GB2312" w:cs="Wingdings"/>
          <w:sz w:val="32"/>
          <w:szCs w:val="32"/>
        </w:rPr>
        <w:t>入</w:t>
      </w:r>
      <w:r>
        <w:rPr>
          <w:rFonts w:hint="eastAsia" w:ascii="仿宋_GB2312" w:hAnsi="Times New Roman" w:eastAsia="仿宋_GB2312" w:cs="Wingdings"/>
          <w:sz w:val="32"/>
          <w:szCs w:val="32"/>
        </w:rPr>
        <w:t>比</w:t>
      </w:r>
      <w:r>
        <w:rPr>
          <w:rFonts w:ascii="仿宋_GB2312" w:hAnsi="Times New Roman" w:eastAsia="仿宋_GB2312" w:cs="Wingdings"/>
          <w:sz w:val="32"/>
          <w:szCs w:val="32"/>
        </w:rPr>
        <w:t>预算减少</w:t>
      </w:r>
      <w:r>
        <w:rPr>
          <w:rFonts w:hint="eastAsia" w:ascii="仿宋_GB2312" w:hAnsi="Times New Roman" w:eastAsia="仿宋_GB2312" w:cs="Wingdings"/>
          <w:sz w:val="32"/>
          <w:szCs w:val="32"/>
        </w:rPr>
        <w:t>279.61万</w:t>
      </w:r>
      <w:r>
        <w:rPr>
          <w:rFonts w:ascii="仿宋_GB2312" w:hAnsi="Times New Roman" w:eastAsia="仿宋_GB2312" w:cs="Wingdings"/>
          <w:sz w:val="32"/>
          <w:szCs w:val="32"/>
        </w:rPr>
        <w:t>元</w:t>
      </w:r>
      <w:r>
        <w:rPr>
          <w:rFonts w:hint="eastAsia" w:ascii="仿宋_GB2312" w:hAnsi="Times New Roman" w:eastAsia="仿宋_GB2312" w:cs="Wingdings"/>
          <w:sz w:val="32"/>
          <w:szCs w:val="32"/>
        </w:rPr>
        <w:t>；支出完成年初预算</w:t>
      </w:r>
      <w:r>
        <w:rPr>
          <w:rFonts w:ascii="仿宋_GB2312" w:hAnsi="Times New Roman" w:eastAsia="仿宋_GB2312" w:cs="Wingdings"/>
          <w:sz w:val="32"/>
          <w:szCs w:val="32"/>
        </w:rPr>
        <w:t>85.95</w:t>
      </w:r>
      <w:r>
        <w:rPr>
          <w:rFonts w:hint="eastAsia" w:ascii="仿宋_GB2312" w:hAnsi="Times New Roman" w:eastAsia="仿宋_GB2312" w:cs="Wingdings"/>
          <w:sz w:val="32"/>
          <w:szCs w:val="32"/>
        </w:rPr>
        <w:t>%，比年初预算增加（减少）</w:t>
      </w:r>
      <w:r>
        <w:rPr>
          <w:rFonts w:ascii="仿宋_GB2312" w:hAnsi="Times New Roman" w:eastAsia="仿宋_GB2312" w:cs="Wingdings"/>
          <w:sz w:val="32"/>
          <w:szCs w:val="32"/>
        </w:rPr>
        <w:t>353.61</w:t>
      </w:r>
      <w:r>
        <w:rPr>
          <w:rFonts w:hint="eastAsia" w:ascii="仿宋_GB2312" w:hAnsi="Times New Roman" w:eastAsia="仿宋_GB2312" w:cs="Wingdings"/>
          <w:sz w:val="32"/>
          <w:szCs w:val="32"/>
        </w:rPr>
        <w:t>万元，主要是</w:t>
      </w:r>
      <w:r>
        <w:rPr>
          <w:rFonts w:ascii="仿宋" w:hAnsi="仿宋" w:eastAsia="仿宋" w:cs="DengXian-Regular"/>
          <w:sz w:val="32"/>
          <w:szCs w:val="32"/>
        </w:rPr>
        <w:t>创文明城</w:t>
      </w:r>
      <w:r>
        <w:rPr>
          <w:rFonts w:hint="eastAsia" w:ascii="仿宋" w:hAnsi="仿宋" w:eastAsia="仿宋" w:cs="DengXian-Regular"/>
          <w:sz w:val="32"/>
          <w:szCs w:val="32"/>
        </w:rPr>
        <w:t xml:space="preserve">市 </w:t>
      </w:r>
      <w:r>
        <w:rPr>
          <w:rFonts w:ascii="仿宋" w:hAnsi="仿宋" w:eastAsia="仿宋" w:cs="DengXian-Regular"/>
          <w:sz w:val="32"/>
          <w:szCs w:val="32"/>
        </w:rPr>
        <w:t>、创森林城市</w:t>
      </w:r>
      <w:r>
        <w:rPr>
          <w:rFonts w:hint="eastAsia" w:ascii="仿宋" w:hAnsi="仿宋" w:eastAsia="仿宋" w:cs="DengXian-Regular"/>
          <w:sz w:val="32"/>
          <w:szCs w:val="32"/>
        </w:rPr>
        <w:t>、</w:t>
      </w:r>
      <w:r>
        <w:rPr>
          <w:rFonts w:ascii="仿宋" w:hAnsi="仿宋" w:eastAsia="仿宋" w:cs="DengXian-Regular"/>
          <w:sz w:val="32"/>
          <w:szCs w:val="32"/>
        </w:rPr>
        <w:t>创卫生城市</w:t>
      </w:r>
      <w:r>
        <w:rPr>
          <w:rFonts w:hint="eastAsia" w:ascii="仿宋" w:hAnsi="仿宋" w:eastAsia="仿宋" w:cs="DengXian-Regular"/>
          <w:sz w:val="32"/>
          <w:szCs w:val="32"/>
        </w:rPr>
        <w:t>等</w:t>
      </w:r>
      <w:r>
        <w:rPr>
          <w:rFonts w:ascii="仿宋" w:hAnsi="仿宋" w:eastAsia="仿宋" w:cs="DengXian-Regular"/>
          <w:sz w:val="32"/>
          <w:szCs w:val="32"/>
        </w:rPr>
        <w:t>专项</w:t>
      </w:r>
      <w:r>
        <w:rPr>
          <w:rFonts w:hint="eastAsia" w:ascii="仿宋" w:hAnsi="仿宋" w:eastAsia="仿宋" w:cs="DengXian-Regular"/>
          <w:sz w:val="32"/>
          <w:szCs w:val="32"/>
        </w:rPr>
        <w:t>项目</w:t>
      </w:r>
      <w:r>
        <w:rPr>
          <w:rFonts w:ascii="仿宋" w:hAnsi="仿宋" w:eastAsia="仿宋" w:cs="DengXian-Regular"/>
          <w:sz w:val="32"/>
          <w:szCs w:val="32"/>
        </w:rPr>
        <w:t>经费</w:t>
      </w:r>
      <w:r>
        <w:rPr>
          <w:rFonts w:hint="eastAsia" w:ascii="仿宋" w:hAnsi="仿宋" w:eastAsia="仿宋" w:cs="DengXian-Regular"/>
          <w:sz w:val="32"/>
          <w:szCs w:val="32"/>
        </w:rPr>
        <w:t>支</w:t>
      </w:r>
      <w:r>
        <w:rPr>
          <w:rFonts w:ascii="仿宋" w:hAnsi="仿宋" w:eastAsia="仿宋" w:cs="DengXian-Regular"/>
          <w:sz w:val="32"/>
          <w:szCs w:val="32"/>
        </w:rPr>
        <w:t>出减少</w:t>
      </w:r>
      <w:r>
        <w:rPr>
          <w:rFonts w:hint="eastAsia" w:ascii="仿宋_GB2312" w:hAnsi="Times New Roman" w:eastAsia="仿宋_GB2312" w:cs="Wingdings"/>
          <w:sz w:val="32"/>
          <w:szCs w:val="32"/>
        </w:rPr>
        <w:t>。</w:t>
      </w:r>
    </w:p>
    <w:p>
      <w:pPr>
        <w:numPr>
          <w:ilvl w:val="0"/>
          <w:numId w:val="3"/>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政府性基金预算财政拨款本年收入完成年初预算</w:t>
      </w:r>
      <w:r>
        <w:rPr>
          <w:rFonts w:ascii="仿宋_GB2312" w:hAnsi="Times New Roman" w:eastAsia="仿宋_GB2312" w:cs="Wingdings"/>
          <w:sz w:val="32"/>
          <w:szCs w:val="32"/>
        </w:rPr>
        <w:t>70.59</w:t>
      </w:r>
      <w:r>
        <w:rPr>
          <w:rFonts w:hint="eastAsia" w:ascii="仿宋_GB2312" w:hAnsi="Times New Roman" w:eastAsia="仿宋_GB2312" w:cs="Wingdings"/>
          <w:sz w:val="32"/>
          <w:szCs w:val="32"/>
        </w:rPr>
        <w:t>%，比年初预算减少1</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万元，主要是秦</w:t>
      </w:r>
      <w:r>
        <w:rPr>
          <w:rFonts w:ascii="仿宋_GB2312" w:hAnsi="Times New Roman" w:eastAsia="仿宋_GB2312" w:cs="Wingdings"/>
          <w:sz w:val="32"/>
          <w:szCs w:val="32"/>
        </w:rPr>
        <w:t>财</w:t>
      </w:r>
      <w:r>
        <w:rPr>
          <w:rFonts w:hint="eastAsia" w:ascii="仿宋_GB2312" w:hAnsi="Times New Roman" w:eastAsia="仿宋_GB2312" w:cs="Wingdings"/>
          <w:sz w:val="32"/>
          <w:szCs w:val="32"/>
        </w:rPr>
        <w:t>教</w:t>
      </w:r>
      <w:r>
        <w:rPr>
          <w:rFonts w:ascii="仿宋_GB2312" w:hAnsi="Times New Roman" w:eastAsia="仿宋_GB2312" w:cs="Wingdings"/>
          <w:sz w:val="32"/>
          <w:szCs w:val="32"/>
        </w:rPr>
        <w:t>（</w:t>
      </w:r>
      <w:r>
        <w:rPr>
          <w:rFonts w:hint="eastAsia" w:ascii="仿宋_GB2312" w:hAnsi="Times New Roman" w:eastAsia="仿宋_GB2312" w:cs="Wingdings"/>
          <w:sz w:val="32"/>
          <w:szCs w:val="32"/>
        </w:rPr>
        <w:t>2019）</w:t>
      </w:r>
      <w:r>
        <w:rPr>
          <w:rFonts w:ascii="仿宋_GB2312" w:hAnsi="Times New Roman" w:eastAsia="仿宋_GB2312" w:cs="Wingdings"/>
          <w:sz w:val="32"/>
          <w:szCs w:val="32"/>
        </w:rPr>
        <w:t>188</w:t>
      </w:r>
      <w:r>
        <w:rPr>
          <w:rFonts w:hint="eastAsia" w:ascii="仿宋_GB2312" w:hAnsi="Times New Roman" w:eastAsia="仿宋_GB2312" w:cs="Wingdings"/>
          <w:sz w:val="32"/>
          <w:szCs w:val="32"/>
        </w:rPr>
        <w:t>号</w:t>
      </w:r>
      <w:r>
        <w:rPr>
          <w:rFonts w:ascii="仿宋_GB2312" w:hAnsi="Times New Roman" w:eastAsia="仿宋_GB2312" w:cs="Wingdings"/>
          <w:sz w:val="32"/>
          <w:szCs w:val="32"/>
        </w:rPr>
        <w:t>提前下达的</w:t>
      </w:r>
      <w:r>
        <w:rPr>
          <w:rFonts w:hint="eastAsia" w:ascii="仿宋_GB2312" w:hAnsi="Times New Roman" w:eastAsia="仿宋_GB2312" w:cs="Wingdings"/>
          <w:sz w:val="32"/>
          <w:szCs w:val="32"/>
        </w:rPr>
        <w:t>2020年省</w:t>
      </w:r>
      <w:r>
        <w:rPr>
          <w:rFonts w:ascii="仿宋_GB2312" w:hAnsi="Times New Roman" w:eastAsia="仿宋_GB2312" w:cs="Wingdings"/>
          <w:sz w:val="32"/>
          <w:szCs w:val="32"/>
        </w:rPr>
        <w:t>级国家电影事业发展专项资金退回</w:t>
      </w:r>
      <w:r>
        <w:rPr>
          <w:rFonts w:hint="eastAsia" w:ascii="仿宋_GB2312" w:hAnsi="Times New Roman" w:eastAsia="仿宋_GB2312" w:cs="Wingdings"/>
          <w:sz w:val="32"/>
          <w:szCs w:val="32"/>
        </w:rPr>
        <w:t>；支出完成年初预算</w:t>
      </w:r>
      <w:r>
        <w:rPr>
          <w:rFonts w:ascii="仿宋_GB2312" w:hAnsi="Times New Roman" w:eastAsia="仿宋_GB2312" w:cs="Wingdings"/>
          <w:sz w:val="32"/>
          <w:szCs w:val="32"/>
        </w:rPr>
        <w:t>70.59</w:t>
      </w:r>
      <w:r>
        <w:rPr>
          <w:rFonts w:hint="eastAsia" w:ascii="仿宋_GB2312" w:hAnsi="Times New Roman" w:eastAsia="仿宋_GB2312" w:cs="Wingdings"/>
          <w:sz w:val="32"/>
          <w:szCs w:val="32"/>
        </w:rPr>
        <w:t>%，比年初预算减少1</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万元，主要是秦</w:t>
      </w:r>
      <w:r>
        <w:rPr>
          <w:rFonts w:ascii="仿宋_GB2312" w:hAnsi="Times New Roman" w:eastAsia="仿宋_GB2312" w:cs="Wingdings"/>
          <w:sz w:val="32"/>
          <w:szCs w:val="32"/>
        </w:rPr>
        <w:t>财</w:t>
      </w:r>
      <w:r>
        <w:rPr>
          <w:rFonts w:hint="eastAsia" w:ascii="仿宋_GB2312" w:hAnsi="Times New Roman" w:eastAsia="仿宋_GB2312" w:cs="Wingdings"/>
          <w:sz w:val="32"/>
          <w:szCs w:val="32"/>
        </w:rPr>
        <w:t>教</w:t>
      </w:r>
      <w:r>
        <w:rPr>
          <w:rFonts w:ascii="仿宋_GB2312" w:hAnsi="Times New Roman" w:eastAsia="仿宋_GB2312" w:cs="Wingdings"/>
          <w:sz w:val="32"/>
          <w:szCs w:val="32"/>
        </w:rPr>
        <w:t>（</w:t>
      </w:r>
      <w:r>
        <w:rPr>
          <w:rFonts w:hint="eastAsia" w:ascii="仿宋_GB2312" w:hAnsi="Times New Roman" w:eastAsia="仿宋_GB2312" w:cs="Wingdings"/>
          <w:sz w:val="32"/>
          <w:szCs w:val="32"/>
        </w:rPr>
        <w:t>2019）</w:t>
      </w:r>
      <w:r>
        <w:rPr>
          <w:rFonts w:ascii="仿宋_GB2312" w:hAnsi="Times New Roman" w:eastAsia="仿宋_GB2312" w:cs="Wingdings"/>
          <w:sz w:val="32"/>
          <w:szCs w:val="32"/>
        </w:rPr>
        <w:t>188</w:t>
      </w:r>
      <w:r>
        <w:rPr>
          <w:rFonts w:hint="eastAsia" w:ascii="仿宋_GB2312" w:hAnsi="Times New Roman" w:eastAsia="仿宋_GB2312" w:cs="Wingdings"/>
          <w:sz w:val="32"/>
          <w:szCs w:val="32"/>
        </w:rPr>
        <w:t>号</w:t>
      </w:r>
      <w:r>
        <w:rPr>
          <w:rFonts w:ascii="仿宋_GB2312" w:hAnsi="Times New Roman" w:eastAsia="仿宋_GB2312" w:cs="Wingdings"/>
          <w:sz w:val="32"/>
          <w:szCs w:val="32"/>
        </w:rPr>
        <w:t>提前下达的</w:t>
      </w:r>
      <w:r>
        <w:rPr>
          <w:rFonts w:hint="eastAsia" w:ascii="仿宋_GB2312" w:hAnsi="Times New Roman" w:eastAsia="仿宋_GB2312" w:cs="Wingdings"/>
          <w:sz w:val="32"/>
          <w:szCs w:val="32"/>
        </w:rPr>
        <w:t>2020年省</w:t>
      </w:r>
      <w:r>
        <w:rPr>
          <w:rFonts w:ascii="仿宋_GB2312" w:hAnsi="Times New Roman" w:eastAsia="仿宋_GB2312" w:cs="Wingdings"/>
          <w:sz w:val="32"/>
          <w:szCs w:val="32"/>
        </w:rPr>
        <w:t>级国家电影事业发展专项资金</w:t>
      </w:r>
      <w:r>
        <w:rPr>
          <w:rFonts w:hint="eastAsia" w:ascii="仿宋_GB2312" w:hAnsi="Times New Roman" w:eastAsia="仿宋_GB2312" w:cs="Wingdings"/>
          <w:sz w:val="32"/>
          <w:szCs w:val="32"/>
        </w:rPr>
        <w:t>未</w:t>
      </w:r>
      <w:r>
        <w:rPr>
          <w:rFonts w:ascii="仿宋_GB2312" w:hAnsi="Times New Roman" w:eastAsia="仿宋_GB2312" w:cs="Wingdings"/>
          <w:sz w:val="32"/>
          <w:szCs w:val="32"/>
        </w:rPr>
        <w:t>形成支出</w:t>
      </w:r>
      <w:r>
        <w:rPr>
          <w:rFonts w:hint="eastAsia" w:ascii="仿宋_GB2312" w:hAnsi="Times New Roman" w:eastAsia="仿宋_GB2312" w:cs="Wingdings"/>
          <w:sz w:val="32"/>
          <w:szCs w:val="32"/>
        </w:rPr>
        <w:t>。</w:t>
      </w:r>
    </w:p>
    <w:p>
      <w:pPr>
        <w:numPr>
          <w:ilvl w:val="0"/>
          <w:numId w:val="3"/>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其他</w:t>
      </w:r>
      <w:r>
        <w:rPr>
          <w:rFonts w:ascii="仿宋_GB2312" w:hAnsi="Times New Roman" w:eastAsia="仿宋_GB2312" w:cs="Wingdings"/>
          <w:sz w:val="32"/>
          <w:szCs w:val="32"/>
        </w:rPr>
        <w:t>收入</w:t>
      </w:r>
      <w:r>
        <w:rPr>
          <w:rFonts w:hint="eastAsia" w:ascii="仿宋_GB2312" w:hAnsi="Times New Roman" w:eastAsia="仿宋_GB2312" w:cs="Wingdings"/>
          <w:sz w:val="32"/>
          <w:szCs w:val="32"/>
        </w:rPr>
        <w:t>2.6万</w:t>
      </w:r>
      <w:r>
        <w:rPr>
          <w:rFonts w:ascii="仿宋_GB2312" w:hAnsi="Times New Roman" w:eastAsia="仿宋_GB2312" w:cs="Wingdings"/>
          <w:sz w:val="32"/>
          <w:szCs w:val="32"/>
        </w:rPr>
        <w:t>元，年初预算</w:t>
      </w:r>
      <w:r>
        <w:rPr>
          <w:rFonts w:hint="eastAsia" w:ascii="仿宋_GB2312" w:hAnsi="Times New Roman" w:eastAsia="仿宋_GB2312" w:cs="Wingdings"/>
          <w:sz w:val="32"/>
          <w:szCs w:val="32"/>
        </w:rPr>
        <w:t>为0，</w:t>
      </w:r>
      <w:r>
        <w:rPr>
          <w:rFonts w:ascii="仿宋_GB2312" w:hAnsi="Times New Roman" w:eastAsia="仿宋_GB2312" w:cs="Wingdings"/>
          <w:sz w:val="32"/>
          <w:szCs w:val="32"/>
        </w:rPr>
        <w:t>超出</w:t>
      </w:r>
      <w:r>
        <w:rPr>
          <w:rFonts w:hint="eastAsia" w:ascii="仿宋_GB2312" w:hAnsi="Times New Roman" w:eastAsia="仿宋_GB2312" w:cs="Wingdings"/>
          <w:sz w:val="32"/>
          <w:szCs w:val="32"/>
        </w:rPr>
        <w:t>2.6万</w:t>
      </w:r>
      <w:r>
        <w:rPr>
          <w:rFonts w:ascii="仿宋_GB2312" w:hAnsi="Times New Roman" w:eastAsia="仿宋_GB2312" w:cs="Wingdings"/>
          <w:sz w:val="32"/>
          <w:szCs w:val="32"/>
        </w:rPr>
        <w:t>元，</w:t>
      </w:r>
      <w:r>
        <w:rPr>
          <w:rFonts w:hint="eastAsia" w:ascii="仿宋_GB2312" w:hAnsi="Times New Roman" w:eastAsia="仿宋_GB2312" w:cs="Wingdings"/>
          <w:sz w:val="32"/>
          <w:szCs w:val="32"/>
        </w:rPr>
        <w:t>主</w:t>
      </w:r>
      <w:r>
        <w:rPr>
          <w:rFonts w:ascii="仿宋_GB2312" w:hAnsi="Times New Roman" w:eastAsia="仿宋_GB2312" w:cs="Wingdings"/>
          <w:sz w:val="32"/>
          <w:szCs w:val="32"/>
        </w:rPr>
        <w:t>要是收到省里</w:t>
      </w:r>
      <w:r>
        <w:rPr>
          <w:rFonts w:hint="eastAsia" w:ascii="仿宋_GB2312" w:hAnsi="Times New Roman" w:eastAsia="仿宋_GB2312" w:cs="Wingdings"/>
          <w:sz w:val="32"/>
          <w:szCs w:val="32"/>
        </w:rPr>
        <w:t>返还的</w:t>
      </w:r>
      <w:r>
        <w:rPr>
          <w:rFonts w:ascii="仿宋_GB2312" w:hAnsi="Times New Roman" w:eastAsia="仿宋_GB2312" w:cs="Wingdings"/>
          <w:sz w:val="32"/>
          <w:szCs w:val="32"/>
        </w:rPr>
        <w:t>就业见习补贴</w:t>
      </w:r>
      <w:r>
        <w:rPr>
          <w:rFonts w:hint="eastAsia" w:ascii="仿宋_GB2312" w:hAnsi="Times New Roman" w:eastAsia="仿宋_GB2312" w:cs="Wingdings"/>
          <w:sz w:val="32"/>
          <w:szCs w:val="32"/>
        </w:rPr>
        <w:t>。</w:t>
      </w:r>
    </w:p>
    <w:p>
      <w:pPr>
        <w:numPr>
          <w:ilvl w:val="0"/>
          <w:numId w:val="4"/>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w:t>
      </w:r>
      <w:r>
        <w:rPr>
          <w:rFonts w:ascii="仿宋_GB2312" w:hAnsi="Times New Roman" w:eastAsia="仿宋_GB2312" w:cs="Wingdings"/>
          <w:sz w:val="32"/>
          <w:szCs w:val="32"/>
        </w:rPr>
        <w:t>2189.61</w:t>
      </w:r>
      <w:r>
        <w:rPr>
          <w:rFonts w:hint="eastAsia" w:ascii="仿宋_GB2312" w:hAnsi="Times New Roman" w:eastAsia="仿宋_GB2312" w:cs="Wingdings"/>
          <w:sz w:val="32"/>
          <w:szCs w:val="32"/>
        </w:rPr>
        <w:t>万元，主</w:t>
      </w:r>
      <w:r>
        <w:rPr>
          <w:rFonts w:ascii="仿宋_GB2312" w:hAnsi="Times New Roman" w:eastAsia="仿宋_GB2312" w:cs="Wingdings"/>
          <w:sz w:val="32"/>
          <w:szCs w:val="32"/>
        </w:rPr>
        <w:t>要用于以下方面：</w:t>
      </w:r>
      <w:r>
        <w:rPr>
          <w:rFonts w:hint="eastAsia" w:ascii="仿宋_GB2312" w:hAnsi="Times New Roman" w:eastAsia="仿宋_GB2312" w:cs="Wingdings"/>
          <w:sz w:val="32"/>
          <w:szCs w:val="32"/>
        </w:rPr>
        <w:t>一般公共服务支出</w:t>
      </w:r>
      <w:r>
        <w:rPr>
          <w:rFonts w:ascii="仿宋_GB2312" w:hAnsi="Times New Roman" w:eastAsia="仿宋_GB2312" w:cs="Wingdings"/>
          <w:sz w:val="32"/>
          <w:szCs w:val="32"/>
        </w:rPr>
        <w:t>1746.42</w:t>
      </w:r>
      <w:r>
        <w:rPr>
          <w:rFonts w:hint="eastAsia" w:ascii="仿宋_GB2312" w:hAnsi="Times New Roman" w:eastAsia="仿宋_GB2312" w:cs="Wingdings"/>
          <w:sz w:val="32"/>
          <w:szCs w:val="32"/>
        </w:rPr>
        <w:t>万元，占</w:t>
      </w:r>
      <w:r>
        <w:rPr>
          <w:rFonts w:ascii="仿宋_GB2312" w:hAnsi="Times New Roman" w:eastAsia="仿宋_GB2312" w:cs="Wingdings"/>
          <w:sz w:val="32"/>
          <w:szCs w:val="32"/>
        </w:rPr>
        <w:t>79.76</w:t>
      </w:r>
      <w:r>
        <w:rPr>
          <w:rFonts w:hint="eastAsia" w:ascii="仿宋_GB2312" w:hAnsi="Times New Roman" w:eastAsia="仿宋_GB2312" w:cs="Wingdings"/>
          <w:sz w:val="32"/>
          <w:szCs w:val="32"/>
        </w:rPr>
        <w:t>%，；文化旅游</w:t>
      </w:r>
      <w:r>
        <w:rPr>
          <w:rFonts w:ascii="仿宋_GB2312" w:hAnsi="Times New Roman" w:eastAsia="仿宋_GB2312" w:cs="Wingdings"/>
          <w:sz w:val="32"/>
          <w:szCs w:val="32"/>
        </w:rPr>
        <w:t>体育与传媒</w:t>
      </w:r>
      <w:r>
        <w:rPr>
          <w:rFonts w:hint="eastAsia" w:ascii="仿宋_GB2312" w:hAnsi="Times New Roman" w:eastAsia="仿宋_GB2312" w:cs="Wingdings"/>
          <w:sz w:val="32"/>
          <w:szCs w:val="32"/>
        </w:rPr>
        <w:t>支</w:t>
      </w:r>
      <w:r>
        <w:rPr>
          <w:rFonts w:ascii="仿宋_GB2312" w:hAnsi="Times New Roman" w:eastAsia="仿宋_GB2312" w:cs="Wingdings"/>
          <w:sz w:val="32"/>
          <w:szCs w:val="32"/>
        </w:rPr>
        <w:t>出</w:t>
      </w:r>
      <w:r>
        <w:rPr>
          <w:rFonts w:hint="eastAsia" w:ascii="仿宋_GB2312" w:hAnsi="Times New Roman" w:eastAsia="仿宋_GB2312" w:cs="Wingdings"/>
          <w:sz w:val="32"/>
          <w:szCs w:val="32"/>
        </w:rPr>
        <w:t>68.98万</w:t>
      </w:r>
      <w:r>
        <w:rPr>
          <w:rFonts w:ascii="仿宋_GB2312" w:hAnsi="Times New Roman" w:eastAsia="仿宋_GB2312" w:cs="Wingdings"/>
          <w:sz w:val="32"/>
          <w:szCs w:val="32"/>
        </w:rPr>
        <w:t>元，</w:t>
      </w:r>
      <w:r>
        <w:rPr>
          <w:rFonts w:hint="eastAsia" w:ascii="仿宋_GB2312" w:hAnsi="Times New Roman" w:eastAsia="仿宋_GB2312" w:cs="Wingdings"/>
          <w:sz w:val="32"/>
          <w:szCs w:val="32"/>
        </w:rPr>
        <w:t>占</w:t>
      </w:r>
      <w:r>
        <w:rPr>
          <w:rFonts w:ascii="仿宋_GB2312" w:hAnsi="Times New Roman" w:eastAsia="仿宋_GB2312" w:cs="Wingdings"/>
          <w:sz w:val="32"/>
          <w:szCs w:val="32"/>
        </w:rPr>
        <w:t>3.15</w:t>
      </w:r>
      <w:r>
        <w:rPr>
          <w:rFonts w:hint="eastAsia" w:ascii="仿宋_GB2312" w:hAnsi="Times New Roman" w:eastAsia="仿宋_GB2312" w:cs="Wingdings"/>
          <w:sz w:val="32"/>
          <w:szCs w:val="32"/>
        </w:rPr>
        <w:t>%；社会</w:t>
      </w:r>
      <w:r>
        <w:rPr>
          <w:rFonts w:ascii="仿宋_GB2312" w:hAnsi="Times New Roman" w:eastAsia="仿宋_GB2312" w:cs="Wingdings"/>
          <w:sz w:val="32"/>
          <w:szCs w:val="32"/>
        </w:rPr>
        <w:t>保障和就业支出</w:t>
      </w:r>
      <w:r>
        <w:rPr>
          <w:rFonts w:hint="eastAsia" w:ascii="仿宋_GB2312" w:hAnsi="Times New Roman" w:eastAsia="仿宋_GB2312" w:cs="Wingdings"/>
          <w:sz w:val="32"/>
          <w:szCs w:val="32"/>
        </w:rPr>
        <w:t>224.05万</w:t>
      </w:r>
      <w:r>
        <w:rPr>
          <w:rFonts w:ascii="仿宋_GB2312" w:hAnsi="Times New Roman" w:eastAsia="仿宋_GB2312" w:cs="Wingdings"/>
          <w:sz w:val="32"/>
          <w:szCs w:val="32"/>
        </w:rPr>
        <w:t>元，</w:t>
      </w:r>
      <w:r>
        <w:rPr>
          <w:rFonts w:hint="eastAsia" w:ascii="仿宋_GB2312" w:hAnsi="Times New Roman" w:eastAsia="仿宋_GB2312" w:cs="Wingdings"/>
          <w:sz w:val="32"/>
          <w:szCs w:val="32"/>
        </w:rPr>
        <w:t>占</w:t>
      </w:r>
      <w:r>
        <w:rPr>
          <w:rFonts w:ascii="仿宋_GB2312" w:hAnsi="Times New Roman" w:eastAsia="仿宋_GB2312" w:cs="Wingdings"/>
          <w:sz w:val="32"/>
          <w:szCs w:val="32"/>
        </w:rPr>
        <w:t>10.23</w:t>
      </w:r>
      <w:r>
        <w:rPr>
          <w:rFonts w:hint="eastAsia" w:ascii="仿宋_GB2312" w:hAnsi="Times New Roman" w:eastAsia="仿宋_GB2312" w:cs="Wingdings"/>
          <w:sz w:val="32"/>
          <w:szCs w:val="32"/>
        </w:rPr>
        <w:t>%；卫生</w:t>
      </w:r>
      <w:r>
        <w:rPr>
          <w:rFonts w:ascii="仿宋_GB2312" w:hAnsi="Times New Roman" w:eastAsia="仿宋_GB2312" w:cs="Wingdings"/>
          <w:sz w:val="32"/>
          <w:szCs w:val="32"/>
        </w:rPr>
        <w:t>健康支出</w:t>
      </w:r>
      <w:r>
        <w:rPr>
          <w:rFonts w:hint="eastAsia" w:ascii="仿宋_GB2312" w:hAnsi="Times New Roman" w:eastAsia="仿宋_GB2312" w:cs="Wingdings"/>
          <w:sz w:val="32"/>
          <w:szCs w:val="32"/>
        </w:rPr>
        <w:t>89.05万</w:t>
      </w:r>
      <w:r>
        <w:rPr>
          <w:rFonts w:ascii="仿宋_GB2312" w:hAnsi="Times New Roman" w:eastAsia="仿宋_GB2312" w:cs="Wingdings"/>
          <w:sz w:val="32"/>
          <w:szCs w:val="32"/>
        </w:rPr>
        <w:t>元，</w:t>
      </w:r>
      <w:r>
        <w:rPr>
          <w:rFonts w:hint="eastAsia" w:ascii="仿宋_GB2312" w:hAnsi="Times New Roman" w:eastAsia="仿宋_GB2312" w:cs="Wingdings"/>
          <w:sz w:val="32"/>
          <w:szCs w:val="32"/>
        </w:rPr>
        <w:t>占</w:t>
      </w:r>
      <w:r>
        <w:rPr>
          <w:rFonts w:ascii="仿宋_GB2312" w:hAnsi="Times New Roman" w:eastAsia="仿宋_GB2312" w:cs="Wingdings"/>
          <w:sz w:val="32"/>
          <w:szCs w:val="32"/>
        </w:rPr>
        <w:t>4.07</w:t>
      </w:r>
      <w:r>
        <w:rPr>
          <w:rFonts w:hint="eastAsia" w:ascii="仿宋_GB2312" w:hAnsi="Times New Roman" w:eastAsia="仿宋_GB2312" w:cs="Wingdings"/>
          <w:sz w:val="32"/>
          <w:szCs w:val="32"/>
        </w:rPr>
        <w:t>%；住房保障支出</w:t>
      </w:r>
      <w:r>
        <w:rPr>
          <w:rFonts w:ascii="仿宋_GB2312" w:hAnsi="Times New Roman" w:eastAsia="仿宋_GB2312" w:cs="Wingdings"/>
          <w:sz w:val="32"/>
          <w:szCs w:val="32"/>
        </w:rPr>
        <w:t>61.11</w:t>
      </w:r>
      <w:r>
        <w:rPr>
          <w:rFonts w:hint="eastAsia" w:ascii="仿宋_GB2312" w:hAnsi="Times New Roman" w:eastAsia="仿宋_GB2312" w:cs="Wingdings"/>
          <w:sz w:val="32"/>
          <w:szCs w:val="32"/>
        </w:rPr>
        <w:t xml:space="preserve">万元，占 </w:t>
      </w:r>
      <w:r>
        <w:rPr>
          <w:rFonts w:ascii="仿宋_GB2312" w:hAnsi="Times New Roman" w:eastAsia="仿宋_GB2312" w:cs="Wingdings"/>
          <w:sz w:val="32"/>
          <w:szCs w:val="32"/>
        </w:rPr>
        <w:t>2.79</w:t>
      </w:r>
      <w:r>
        <w:rPr>
          <w:rFonts w:hint="eastAsia" w:ascii="仿宋_GB2312" w:hAnsi="Times New Roman" w:eastAsia="仿宋_GB2312" w:cs="Wingdings"/>
          <w:sz w:val="32"/>
          <w:szCs w:val="32"/>
        </w:rPr>
        <w:t>%;</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ascii="仿宋_GB2312" w:hAnsi="Times New Roman" w:eastAsia="仿宋_GB2312" w:cs="Wingdings"/>
          <w:sz w:val="32"/>
          <w:szCs w:val="32"/>
        </w:rPr>
        <w:t>1244.98</w:t>
      </w:r>
      <w:r>
        <w:rPr>
          <w:rFonts w:hint="eastAsia" w:ascii="仿宋_GB2312" w:hAnsi="Times New Roman" w:eastAsia="仿宋_GB2312" w:cs="Wingdings"/>
          <w:sz w:val="32"/>
          <w:szCs w:val="32"/>
        </w:rPr>
        <w:t>万元，其中：人员经费</w:t>
      </w:r>
      <w:r>
        <w:rPr>
          <w:rFonts w:ascii="仿宋_GB2312" w:hAnsi="Times New Roman" w:eastAsia="仿宋_GB2312" w:cs="Wingdings"/>
          <w:sz w:val="32"/>
          <w:szCs w:val="32"/>
        </w:rPr>
        <w:t>1112.52</w:t>
      </w:r>
      <w:r>
        <w:rPr>
          <w:rFonts w:hint="eastAsia" w:ascii="仿宋_GB2312" w:hAnsi="Times New Roman" w:eastAsia="仿宋_GB2312" w:cs="Wingdings"/>
          <w:sz w:val="32"/>
          <w:szCs w:val="32"/>
        </w:rPr>
        <w:t xml:space="preserve">万元，主要包括基本工资、津贴补贴、奖金、绩效工资、机关事业单位基本养老保险缴费、职业年金缴费、职工基本医疗保险缴费、公务员医疗补助缴费、住房公积金、退休费、抚恤金、奖励金、其他对个人和家庭的补助支出；公用经费 </w:t>
      </w:r>
      <w:r>
        <w:rPr>
          <w:rFonts w:ascii="仿宋_GB2312" w:hAnsi="Times New Roman" w:eastAsia="仿宋_GB2312" w:cs="Wingdings"/>
          <w:sz w:val="32"/>
          <w:szCs w:val="32"/>
        </w:rPr>
        <w:t>132.46</w:t>
      </w:r>
      <w:r>
        <w:rPr>
          <w:rFonts w:hint="eastAsia" w:ascii="仿宋_GB2312" w:hAnsi="Times New Roman" w:eastAsia="仿宋_GB2312" w:cs="Wingdings"/>
          <w:sz w:val="32"/>
          <w:szCs w:val="32"/>
        </w:rPr>
        <w:t>万元，主要包括办公费、印刷费、邮电费、差旅费、培训费、劳务费、工会经费、福利费、公务用车运行维护费、其他交通费用、其他商品和服务支出。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ascii="仿宋_GB2312" w:hAnsi="Times New Roman" w:eastAsia="仿宋_GB2312" w:cs="Wingdings"/>
          <w:sz w:val="32"/>
          <w:szCs w:val="32"/>
        </w:rPr>
        <w:t>10.9</w:t>
      </w:r>
      <w:r>
        <w:rPr>
          <w:rFonts w:hint="eastAsia" w:ascii="仿宋_GB2312" w:hAnsi="Times New Roman" w:eastAsia="仿宋_GB2312" w:cs="Wingdings"/>
          <w:sz w:val="32"/>
          <w:szCs w:val="32"/>
        </w:rPr>
        <w:t>万元，支出决算为</w:t>
      </w:r>
      <w:r>
        <w:rPr>
          <w:rFonts w:ascii="仿宋_GB2312" w:hAnsi="Times New Roman" w:eastAsia="仿宋_GB2312" w:cs="Wingdings"/>
          <w:sz w:val="32"/>
          <w:szCs w:val="32"/>
        </w:rPr>
        <w:t>6.96</w:t>
      </w:r>
      <w:r>
        <w:rPr>
          <w:rFonts w:hint="eastAsia" w:ascii="仿宋_GB2312" w:hAnsi="Times New Roman" w:eastAsia="仿宋_GB2312" w:cs="Wingdings"/>
          <w:sz w:val="32"/>
          <w:szCs w:val="32"/>
        </w:rPr>
        <w:t>万元，完成预算的</w:t>
      </w:r>
      <w:r>
        <w:rPr>
          <w:rFonts w:ascii="仿宋_GB2312" w:hAnsi="Times New Roman" w:eastAsia="仿宋_GB2312" w:cs="Wingdings"/>
          <w:sz w:val="32"/>
          <w:szCs w:val="32"/>
        </w:rPr>
        <w:t>63.85</w:t>
      </w:r>
      <w:r>
        <w:rPr>
          <w:rFonts w:hint="eastAsia" w:ascii="仿宋_GB2312" w:hAnsi="Times New Roman" w:eastAsia="仿宋_GB2312" w:cs="Wingdings"/>
          <w:sz w:val="32"/>
          <w:szCs w:val="32"/>
        </w:rPr>
        <w:t>%,较预算减少3.94万元，降低</w:t>
      </w:r>
      <w:r>
        <w:rPr>
          <w:rFonts w:ascii="仿宋_GB2312" w:hAnsi="Times New Roman" w:eastAsia="仿宋_GB2312" w:cs="Wingdings"/>
          <w:sz w:val="32"/>
          <w:szCs w:val="32"/>
        </w:rPr>
        <w:t>36.15</w:t>
      </w:r>
      <w:r>
        <w:rPr>
          <w:rFonts w:hint="eastAsia" w:ascii="仿宋_GB2312" w:hAnsi="Times New Roman" w:eastAsia="仿宋_GB2312" w:cs="Wingdings"/>
          <w:sz w:val="32"/>
          <w:szCs w:val="32"/>
        </w:rPr>
        <w:t>%，主要是公务</w:t>
      </w:r>
      <w:r>
        <w:rPr>
          <w:rFonts w:ascii="仿宋_GB2312" w:hAnsi="Times New Roman" w:eastAsia="仿宋_GB2312" w:cs="Wingdings"/>
          <w:sz w:val="32"/>
          <w:szCs w:val="32"/>
        </w:rPr>
        <w:t>接待费未形成支出，公务用车运行维护费</w:t>
      </w:r>
      <w:r>
        <w:rPr>
          <w:rFonts w:hint="eastAsia" w:ascii="仿宋_GB2312" w:hAnsi="Times New Roman" w:eastAsia="仿宋_GB2312" w:cs="Wingdings"/>
          <w:sz w:val="32"/>
          <w:szCs w:val="32"/>
        </w:rPr>
        <w:t>降</w:t>
      </w:r>
      <w:r>
        <w:rPr>
          <w:rFonts w:ascii="仿宋_GB2312" w:hAnsi="Times New Roman" w:eastAsia="仿宋_GB2312" w:cs="Wingdings"/>
          <w:sz w:val="32"/>
          <w:szCs w:val="32"/>
        </w:rPr>
        <w:t>低</w:t>
      </w:r>
      <w:r>
        <w:rPr>
          <w:rFonts w:hint="eastAsia" w:ascii="仿宋_GB2312" w:hAnsi="Times New Roman" w:eastAsia="仿宋_GB2312" w:cs="Wingdings"/>
          <w:sz w:val="32"/>
          <w:szCs w:val="32"/>
        </w:rPr>
        <w:t>3.18万</w:t>
      </w:r>
      <w:r>
        <w:rPr>
          <w:rFonts w:ascii="仿宋_GB2312" w:hAnsi="Times New Roman" w:eastAsia="仿宋_GB2312" w:cs="Wingdings"/>
          <w:sz w:val="32"/>
          <w:szCs w:val="32"/>
        </w:rPr>
        <w:t>元</w:t>
      </w:r>
      <w:r>
        <w:rPr>
          <w:rFonts w:hint="eastAsia" w:ascii="仿宋_GB2312" w:hAnsi="Times New Roman" w:eastAsia="仿宋_GB2312" w:cs="Wingdings"/>
          <w:sz w:val="32"/>
          <w:szCs w:val="32"/>
        </w:rPr>
        <w:t>；较2019年度减少3</w:t>
      </w:r>
      <w:r>
        <w:rPr>
          <w:rFonts w:ascii="仿宋_GB2312" w:hAnsi="Times New Roman" w:eastAsia="仿宋_GB2312" w:cs="Wingdings"/>
          <w:sz w:val="32"/>
          <w:szCs w:val="32"/>
        </w:rPr>
        <w:t>.8</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35.32</w:t>
      </w:r>
      <w:r>
        <w:rPr>
          <w:rFonts w:hint="eastAsia" w:ascii="仿宋_GB2312" w:hAnsi="Times New Roman" w:eastAsia="仿宋_GB2312" w:cs="Wingdings"/>
          <w:sz w:val="32"/>
          <w:szCs w:val="32"/>
        </w:rPr>
        <w:t>%，主要是公务</w:t>
      </w:r>
      <w:r>
        <w:rPr>
          <w:rFonts w:ascii="仿宋_GB2312" w:hAnsi="Times New Roman" w:eastAsia="仿宋_GB2312" w:cs="Wingdings"/>
          <w:sz w:val="32"/>
          <w:szCs w:val="32"/>
        </w:rPr>
        <w:t>用车运行维护费降低</w:t>
      </w:r>
      <w:r>
        <w:rPr>
          <w:rFonts w:hint="eastAsia" w:ascii="仿宋_GB2312" w:hAnsi="Times New Roman" w:eastAsia="仿宋_GB2312" w:cs="Wingdings"/>
          <w:sz w:val="32"/>
          <w:szCs w:val="32"/>
        </w:rPr>
        <w:t>3.8万</w:t>
      </w:r>
      <w:r>
        <w:rPr>
          <w:rFonts w:ascii="仿宋_GB2312" w:hAnsi="Times New Roman" w:eastAsia="仿宋_GB2312" w:cs="Wingdings"/>
          <w:sz w:val="32"/>
          <w:szCs w:val="32"/>
        </w:rPr>
        <w:t>元</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sz w:val="32"/>
          <w:szCs w:val="32"/>
        </w:rPr>
        <w:t>本部门2020年因公出国（境）费支出</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万元。</w:t>
      </w:r>
      <w:r>
        <w:rPr>
          <w:rFonts w:hint="eastAsia" w:ascii="仿宋_GB2312" w:hAnsi="Times New Roman" w:eastAsia="仿宋_GB2312" w:cs="Wingdings"/>
          <w:sz w:val="32"/>
          <w:szCs w:val="32"/>
        </w:rPr>
        <w:t>因公出国（境）团组</w:t>
      </w:r>
      <w:r>
        <w:rPr>
          <w:rFonts w:ascii="仿宋_GB2312" w:hAnsi="Times New Roman" w:eastAsia="仿宋_GB2312" w:cs="Wingdings"/>
          <w:sz w:val="32"/>
          <w:szCs w:val="32"/>
        </w:rPr>
        <w:t>0</w:t>
      </w:r>
      <w:r>
        <w:rPr>
          <w:rFonts w:hint="eastAsia" w:ascii="仿宋_GB2312" w:hAnsi="Times New Roman" w:eastAsia="仿宋_GB2312" w:cs="Wingdings"/>
          <w:sz w:val="32"/>
          <w:szCs w:val="32"/>
        </w:rPr>
        <w:t>个、共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人、参加其他单位组织的因公出国（境）团组</w:t>
      </w:r>
      <w:r>
        <w:rPr>
          <w:rFonts w:ascii="仿宋_GB2312" w:hAnsi="Times New Roman" w:eastAsia="仿宋_GB2312" w:cs="Wingdings"/>
          <w:sz w:val="32"/>
          <w:szCs w:val="32"/>
        </w:rPr>
        <w:t>0</w:t>
      </w:r>
      <w:r>
        <w:rPr>
          <w:rFonts w:hint="eastAsia" w:ascii="仿宋_GB2312" w:hAnsi="Times New Roman" w:eastAsia="仿宋_GB2312" w:cs="Wingdings"/>
          <w:sz w:val="32"/>
          <w:szCs w:val="32"/>
        </w:rPr>
        <w:t>个、共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人。因公出国（境）费支出预算0万元；上年此</w:t>
      </w:r>
      <w:r>
        <w:rPr>
          <w:rFonts w:ascii="仿宋_GB2312" w:hAnsi="Times New Roman" w:eastAsia="仿宋_GB2312" w:cs="Wingdings"/>
          <w:sz w:val="32"/>
          <w:szCs w:val="32"/>
        </w:rPr>
        <w:t>项费用经费预算</w:t>
      </w:r>
      <w:r>
        <w:rPr>
          <w:rFonts w:hint="eastAsia" w:ascii="仿宋_GB2312" w:hAnsi="Times New Roman" w:eastAsia="仿宋_GB2312" w:cs="Wingdings"/>
          <w:sz w:val="32"/>
          <w:szCs w:val="32"/>
        </w:rPr>
        <w:t>0万元。</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w:t>
      </w:r>
      <w:r>
        <w:rPr>
          <w:rFonts w:ascii="仿宋_GB2312" w:hAnsi="仿宋_GB2312" w:eastAsia="仿宋_GB2312" w:cs="仿宋_GB2312"/>
          <w:sz w:val="32"/>
          <w:szCs w:val="32"/>
        </w:rPr>
        <w:t>6.96</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68.63</w:t>
      </w:r>
      <w:r>
        <w:rPr>
          <w:rFonts w:hint="eastAsia" w:ascii="仿宋_GB2312" w:hAnsi="仿宋_GB2312" w:eastAsia="仿宋_GB2312" w:cs="仿宋_GB2312"/>
          <w:sz w:val="32"/>
          <w:szCs w:val="32"/>
        </w:rPr>
        <w:t>%，</w:t>
      </w:r>
      <w:r>
        <w:rPr>
          <w:rFonts w:hint="eastAsia" w:ascii="仿宋_GB2312" w:hAnsi="Times New Roman" w:eastAsia="仿宋_GB2312" w:cs="Wingdings"/>
          <w:sz w:val="32"/>
          <w:szCs w:val="32"/>
        </w:rPr>
        <w:t>较预算减少3</w:t>
      </w:r>
      <w:r>
        <w:rPr>
          <w:rFonts w:ascii="仿宋_GB2312" w:hAnsi="Times New Roman" w:eastAsia="仿宋_GB2312" w:cs="Wingdings"/>
          <w:sz w:val="32"/>
          <w:szCs w:val="32"/>
        </w:rPr>
        <w:t>.18</w:t>
      </w:r>
      <w:r>
        <w:rPr>
          <w:rFonts w:hint="eastAsia" w:ascii="仿宋_GB2312" w:hAnsi="Times New Roman" w:eastAsia="仿宋_GB2312" w:cs="Wingdings"/>
          <w:sz w:val="32"/>
          <w:szCs w:val="32"/>
        </w:rPr>
        <w:t>万元，降低3</w:t>
      </w:r>
      <w:r>
        <w:rPr>
          <w:rFonts w:ascii="仿宋_GB2312" w:hAnsi="Times New Roman" w:eastAsia="仿宋_GB2312" w:cs="Wingdings"/>
          <w:sz w:val="32"/>
          <w:szCs w:val="32"/>
        </w:rPr>
        <w:t>5.32</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rPr>
        <w:t>厉行节约，减少车辆运行</w:t>
      </w:r>
      <w:r>
        <w:rPr>
          <w:rFonts w:ascii="仿宋_GB2312" w:hAnsi="Times New Roman" w:eastAsia="仿宋_GB2312" w:cs="DengXian-Regular"/>
          <w:sz w:val="32"/>
          <w:szCs w:val="32"/>
        </w:rPr>
        <w:t>维护费用</w:t>
      </w:r>
      <w:r>
        <w:rPr>
          <w:rFonts w:hint="eastAsia" w:ascii="仿宋_GB2312" w:hAnsi="Times New Roman" w:eastAsia="仿宋_GB2312" w:cs="DengXian-Regular"/>
          <w:sz w:val="32"/>
          <w:szCs w:val="32"/>
        </w:rPr>
        <w:t>支出</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ascii="仿宋_GB2312" w:hAnsi="Times New Roman" w:eastAsia="仿宋_GB2312" w:cs="Wingdings"/>
          <w:sz w:val="32"/>
          <w:szCs w:val="32"/>
        </w:rPr>
        <w:t>0</w:t>
      </w:r>
      <w:r>
        <w:rPr>
          <w:rFonts w:hint="eastAsia" w:ascii="仿宋_GB2312" w:hAnsi="Times New Roman" w:eastAsia="仿宋_GB2312" w:cs="Wingdings"/>
          <w:sz w:val="32"/>
          <w:szCs w:val="32"/>
        </w:rPr>
        <w:t>辆，发生“公务用车购置”经费支出</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万元。2</w:t>
      </w:r>
      <w:r>
        <w:rPr>
          <w:rFonts w:ascii="仿宋_GB2312" w:hAnsi="Times New Roman" w:eastAsia="仿宋_GB2312" w:cs="Wingdings"/>
          <w:sz w:val="32"/>
          <w:szCs w:val="32"/>
        </w:rPr>
        <w:t>019</w:t>
      </w:r>
      <w:r>
        <w:rPr>
          <w:rFonts w:hint="eastAsia" w:ascii="仿宋_GB2312" w:hAnsi="Times New Roman" w:eastAsia="仿宋_GB2312" w:cs="Wingdings"/>
          <w:sz w:val="32"/>
          <w:szCs w:val="32"/>
        </w:rPr>
        <w:t>年</w:t>
      </w:r>
      <w:r>
        <w:rPr>
          <w:rFonts w:ascii="仿宋_GB2312" w:hAnsi="Times New Roman" w:eastAsia="仿宋_GB2312" w:cs="Wingdings"/>
          <w:sz w:val="32"/>
          <w:szCs w:val="32"/>
        </w:rPr>
        <w:t>度</w:t>
      </w:r>
      <w:r>
        <w:rPr>
          <w:rFonts w:hint="eastAsia" w:ascii="仿宋_GB2312" w:hAnsi="Times New Roman" w:eastAsia="仿宋_GB2312" w:cs="Wingdings"/>
          <w:sz w:val="32"/>
          <w:szCs w:val="32"/>
        </w:rPr>
        <w:t>公务用车购置费预算为</w:t>
      </w:r>
      <w:r>
        <w:rPr>
          <w:rFonts w:ascii="仿宋_GB2312" w:hAnsi="Times New Roman" w:eastAsia="仿宋_GB2312" w:cs="Wingdings"/>
          <w:sz w:val="32"/>
          <w:szCs w:val="32"/>
        </w:rPr>
        <w:t>零</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ascii="仿宋_GB2312" w:hAnsi="Times New Roman" w:eastAsia="仿宋_GB2312" w:cs="Wingdings"/>
          <w:sz w:val="32"/>
          <w:szCs w:val="32"/>
        </w:rPr>
        <w:t>5</w:t>
      </w:r>
      <w:r>
        <w:rPr>
          <w:rFonts w:hint="eastAsia" w:ascii="仿宋_GB2312" w:hAnsi="Times New Roman" w:eastAsia="仿宋_GB2312" w:cs="Wingdings"/>
          <w:sz w:val="32"/>
          <w:szCs w:val="32"/>
        </w:rPr>
        <w:t>辆,发生运行维护费支出</w:t>
      </w:r>
      <w:r>
        <w:rPr>
          <w:rFonts w:ascii="仿宋_GB2312" w:hAnsi="Times New Roman" w:eastAsia="仿宋_GB2312" w:cs="Wingdings"/>
          <w:sz w:val="32"/>
          <w:szCs w:val="32"/>
        </w:rPr>
        <w:t>6.96</w:t>
      </w:r>
      <w:r>
        <w:rPr>
          <w:rFonts w:hint="eastAsia" w:ascii="仿宋_GB2312" w:hAnsi="Times New Roman" w:eastAsia="仿宋_GB2312" w:cs="Wingdings"/>
          <w:sz w:val="32"/>
          <w:szCs w:val="32"/>
        </w:rPr>
        <w:t>万元。公车运行维护费支出较预算减少3</w:t>
      </w:r>
      <w:r>
        <w:rPr>
          <w:rFonts w:ascii="仿宋_GB2312" w:hAnsi="Times New Roman" w:eastAsia="仿宋_GB2312" w:cs="Wingdings"/>
          <w:sz w:val="32"/>
          <w:szCs w:val="32"/>
        </w:rPr>
        <w:t>.18</w:t>
      </w:r>
      <w:r>
        <w:rPr>
          <w:rFonts w:hint="eastAsia" w:ascii="仿宋_GB2312" w:hAnsi="Times New Roman" w:eastAsia="仿宋_GB2312" w:cs="Wingdings"/>
          <w:sz w:val="32"/>
          <w:szCs w:val="32"/>
        </w:rPr>
        <w:t>万元，降低3</w:t>
      </w:r>
      <w:r>
        <w:rPr>
          <w:rFonts w:ascii="仿宋_GB2312" w:hAnsi="Times New Roman" w:eastAsia="仿宋_GB2312" w:cs="Wingdings"/>
          <w:sz w:val="32"/>
          <w:szCs w:val="32"/>
        </w:rPr>
        <w:t>5.32</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rPr>
        <w:t>厉行节约，减少车辆运行</w:t>
      </w:r>
      <w:r>
        <w:rPr>
          <w:rFonts w:ascii="仿宋_GB2312" w:hAnsi="Times New Roman" w:eastAsia="仿宋_GB2312" w:cs="DengXian-Regular"/>
          <w:sz w:val="32"/>
          <w:szCs w:val="32"/>
        </w:rPr>
        <w:t>维护费用</w:t>
      </w:r>
      <w:r>
        <w:rPr>
          <w:rFonts w:hint="eastAsia" w:ascii="仿宋_GB2312" w:hAnsi="Times New Roman" w:eastAsia="仿宋_GB2312" w:cs="DengXian-Regular"/>
          <w:sz w:val="32"/>
          <w:szCs w:val="32"/>
        </w:rPr>
        <w:t>支出。</w:t>
      </w:r>
    </w:p>
    <w:p>
      <w:pPr>
        <w:adjustRightInd w:val="0"/>
        <w:snapToGrid w:val="0"/>
        <w:spacing w:line="60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本部门2020年公务接待费支出</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%。发生</w:t>
      </w:r>
      <w:r>
        <w:rPr>
          <w:rFonts w:hint="eastAsia" w:ascii="仿宋_GB2312" w:hAnsi="Times New Roman" w:eastAsia="仿宋_GB2312" w:cs="Wingdings"/>
          <w:sz w:val="32"/>
          <w:szCs w:val="32"/>
        </w:rPr>
        <w:t>公务接待共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批次、</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人次。公务接待费支出较预算减少</w:t>
      </w:r>
      <w:r>
        <w:rPr>
          <w:rFonts w:ascii="仿宋_GB2312" w:hAnsi="Times New Roman" w:eastAsia="仿宋_GB2312" w:cs="Wingdings"/>
          <w:sz w:val="32"/>
          <w:szCs w:val="32"/>
        </w:rPr>
        <w:t>0.76</w:t>
      </w:r>
      <w:r>
        <w:rPr>
          <w:rFonts w:hint="eastAsia" w:ascii="仿宋_GB2312" w:hAnsi="Times New Roman" w:eastAsia="仿宋_GB2312" w:cs="Wingdings"/>
          <w:sz w:val="32"/>
          <w:szCs w:val="32"/>
        </w:rPr>
        <w:t>万元，降低1</w:t>
      </w:r>
      <w:r>
        <w:rPr>
          <w:rFonts w:ascii="仿宋_GB2312" w:hAnsi="Times New Roman" w:eastAsia="仿宋_GB2312" w:cs="Wingdings"/>
          <w:sz w:val="32"/>
          <w:szCs w:val="32"/>
        </w:rPr>
        <w:t>00</w:t>
      </w:r>
      <w:r>
        <w:rPr>
          <w:rFonts w:hint="eastAsia" w:ascii="仿宋_GB2312" w:hAnsi="Times New Roman" w:eastAsia="仿宋_GB2312" w:cs="Wingdings"/>
          <w:sz w:val="32"/>
          <w:szCs w:val="32"/>
        </w:rPr>
        <w:t>%,</w:t>
      </w:r>
      <w:r>
        <w:rPr>
          <w:rFonts w:hint="eastAsia" w:ascii="仿宋_GB2312" w:hAnsi="Times New Roman" w:eastAsia="仿宋_GB2312" w:cs="DengXian-Regular"/>
          <w:sz w:val="32"/>
          <w:szCs w:val="32"/>
        </w:rPr>
        <w:t>主要是本部门20</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rPr>
        <w:t>年度厉行节约未产生公务接待费支出</w:t>
      </w:r>
      <w:r>
        <w:rPr>
          <w:rFonts w:hint="eastAsia" w:ascii="楷体_GB2312" w:hAnsi="Times New Roman" w:eastAsia="楷体_GB2312" w:cs="DengXian-Bold"/>
          <w:b/>
          <w:bCs/>
          <w:sz w:val="32"/>
          <w:szCs w:val="32"/>
        </w:rPr>
        <w:t>。</w:t>
      </w:r>
      <w:r>
        <w:rPr>
          <w:rFonts w:hint="eastAsia" w:ascii="仿宋_GB2312" w:hAnsi="Times New Roman" w:eastAsia="仿宋_GB2312" w:cs="DengXian-Regular"/>
          <w:sz w:val="32"/>
          <w:szCs w:val="32"/>
        </w:rPr>
        <w:t>较上年度减少0.76万元，降低100%,主要是未发生公务接待费用。</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根据预算绩效管理要求，本部门组织对2020年度项目支出全面开展绩效自评，其</w:t>
      </w:r>
      <w:r>
        <w:rPr>
          <w:rFonts w:ascii="仿宋_GB2312" w:hAnsi="仿宋_GB2312" w:eastAsia="仿宋_GB2312" w:cs="仿宋_GB2312"/>
          <w:sz w:val="32"/>
          <w:szCs w:val="32"/>
        </w:rPr>
        <w:t>中</w:t>
      </w:r>
      <w:r>
        <w:rPr>
          <w:rFonts w:hint="eastAsia" w:ascii="仿宋_GB2312" w:hAnsi="仿宋_GB2312" w:eastAsia="仿宋_GB2312" w:cs="仿宋_GB2312"/>
          <w:sz w:val="32"/>
          <w:szCs w:val="32"/>
        </w:rPr>
        <w:t>一</w:t>
      </w:r>
      <w:r>
        <w:rPr>
          <w:rFonts w:ascii="仿宋_GB2312" w:hAnsi="仿宋_GB2312" w:eastAsia="仿宋_GB2312" w:cs="仿宋_GB2312"/>
          <w:sz w:val="32"/>
          <w:szCs w:val="32"/>
        </w:rPr>
        <w:t>般公</w:t>
      </w:r>
      <w:r>
        <w:rPr>
          <w:rFonts w:hint="eastAsia" w:ascii="仿宋_GB2312" w:hAnsi="仿宋_GB2312" w:eastAsia="仿宋_GB2312" w:cs="仿宋_GB2312"/>
          <w:sz w:val="32"/>
          <w:szCs w:val="32"/>
        </w:rPr>
        <w:t>共预算</w:t>
      </w:r>
      <w:r>
        <w:rPr>
          <w:rFonts w:ascii="仿宋_GB2312" w:hAnsi="仿宋_GB2312" w:eastAsia="仿宋_GB2312" w:cs="仿宋_GB2312"/>
          <w:sz w:val="32"/>
          <w:szCs w:val="32"/>
        </w:rPr>
        <w:t>财政拨款项目</w:t>
      </w:r>
      <w:r>
        <w:rPr>
          <w:rFonts w:hint="eastAsia" w:ascii="仿宋_GB2312" w:hAnsi="仿宋_GB2312" w:eastAsia="仿宋_GB2312" w:cs="仿宋_GB2312"/>
          <w:sz w:val="32"/>
          <w:szCs w:val="32"/>
        </w:rPr>
        <w:t>109个</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共</w:t>
      </w:r>
      <w:r>
        <w:rPr>
          <w:rFonts w:ascii="仿宋_GB2312" w:hAnsi="仿宋_GB2312" w:eastAsia="仿宋_GB2312" w:cs="仿宋_GB2312"/>
          <w:sz w:val="32"/>
          <w:szCs w:val="32"/>
        </w:rPr>
        <w:t>涉及资金</w:t>
      </w:r>
      <w:r>
        <w:rPr>
          <w:rFonts w:hint="eastAsia" w:ascii="仿宋_GB2312" w:hAnsi="仿宋_GB2312" w:eastAsia="仿宋_GB2312" w:cs="仿宋_GB2312"/>
          <w:sz w:val="32"/>
          <w:szCs w:val="32"/>
        </w:rPr>
        <w:t>944.62万</w:t>
      </w:r>
      <w:r>
        <w:rPr>
          <w:rFonts w:ascii="仿宋_GB2312" w:hAnsi="仿宋_GB2312" w:eastAsia="仿宋_GB2312" w:cs="仿宋_GB2312"/>
          <w:sz w:val="32"/>
          <w:szCs w:val="32"/>
        </w:rPr>
        <w:t>元</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占一般公共预算项目支出总额的</w:t>
      </w:r>
      <w:r>
        <w:rPr>
          <w:rFonts w:hint="eastAsia" w:ascii="仿宋_GB2312" w:hAnsi="仿宋_GB2312" w:eastAsia="仿宋_GB2312" w:cs="仿宋_GB2312"/>
          <w:sz w:val="32"/>
          <w:szCs w:val="32"/>
        </w:rPr>
        <w:t>100%。组织对工</w:t>
      </w:r>
      <w:r>
        <w:rPr>
          <w:rFonts w:ascii="仿宋_GB2312" w:hAnsi="仿宋_GB2312" w:eastAsia="仿宋_GB2312" w:cs="仿宋_GB2312"/>
          <w:sz w:val="32"/>
          <w:szCs w:val="32"/>
        </w:rPr>
        <w:t>委办</w:t>
      </w:r>
      <w:r>
        <w:rPr>
          <w:rFonts w:hint="eastAsia" w:ascii="仿宋_GB2312" w:hAnsi="仿宋_GB2312" w:eastAsia="仿宋_GB2312" w:cs="仿宋_GB2312"/>
          <w:sz w:val="32"/>
          <w:szCs w:val="32"/>
        </w:rPr>
        <w:t>109个</w:t>
      </w:r>
      <w:r>
        <w:rPr>
          <w:rFonts w:ascii="仿宋_GB2312" w:hAnsi="仿宋_GB2312" w:eastAsia="仿宋_GB2312" w:cs="仿宋_GB2312"/>
          <w:sz w:val="32"/>
          <w:szCs w:val="32"/>
        </w:rPr>
        <w:t>项目开展了</w:t>
      </w:r>
      <w:r>
        <w:rPr>
          <w:rFonts w:hint="eastAsia" w:ascii="仿宋_GB2312" w:hAnsi="仿宋_GB2312" w:eastAsia="仿宋_GB2312" w:cs="仿宋_GB2312"/>
          <w:sz w:val="32"/>
          <w:szCs w:val="32"/>
        </w:rPr>
        <w:t>部</w:t>
      </w:r>
      <w:r>
        <w:rPr>
          <w:rFonts w:ascii="仿宋_GB2312" w:hAnsi="仿宋_GB2312" w:eastAsia="仿宋_GB2312" w:cs="仿宋_GB2312"/>
          <w:sz w:val="32"/>
          <w:szCs w:val="32"/>
        </w:rPr>
        <w:t>门绩效评价，涉及资金</w:t>
      </w:r>
      <w:r>
        <w:rPr>
          <w:rFonts w:hint="eastAsia" w:ascii="仿宋_GB2312" w:hAnsi="仿宋_GB2312" w:eastAsia="仿宋_GB2312" w:cs="仿宋_GB2312"/>
          <w:sz w:val="32"/>
          <w:szCs w:val="32"/>
        </w:rPr>
        <w:t>944.62万</w:t>
      </w:r>
      <w:r>
        <w:rPr>
          <w:rFonts w:ascii="仿宋_GB2312" w:hAnsi="仿宋_GB2312" w:eastAsia="仿宋_GB2312" w:cs="仿宋_GB2312"/>
          <w:sz w:val="32"/>
          <w:szCs w:val="32"/>
        </w:rPr>
        <w:t>元，</w:t>
      </w:r>
      <w:r>
        <w:rPr>
          <w:rFonts w:hint="eastAsia" w:ascii="仿宋_GB2312" w:hAnsi="仿宋_GB2312" w:eastAsia="仿宋_GB2312" w:cs="仿宋_GB2312"/>
          <w:sz w:val="32"/>
          <w:szCs w:val="32"/>
        </w:rPr>
        <w:t>实现了</w:t>
      </w:r>
      <w:r>
        <w:rPr>
          <w:rFonts w:ascii="仿宋_GB2312" w:hAnsi="仿宋_GB2312" w:eastAsia="仿宋_GB2312" w:cs="仿宋_GB2312"/>
          <w:sz w:val="32"/>
          <w:szCs w:val="32"/>
        </w:rPr>
        <w:t>项目绩效自评</w:t>
      </w:r>
      <w:r>
        <w:rPr>
          <w:rFonts w:hint="eastAsia" w:ascii="仿宋_GB2312" w:hAnsi="仿宋_GB2312" w:eastAsia="仿宋_GB2312" w:cs="仿宋_GB2312"/>
          <w:sz w:val="32"/>
          <w:szCs w:val="32"/>
        </w:rPr>
        <w:t>“全覆盖”。从项目</w:t>
      </w:r>
      <w:r>
        <w:rPr>
          <w:rFonts w:ascii="仿宋_GB2312" w:hAnsi="仿宋_GB2312" w:eastAsia="仿宋_GB2312" w:cs="仿宋_GB2312"/>
          <w:sz w:val="32"/>
          <w:szCs w:val="32"/>
        </w:rPr>
        <w:t>评价来年地，各项目支出均控制在预算以内，并较好地完成了绩效目标。</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本部门在今年部门决算公开中反映2020年</w:t>
      </w:r>
      <w:r>
        <w:rPr>
          <w:rFonts w:ascii="仿宋_GB2312" w:hAnsi="仿宋_GB2312" w:eastAsia="仿宋_GB2312" w:cs="仿宋_GB2312"/>
          <w:sz w:val="32"/>
          <w:szCs w:val="32"/>
        </w:rPr>
        <w:t>度全部</w:t>
      </w:r>
      <w:r>
        <w:rPr>
          <w:rFonts w:hint="eastAsia" w:ascii="仿宋_GB2312" w:hAnsi="仿宋_GB2312" w:eastAsia="仿宋_GB2312" w:cs="仿宋_GB2312"/>
          <w:sz w:val="32"/>
          <w:szCs w:val="32"/>
        </w:rPr>
        <w:t>10</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个</w:t>
      </w:r>
      <w:r>
        <w:rPr>
          <w:rFonts w:ascii="仿宋_GB2312" w:hAnsi="仿宋_GB2312" w:eastAsia="仿宋_GB2312" w:cs="仿宋_GB2312"/>
          <w:sz w:val="32"/>
          <w:szCs w:val="32"/>
        </w:rPr>
        <w:t>项目绩效自评结果。</w:t>
      </w:r>
    </w:p>
    <w:tbl>
      <w:tblPr>
        <w:tblStyle w:val="6"/>
        <w:tblW w:w="8400" w:type="dxa"/>
        <w:tblInd w:w="108" w:type="dxa"/>
        <w:tblLayout w:type="autofit"/>
        <w:tblCellMar>
          <w:top w:w="0" w:type="dxa"/>
          <w:left w:w="108" w:type="dxa"/>
          <w:bottom w:w="0" w:type="dxa"/>
          <w:right w:w="108" w:type="dxa"/>
        </w:tblCellMar>
      </w:tblPr>
      <w:tblGrid>
        <w:gridCol w:w="680"/>
        <w:gridCol w:w="3600"/>
        <w:gridCol w:w="1300"/>
        <w:gridCol w:w="1060"/>
        <w:gridCol w:w="940"/>
        <w:gridCol w:w="820"/>
      </w:tblGrid>
      <w:tr>
        <w:tblPrEx>
          <w:tblCellMar>
            <w:top w:w="0" w:type="dxa"/>
            <w:left w:w="108" w:type="dxa"/>
            <w:bottom w:w="0" w:type="dxa"/>
            <w:right w:w="108" w:type="dxa"/>
          </w:tblCellMar>
        </w:tblPrEx>
        <w:trPr>
          <w:trHeight w:val="300" w:hRule="atLeast"/>
        </w:trPr>
        <w:tc>
          <w:tcPr>
            <w:tcW w:w="8400" w:type="dxa"/>
            <w:gridSpan w:val="6"/>
            <w:tcBorders>
              <w:top w:val="nil"/>
              <w:left w:val="nil"/>
              <w:bottom w:val="nil"/>
              <w:right w:val="nil"/>
            </w:tcBorders>
            <w:shd w:val="clear" w:color="auto" w:fill="auto"/>
            <w:vAlign w:val="center"/>
          </w:tcPr>
          <w:p>
            <w:pPr>
              <w:widowControl/>
              <w:jc w:val="center"/>
              <w:rPr>
                <w:rFonts w:ascii="黑体" w:hAnsi="黑体" w:eastAsia="黑体" w:cs="宋体"/>
                <w:color w:val="000000"/>
                <w:kern w:val="0"/>
                <w:sz w:val="28"/>
                <w:szCs w:val="28"/>
              </w:rPr>
            </w:pPr>
            <w:r>
              <w:rPr>
                <w:rFonts w:hint="eastAsia" w:ascii="黑体" w:hAnsi="黑体" w:eastAsia="黑体" w:cs="宋体"/>
                <w:color w:val="000000"/>
                <w:kern w:val="0"/>
                <w:sz w:val="28"/>
                <w:szCs w:val="28"/>
              </w:rPr>
              <w:t>区级部门预算项目绩效自评情况汇总表</w:t>
            </w:r>
          </w:p>
        </w:tc>
      </w:tr>
      <w:tr>
        <w:tblPrEx>
          <w:tblCellMar>
            <w:top w:w="0" w:type="dxa"/>
            <w:left w:w="108" w:type="dxa"/>
            <w:bottom w:w="0" w:type="dxa"/>
            <w:right w:w="108" w:type="dxa"/>
          </w:tblCellMar>
        </w:tblPrEx>
        <w:trPr>
          <w:trHeight w:val="54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序号</w:t>
            </w:r>
          </w:p>
        </w:tc>
        <w:tc>
          <w:tcPr>
            <w:tcW w:w="3600"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项目名称</w:t>
            </w:r>
          </w:p>
        </w:tc>
        <w:tc>
          <w:tcPr>
            <w:tcW w:w="13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预算金额（万元）</w:t>
            </w:r>
          </w:p>
        </w:tc>
        <w:tc>
          <w:tcPr>
            <w:tcW w:w="10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主管部门（单位）</w:t>
            </w:r>
          </w:p>
        </w:tc>
        <w:tc>
          <w:tcPr>
            <w:tcW w:w="9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自评得分</w:t>
            </w:r>
          </w:p>
        </w:tc>
        <w:tc>
          <w:tcPr>
            <w:tcW w:w="8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自评结果</w:t>
            </w:r>
          </w:p>
        </w:tc>
      </w:tr>
      <w:tr>
        <w:tblPrEx>
          <w:tblCellMar>
            <w:top w:w="0" w:type="dxa"/>
            <w:left w:w="108" w:type="dxa"/>
            <w:bottom w:w="0" w:type="dxa"/>
            <w:right w:w="108" w:type="dxa"/>
          </w:tblCellMar>
        </w:tblPrEx>
        <w:trPr>
          <w:trHeight w:val="24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宣传部社会宣传经费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7.00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4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2</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宣传部党报党刊征订费用</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20.00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93</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4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3</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宣传部中心组理论学习经费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6.00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4</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宣传部意识形态工作经费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30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5</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宣传部网信工作经费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3.20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优</w:t>
            </w:r>
          </w:p>
        </w:tc>
      </w:tr>
      <w:tr>
        <w:trPr>
          <w:trHeight w:val="30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6</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宣传部扫黄打非经费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91</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7</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《秦皇岛壮丽山河》之《丰碑》开发区分卷经费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18.81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8</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宣传部精神文明建设活动经费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4.00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9</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公共文化服务体系区级配套资金(含农村文化建设)</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19.14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94</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10</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宣传部追加老电影放映员生活补助经费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0.43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11</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秦财教[2019]195号提前下达2020年原乡镇（公社）电影放映员生活补助市级配套资金</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0.26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12</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农家书屋配套报刊征订费(含农村文化建设)</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4.60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13</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宣传部新闻出版经费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42.00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86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良</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14</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秦财教[2019]211号提前下达2020年省级公共文化服务体系建设补助资金（第二批）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0.17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15</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文化管理员财政补贴</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16.56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92</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16</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秦财教[2019]216号提前下达2020年中央补助地方公共文化服务体系建设专项资金</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19.14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92</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17</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秦财教[2020]527号2020年中央补助地方国家电影事业发展专项资金</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9.00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18</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秦财教[2019] 188号提前下达2020年省级国家电影事业发展专项资金</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15.00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19</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党建工作部追加创建国家卫生城市宣传费用</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5.15</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20</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党建工作部追加支付开发区“突出贡献奖”音、视频摄制费用</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5.00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21</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宣传部追加全区公益广告整治费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16.09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94</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22</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2018年创建全国文明城市宣传氛围营造</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50.00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23</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道德模范平民偶像慰问金</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0.25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24</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工委宣传部追加2017年创城剩余未付款</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78.19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98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25</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党建工作部追加2021年重点党报党刊订阅费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228.24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26</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宣传部关于新型冠状病毒疫情防控社会宣传费用</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16.36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27</w:t>
            </w:r>
          </w:p>
        </w:tc>
        <w:tc>
          <w:tcPr>
            <w:tcW w:w="3600" w:type="dxa"/>
            <w:tcBorders>
              <w:top w:val="nil"/>
              <w:left w:val="nil"/>
              <w:bottom w:val="single" w:color="auto" w:sz="4" w:space="0"/>
              <w:right w:val="single" w:color="auto" w:sz="4" w:space="0"/>
            </w:tcBorders>
            <w:shd w:val="clear" w:color="000000" w:fill="FFFFFF"/>
            <w:noWrap/>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企业工委非公企业党建示范点建设经费</w:t>
            </w:r>
          </w:p>
        </w:tc>
        <w:tc>
          <w:tcPr>
            <w:tcW w:w="13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6.50</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98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28</w:t>
            </w:r>
          </w:p>
        </w:tc>
        <w:tc>
          <w:tcPr>
            <w:tcW w:w="3600" w:type="dxa"/>
            <w:tcBorders>
              <w:top w:val="nil"/>
              <w:left w:val="nil"/>
              <w:bottom w:val="single" w:color="auto" w:sz="4" w:space="0"/>
              <w:right w:val="single" w:color="auto" w:sz="4" w:space="0"/>
            </w:tcBorders>
            <w:shd w:val="clear" w:color="000000" w:fill="FFFFFF"/>
            <w:noWrap/>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企业工委非公企业党组织书记培训费</w:t>
            </w:r>
          </w:p>
        </w:tc>
        <w:tc>
          <w:tcPr>
            <w:tcW w:w="13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1.00</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79</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中</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29</w:t>
            </w:r>
          </w:p>
        </w:tc>
        <w:tc>
          <w:tcPr>
            <w:tcW w:w="3600" w:type="dxa"/>
            <w:tcBorders>
              <w:top w:val="nil"/>
              <w:left w:val="nil"/>
              <w:bottom w:val="single" w:color="auto" w:sz="4" w:space="0"/>
              <w:right w:val="single" w:color="auto" w:sz="4" w:space="0"/>
            </w:tcBorders>
            <w:shd w:val="clear" w:color="000000" w:fill="FFFFFF"/>
            <w:noWrap/>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企业工委系统党员发展对象培训费</w:t>
            </w:r>
          </w:p>
        </w:tc>
        <w:tc>
          <w:tcPr>
            <w:tcW w:w="13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1.00</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79</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中</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kern w:val="0"/>
                <w:sz w:val="20"/>
                <w:szCs w:val="20"/>
              </w:rPr>
            </w:pPr>
            <w:r>
              <w:rPr>
                <w:rFonts w:hint="eastAsia" w:ascii="等线" w:hAnsi="宋体" w:eastAsia="等线" w:cs="宋体"/>
                <w:kern w:val="0"/>
                <w:sz w:val="20"/>
                <w:szCs w:val="20"/>
              </w:rPr>
              <w:t>30</w:t>
            </w:r>
          </w:p>
        </w:tc>
        <w:tc>
          <w:tcPr>
            <w:tcW w:w="3600" w:type="dxa"/>
            <w:tcBorders>
              <w:top w:val="nil"/>
              <w:left w:val="nil"/>
              <w:bottom w:val="single" w:color="auto" w:sz="4" w:space="0"/>
              <w:right w:val="single" w:color="auto" w:sz="4" w:space="0"/>
            </w:tcBorders>
            <w:shd w:val="clear" w:color="000000" w:fill="FFFFFF"/>
            <w:noWrap/>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企业工委工作人员差旅费</w:t>
            </w:r>
          </w:p>
        </w:tc>
        <w:tc>
          <w:tcPr>
            <w:tcW w:w="13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1.00</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kern w:val="0"/>
                <w:sz w:val="18"/>
                <w:szCs w:val="18"/>
              </w:rPr>
            </w:pPr>
            <w:r>
              <w:rPr>
                <w:rFonts w:hint="eastAsia" w:ascii="等线" w:hAnsi="宋体" w:eastAsia="等线" w:cs="宋体"/>
                <w:kern w:val="0"/>
                <w:sz w:val="18"/>
                <w:szCs w:val="18"/>
              </w:rPr>
              <w:t>70</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中</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31</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组织部电教费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100</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32</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组织部印刷费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8.00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33</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组织部档案室规范提升经费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34</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组织部党员干部培训费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92</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35</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组织部差旅费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2.00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92</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36</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组织部追加公务员工资管理信息化建设经费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2.69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100</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37</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组织部大组工网维护费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100</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38</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组织部老干部慰问金</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 </w:t>
            </w:r>
          </w:p>
        </w:tc>
        <w:tc>
          <w:tcPr>
            <w:tcW w:w="106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95</w:t>
            </w:r>
          </w:p>
        </w:tc>
        <w:tc>
          <w:tcPr>
            <w:tcW w:w="82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39</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秦财行[2020]564号关于下达2020年老党员生活补贴中央第二批补助资金</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0.05 </w:t>
            </w:r>
          </w:p>
        </w:tc>
        <w:tc>
          <w:tcPr>
            <w:tcW w:w="106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100</w:t>
            </w:r>
          </w:p>
        </w:tc>
        <w:tc>
          <w:tcPr>
            <w:tcW w:w="82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40</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组织部老干部活动经费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5.00 </w:t>
            </w:r>
          </w:p>
        </w:tc>
        <w:tc>
          <w:tcPr>
            <w:tcW w:w="106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100</w:t>
            </w:r>
          </w:p>
        </w:tc>
        <w:tc>
          <w:tcPr>
            <w:tcW w:w="82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41</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组织部离退休干部党组织书记发放工作补贴</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0.50 </w:t>
            </w:r>
          </w:p>
        </w:tc>
        <w:tc>
          <w:tcPr>
            <w:tcW w:w="106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100</w:t>
            </w:r>
          </w:p>
        </w:tc>
        <w:tc>
          <w:tcPr>
            <w:tcW w:w="82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42</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组织部关工委工作经费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10.00 </w:t>
            </w:r>
          </w:p>
        </w:tc>
        <w:tc>
          <w:tcPr>
            <w:tcW w:w="106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94</w:t>
            </w:r>
          </w:p>
        </w:tc>
        <w:tc>
          <w:tcPr>
            <w:tcW w:w="82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43</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秦财行[2018]931号新中国成立前老党员生活补贴市级补助资金</w:t>
            </w:r>
          </w:p>
        </w:tc>
        <w:tc>
          <w:tcPr>
            <w:tcW w:w="130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0.25</w:t>
            </w:r>
          </w:p>
        </w:tc>
        <w:tc>
          <w:tcPr>
            <w:tcW w:w="106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工委办</w:t>
            </w:r>
          </w:p>
        </w:tc>
        <w:tc>
          <w:tcPr>
            <w:tcW w:w="94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100</w:t>
            </w:r>
          </w:p>
        </w:tc>
        <w:tc>
          <w:tcPr>
            <w:tcW w:w="82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44</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秦财行[2019]135号下达2019年新中国成立前老党员社补贴提标省级补助资金</w:t>
            </w:r>
          </w:p>
        </w:tc>
        <w:tc>
          <w:tcPr>
            <w:tcW w:w="130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0.01</w:t>
            </w:r>
          </w:p>
        </w:tc>
        <w:tc>
          <w:tcPr>
            <w:tcW w:w="106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工委办</w:t>
            </w:r>
          </w:p>
        </w:tc>
        <w:tc>
          <w:tcPr>
            <w:tcW w:w="94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100</w:t>
            </w:r>
          </w:p>
        </w:tc>
        <w:tc>
          <w:tcPr>
            <w:tcW w:w="82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45</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秦财行[2019]134号提前下达2020年老党员生活补贴中央补助经费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1.44 </w:t>
            </w:r>
          </w:p>
        </w:tc>
        <w:tc>
          <w:tcPr>
            <w:tcW w:w="106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nil"/>
              <w:right w:val="nil"/>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100</w:t>
            </w:r>
          </w:p>
        </w:tc>
        <w:tc>
          <w:tcPr>
            <w:tcW w:w="82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46</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秦财行[2019]136号提前下达2020年老党员生活补贴省级补助资金</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0.15 </w:t>
            </w:r>
          </w:p>
        </w:tc>
        <w:tc>
          <w:tcPr>
            <w:tcW w:w="106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100</w:t>
            </w:r>
          </w:p>
        </w:tc>
        <w:tc>
          <w:tcPr>
            <w:tcW w:w="82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47</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秦财行[2020]190号下达2020年建国老党员生活补贴市级补助资金</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0.50 </w:t>
            </w:r>
          </w:p>
        </w:tc>
        <w:tc>
          <w:tcPr>
            <w:tcW w:w="106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100</w:t>
            </w:r>
          </w:p>
        </w:tc>
        <w:tc>
          <w:tcPr>
            <w:tcW w:w="82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48</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党建工作部追加新中国成立前老党员生活补贴费用</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2.39 </w:t>
            </w:r>
          </w:p>
        </w:tc>
        <w:tc>
          <w:tcPr>
            <w:tcW w:w="106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100</w:t>
            </w:r>
          </w:p>
        </w:tc>
        <w:tc>
          <w:tcPr>
            <w:tcW w:w="820" w:type="dxa"/>
            <w:tcBorders>
              <w:top w:val="nil"/>
              <w:left w:val="nil"/>
              <w:bottom w:val="single" w:color="auto" w:sz="4" w:space="0"/>
              <w:right w:val="single" w:color="auto" w:sz="4" w:space="0"/>
            </w:tcBorders>
            <w:shd w:val="clear" w:color="000000" w:fill="FFFFFF"/>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49</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工委办追加购置保密电脑和打印设备</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2.10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50</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工委办追加开发区电子政务督查督办系统专项经费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3.99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51</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工委办追加市委第五巡视组专项经费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14.00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52</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工委见习人员工资及保险</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0.65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53</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见习岗工资</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5.35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54</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追加工委值班室应急值班室应急指挥调度系统经费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10.80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55</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工委办追加工委系统专项办公经费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56</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工委办追加工委系统差旅费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2.00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57</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工委办领导走访慰问经费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1.50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58</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工委办工委系统专项办公费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59</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工委改革办、主体办、国安办专项经费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60</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工委办全区机关“读书荐书”活动专项经费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25.00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61</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工委办工委系统专项差旅费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5.00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62</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工委办追加“数字式多功能会议系统”</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6.50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63</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工委办全区工委系统信息员稿酬</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64</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工委办追加</w:t>
            </w:r>
            <w:r>
              <w:rPr>
                <w:rFonts w:hint="eastAsia" w:ascii="宋体" w:hAnsi="宋体" w:eastAsia="宋体" w:cs="宋体"/>
                <w:color w:val="000000"/>
                <w:kern w:val="0"/>
                <w:sz w:val="18"/>
                <w:szCs w:val="18"/>
                <w:lang w:val="en-US" w:eastAsia="zh-CN"/>
              </w:rPr>
              <w:t>****</w:t>
            </w:r>
            <w:r>
              <w:rPr>
                <w:rFonts w:hint="eastAsia" w:ascii="宋体" w:hAnsi="宋体" w:eastAsia="宋体" w:cs="宋体"/>
                <w:color w:val="000000"/>
                <w:kern w:val="0"/>
                <w:sz w:val="18"/>
                <w:szCs w:val="18"/>
              </w:rPr>
              <w:t>工程实施经费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51.70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65</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工委办工委督查室电子督查系统维护费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4.32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66</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工委办统战民宗工作专项经费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3.00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67</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工委办暑期工作专项经费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5.00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68</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工委办全区保密工作专项经费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0.50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69</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工委值班室涉密网安装费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4.00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70</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工委办工委系统报刊资料订购专项经费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3.00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71</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东区创卫宣传氛围营造经费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4.34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72</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工委办追加创城复检宣传道旗费用</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9.76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73</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工委办工委大型公益宣传阵地维护更新专项经费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74</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追加工委、管委领导慰问抗疫一线工作人员所需费用</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4.83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75</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工委办追加疫情防控和“三创四建”活动宣传所需经费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17.04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76</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工委办追加国家安全教育活动所需经费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4.90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77</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工委办工委专项印刷费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5.00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78</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工委办工委系统工委系统文秘人员培训专项经费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0.50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79</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档案局档案维护费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1.50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80</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档案局档案维护费</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1.50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81</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档案局数字档案馆设备采购尾款</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4.38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82</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档案加工整理及数字化费用</w:t>
            </w:r>
          </w:p>
        </w:tc>
        <w:tc>
          <w:tcPr>
            <w:tcW w:w="130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5.00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83</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市暑办专项经费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84</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集团入团活动费用</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0.50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48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85</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秦财行[2019]150号提前下达2020年困难职工劳模帮扶救助专项资金</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3.80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93</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48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86</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秦财行[2019]144号提前下达2020年妇女之家建设资金</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9.00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87</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青年企业家风采展示活动</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3.50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88</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职工技术创新成果展（专项）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3.0718</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48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89</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妇联妇女儿童法律维权宣传活动印刷、制作费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2.00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90</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劳模体检</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0.80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99</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45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91</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妇联群众性文化宣传活动场地布置、租赁、制作、印刷经费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5.00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92</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职工职业技能大赛</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8.00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2"/>
                <w:szCs w:val="22"/>
              </w:rPr>
            </w:pPr>
            <w:r>
              <w:rPr>
                <w:rFonts w:hint="eastAsia" w:ascii="仿宋_GB2312" w:hAnsi="宋体" w:eastAsia="仿宋_GB2312" w:cs="宋体"/>
                <w:color w:val="000000"/>
                <w:kern w:val="0"/>
                <w:sz w:val="22"/>
                <w:szCs w:val="22"/>
              </w:rPr>
              <w:t>优</w:t>
            </w:r>
          </w:p>
        </w:tc>
      </w:tr>
      <w:tr>
        <w:trPr>
          <w:trHeight w:val="24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93</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机关工委基层党建质量提升年活动</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1.10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97</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4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94</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机关工委入党积极分子培训</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1.30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48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95</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机关工委新党员入党宣誓培训</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1.00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4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96</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机关工委党支部书记参观培训学习</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4.00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4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97</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机关工委党员轮训</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5.00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90</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4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98</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纪工委培训费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1.00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78</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中</w:t>
            </w:r>
          </w:p>
        </w:tc>
      </w:tr>
      <w:tr>
        <w:trPr>
          <w:trHeight w:val="37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99</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信访举报网络平台</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50.00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90</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4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100</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纪检监察购置费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5.50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100</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101</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纪工委专项资料费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7.00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100</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102</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纪工委办案费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5.00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76</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中</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103</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纪检监察购置费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3.00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100</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104</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信访局信访值班专项经费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50.00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92</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105</w:t>
            </w:r>
          </w:p>
        </w:tc>
        <w:tc>
          <w:tcPr>
            <w:tcW w:w="3600" w:type="dxa"/>
            <w:tcBorders>
              <w:top w:val="nil"/>
              <w:left w:val="nil"/>
              <w:bottom w:val="single" w:color="auto" w:sz="4" w:space="0"/>
              <w:right w:val="single" w:color="auto" w:sz="4" w:space="0"/>
            </w:tcBorders>
            <w:shd w:val="clear" w:color="000000" w:fill="FFFFFF"/>
            <w:vAlign w:val="center"/>
          </w:tcPr>
          <w:p>
            <w:pPr>
              <w:widowControl/>
              <w:jc w:val="left"/>
              <w:rPr>
                <w:rFonts w:ascii="等线" w:hAnsi="宋体" w:eastAsia="等线" w:cs="宋体"/>
                <w:color w:val="000000"/>
                <w:kern w:val="0"/>
                <w:sz w:val="20"/>
                <w:szCs w:val="20"/>
              </w:rPr>
            </w:pPr>
            <w:r>
              <w:rPr>
                <w:rFonts w:hint="eastAsia" w:ascii="等线" w:hAnsi="宋体" w:eastAsia="等线" w:cs="宋体"/>
                <w:color w:val="000000"/>
                <w:kern w:val="0"/>
                <w:sz w:val="20"/>
                <w:szCs w:val="20"/>
              </w:rPr>
              <w:t>信访局民生热线系统维护经费</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 xml:space="preserve">3.00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91</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优</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106</w:t>
            </w:r>
          </w:p>
        </w:tc>
        <w:tc>
          <w:tcPr>
            <w:tcW w:w="3600" w:type="dxa"/>
            <w:tcBorders>
              <w:top w:val="nil"/>
              <w:left w:val="nil"/>
              <w:bottom w:val="single" w:color="auto" w:sz="4" w:space="0"/>
              <w:right w:val="single" w:color="auto" w:sz="4" w:space="0"/>
            </w:tcBorders>
            <w:shd w:val="clear" w:color="000000" w:fill="FFFFFF"/>
            <w:noWrap/>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信访局特殊疑难信访问题专项资金</w:t>
            </w:r>
          </w:p>
        </w:tc>
        <w:tc>
          <w:tcPr>
            <w:tcW w:w="13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10.00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84</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良</w:t>
            </w:r>
          </w:p>
        </w:tc>
      </w:tr>
      <w:tr>
        <w:trPr>
          <w:trHeight w:val="270"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107</w:t>
            </w:r>
          </w:p>
        </w:tc>
        <w:tc>
          <w:tcPr>
            <w:tcW w:w="3600" w:type="dxa"/>
            <w:tcBorders>
              <w:top w:val="nil"/>
              <w:left w:val="nil"/>
              <w:bottom w:val="single" w:color="auto" w:sz="4" w:space="0"/>
              <w:right w:val="single" w:color="auto" w:sz="4" w:space="0"/>
            </w:tcBorders>
            <w:shd w:val="clear" w:color="000000" w:fill="FFFFFF"/>
            <w:noWrap/>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信访局专项办公经费</w:t>
            </w:r>
          </w:p>
        </w:tc>
        <w:tc>
          <w:tcPr>
            <w:tcW w:w="13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3.00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92</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优</w:t>
            </w:r>
          </w:p>
        </w:tc>
      </w:tr>
      <w:tr>
        <w:trPr>
          <w:trHeight w:val="285" w:hRule="atLeast"/>
        </w:trPr>
        <w:tc>
          <w:tcPr>
            <w:tcW w:w="6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等线" w:hAnsi="宋体" w:eastAsia="等线" w:cs="宋体"/>
                <w:color w:val="000000"/>
                <w:kern w:val="0"/>
                <w:sz w:val="20"/>
                <w:szCs w:val="20"/>
              </w:rPr>
            </w:pPr>
            <w:r>
              <w:rPr>
                <w:rFonts w:hint="eastAsia" w:ascii="等线" w:hAnsi="宋体" w:eastAsia="等线" w:cs="宋体"/>
                <w:color w:val="000000"/>
                <w:kern w:val="0"/>
                <w:sz w:val="20"/>
                <w:szCs w:val="20"/>
              </w:rPr>
              <w:t>108</w:t>
            </w:r>
          </w:p>
        </w:tc>
        <w:tc>
          <w:tcPr>
            <w:tcW w:w="3600" w:type="dxa"/>
            <w:tcBorders>
              <w:top w:val="nil"/>
              <w:left w:val="nil"/>
              <w:bottom w:val="single" w:color="auto" w:sz="4" w:space="0"/>
              <w:right w:val="single" w:color="auto" w:sz="4" w:space="0"/>
            </w:tcBorders>
            <w:shd w:val="clear" w:color="000000" w:fill="FFFFFF"/>
            <w:noWrap/>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信访局追加更换视频监控系统</w:t>
            </w:r>
          </w:p>
        </w:tc>
        <w:tc>
          <w:tcPr>
            <w:tcW w:w="13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1.95 </w:t>
            </w:r>
          </w:p>
        </w:tc>
        <w:tc>
          <w:tcPr>
            <w:tcW w:w="106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0"/>
                <w:szCs w:val="20"/>
              </w:rPr>
            </w:pPr>
            <w:r>
              <w:rPr>
                <w:rFonts w:hint="eastAsia" w:ascii="仿宋_GB2312" w:hAnsi="宋体" w:eastAsia="仿宋_GB2312" w:cs="宋体"/>
                <w:color w:val="000000"/>
                <w:kern w:val="0"/>
                <w:sz w:val="20"/>
                <w:szCs w:val="20"/>
              </w:rPr>
              <w:t>工委办</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95</w:t>
            </w:r>
          </w:p>
        </w:tc>
        <w:tc>
          <w:tcPr>
            <w:tcW w:w="82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18"/>
                <w:szCs w:val="18"/>
              </w:rPr>
            </w:pPr>
            <w:r>
              <w:rPr>
                <w:rFonts w:hint="eastAsia" w:ascii="仿宋_GB2312" w:hAnsi="宋体" w:eastAsia="仿宋_GB2312" w:cs="宋体"/>
                <w:color w:val="000000"/>
                <w:kern w:val="0"/>
                <w:sz w:val="18"/>
                <w:szCs w:val="18"/>
              </w:rPr>
              <w:t>优</w:t>
            </w:r>
          </w:p>
        </w:tc>
      </w:tr>
    </w:tbl>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 财政</w:t>
      </w:r>
      <w:r>
        <w:rPr>
          <w:rFonts w:ascii="楷体_GB2312" w:hAnsi="楷体_GB2312" w:eastAsia="楷体_GB2312" w:cs="楷体_GB2312"/>
          <w:b/>
          <w:bCs/>
          <w:sz w:val="32"/>
          <w:szCs w:val="32"/>
        </w:rPr>
        <w:t>评价项目绩效结果</w:t>
      </w:r>
    </w:p>
    <w:p>
      <w:pPr>
        <w:adjustRightInd w:val="0"/>
        <w:snapToGrid w:val="0"/>
        <w:spacing w:line="600" w:lineRule="exact"/>
        <w:ind w:firstLine="640" w:firstLineChars="200"/>
        <w:rPr>
          <w:rFonts w:ascii="仿宋_GB2312" w:hAnsi="楷体_GB2312" w:eastAsia="仿宋_GB2312" w:cs="楷体_GB2312"/>
          <w:bCs/>
          <w:sz w:val="32"/>
          <w:szCs w:val="32"/>
        </w:rPr>
      </w:pPr>
      <w:r>
        <w:rPr>
          <w:rFonts w:hint="eastAsia" w:ascii="楷体_GB2312" w:hAnsi="楷体_GB2312" w:eastAsia="楷体_GB2312" w:cs="楷体_GB2312"/>
          <w:bCs/>
          <w:sz w:val="32"/>
          <w:szCs w:val="32"/>
        </w:rPr>
        <w:t>（一</w:t>
      </w:r>
      <w:r>
        <w:rPr>
          <w:rFonts w:ascii="楷体_GB2312" w:hAnsi="楷体_GB2312" w:eastAsia="楷体_GB2312" w:cs="楷体_GB2312"/>
          <w:bCs/>
          <w:sz w:val="32"/>
          <w:szCs w:val="32"/>
        </w:rPr>
        <w:t>）</w:t>
      </w:r>
      <w:r>
        <w:rPr>
          <w:rFonts w:hint="eastAsia" w:ascii="仿宋_GB2312" w:hAnsi="楷体_GB2312" w:eastAsia="仿宋_GB2312" w:cs="楷体_GB2312"/>
          <w:bCs/>
          <w:sz w:val="32"/>
          <w:szCs w:val="32"/>
        </w:rPr>
        <w:t>履职完成情况：</w:t>
      </w:r>
      <w:r>
        <w:rPr>
          <w:rFonts w:ascii="仿宋_GB2312" w:hAnsi="楷体_GB2312" w:eastAsia="仿宋_GB2312" w:cs="楷体_GB2312"/>
          <w:bCs/>
          <w:sz w:val="32"/>
          <w:szCs w:val="32"/>
        </w:rPr>
        <w:t>从</w:t>
      </w:r>
      <w:r>
        <w:rPr>
          <w:rFonts w:hint="eastAsia" w:ascii="仿宋_GB2312" w:hAnsi="楷体_GB2312" w:eastAsia="仿宋_GB2312" w:cs="楷体_GB2312"/>
          <w:bCs/>
          <w:sz w:val="32"/>
          <w:szCs w:val="32"/>
        </w:rPr>
        <w:t>数量</w:t>
      </w:r>
      <w:r>
        <w:rPr>
          <w:rFonts w:ascii="仿宋_GB2312" w:hAnsi="楷体_GB2312" w:eastAsia="仿宋_GB2312" w:cs="楷体_GB2312"/>
          <w:bCs/>
          <w:sz w:val="32"/>
          <w:szCs w:val="32"/>
        </w:rPr>
        <w:t>、</w:t>
      </w:r>
      <w:r>
        <w:rPr>
          <w:rFonts w:hint="eastAsia" w:ascii="仿宋_GB2312" w:hAnsi="楷体_GB2312" w:eastAsia="仿宋_GB2312" w:cs="楷体_GB2312"/>
          <w:bCs/>
          <w:sz w:val="32"/>
          <w:szCs w:val="32"/>
        </w:rPr>
        <w:t>质量</w:t>
      </w:r>
      <w:r>
        <w:rPr>
          <w:rFonts w:ascii="仿宋_GB2312" w:hAnsi="楷体_GB2312" w:eastAsia="仿宋_GB2312" w:cs="楷体_GB2312"/>
          <w:bCs/>
          <w:sz w:val="32"/>
          <w:szCs w:val="32"/>
        </w:rPr>
        <w:t>、时效等方面归纳反应年度主要计划任务完成情况。</w:t>
      </w:r>
    </w:p>
    <w:p>
      <w:pPr>
        <w:adjustRightInd w:val="0"/>
        <w:snapToGrid w:val="0"/>
        <w:spacing w:line="600" w:lineRule="exact"/>
        <w:ind w:firstLine="640" w:firstLineChars="200"/>
        <w:rPr>
          <w:rFonts w:ascii="仿宋_GB2312" w:hAnsi="楷体_GB2312" w:eastAsia="仿宋_GB2312" w:cs="楷体_GB2312"/>
          <w:bCs/>
          <w:sz w:val="32"/>
          <w:szCs w:val="32"/>
        </w:rPr>
      </w:pPr>
      <w:r>
        <w:rPr>
          <w:rFonts w:ascii="仿宋_GB2312" w:hAnsi="楷体_GB2312" w:eastAsia="仿宋_GB2312" w:cs="楷体_GB2312"/>
          <w:bCs/>
          <w:sz w:val="32"/>
          <w:szCs w:val="32"/>
        </w:rPr>
        <w:t>1</w:t>
      </w:r>
      <w:r>
        <w:rPr>
          <w:rFonts w:hint="eastAsia" w:ascii="仿宋_GB2312" w:hAnsi="楷体_GB2312" w:eastAsia="仿宋_GB2312" w:cs="楷体_GB2312"/>
          <w:bCs/>
          <w:sz w:val="32"/>
          <w:szCs w:val="32"/>
        </w:rPr>
        <w:t>、</w:t>
      </w:r>
      <w:r>
        <w:rPr>
          <w:rFonts w:ascii="仿宋_GB2312" w:hAnsi="楷体_GB2312" w:eastAsia="仿宋_GB2312" w:cs="楷体_GB2312"/>
          <w:bCs/>
          <w:sz w:val="32"/>
          <w:szCs w:val="32"/>
        </w:rPr>
        <w:t>数量指标：预算计划完成率年度数量指标值=100%</w:t>
      </w:r>
      <w:r>
        <w:rPr>
          <w:rFonts w:hint="eastAsia" w:ascii="仿宋_GB2312" w:hAnsi="楷体_GB2312" w:eastAsia="仿宋_GB2312" w:cs="楷体_GB2312"/>
          <w:bCs/>
          <w:sz w:val="32"/>
          <w:szCs w:val="32"/>
        </w:rPr>
        <w:t>，</w:t>
      </w:r>
      <w:r>
        <w:rPr>
          <w:rFonts w:ascii="仿宋_GB2312" w:hAnsi="楷体_GB2312" w:eastAsia="仿宋_GB2312" w:cs="楷体_GB2312"/>
          <w:bCs/>
          <w:sz w:val="32"/>
          <w:szCs w:val="32"/>
        </w:rPr>
        <w:t>全年完成值</w:t>
      </w:r>
      <w:r>
        <w:rPr>
          <w:rFonts w:hint="eastAsia" w:ascii="仿宋_GB2312" w:hAnsi="楷体_GB2312" w:eastAsia="仿宋_GB2312" w:cs="楷体_GB2312"/>
          <w:bCs/>
          <w:sz w:val="32"/>
          <w:szCs w:val="32"/>
        </w:rPr>
        <w:t>100</w:t>
      </w:r>
      <w:r>
        <w:rPr>
          <w:rFonts w:ascii="仿宋_GB2312" w:hAnsi="楷体_GB2312" w:eastAsia="仿宋_GB2312" w:cs="楷体_GB2312"/>
          <w:bCs/>
          <w:sz w:val="32"/>
          <w:szCs w:val="32"/>
        </w:rPr>
        <w:t>%。</w:t>
      </w:r>
    </w:p>
    <w:p>
      <w:pPr>
        <w:adjustRightInd w:val="0"/>
        <w:snapToGrid w:val="0"/>
        <w:spacing w:line="600" w:lineRule="exact"/>
        <w:ind w:firstLine="640" w:firstLineChars="200"/>
        <w:rPr>
          <w:rFonts w:ascii="仿宋_GB2312" w:hAnsi="楷体_GB2312" w:eastAsia="仿宋_GB2312" w:cs="楷体_GB2312"/>
          <w:bCs/>
          <w:sz w:val="32"/>
          <w:szCs w:val="32"/>
        </w:rPr>
      </w:pPr>
      <w:r>
        <w:rPr>
          <w:rFonts w:ascii="仿宋_GB2312" w:hAnsi="楷体_GB2312" w:eastAsia="仿宋_GB2312" w:cs="楷体_GB2312"/>
          <w:bCs/>
          <w:sz w:val="32"/>
          <w:szCs w:val="32"/>
        </w:rPr>
        <w:t>2</w:t>
      </w:r>
      <w:r>
        <w:rPr>
          <w:rFonts w:hint="eastAsia" w:ascii="仿宋_GB2312" w:hAnsi="楷体_GB2312" w:eastAsia="仿宋_GB2312" w:cs="楷体_GB2312"/>
          <w:bCs/>
          <w:sz w:val="32"/>
          <w:szCs w:val="32"/>
        </w:rPr>
        <w:t>、</w:t>
      </w:r>
      <w:r>
        <w:rPr>
          <w:rFonts w:ascii="仿宋_GB2312" w:hAnsi="楷体_GB2312" w:eastAsia="仿宋_GB2312" w:cs="楷体_GB2312"/>
          <w:bCs/>
          <w:sz w:val="32"/>
          <w:szCs w:val="32"/>
        </w:rPr>
        <w:t>质量指标：预算执行率</w:t>
      </w:r>
      <w:r>
        <w:rPr>
          <w:rFonts w:hint="eastAsia" w:ascii="仿宋_GB2312" w:hAnsi="楷体_GB2312" w:eastAsia="仿宋_GB2312" w:cs="楷体_GB2312"/>
          <w:bCs/>
          <w:sz w:val="32"/>
          <w:szCs w:val="32"/>
        </w:rPr>
        <w:t>年度数量</w:t>
      </w:r>
      <w:r>
        <w:rPr>
          <w:rFonts w:ascii="仿宋_GB2312" w:hAnsi="楷体_GB2312" w:eastAsia="仿宋_GB2312" w:cs="楷体_GB2312"/>
          <w:bCs/>
          <w:sz w:val="32"/>
          <w:szCs w:val="32"/>
        </w:rPr>
        <w:t>指标值=100%</w:t>
      </w:r>
      <w:r>
        <w:rPr>
          <w:rFonts w:hint="eastAsia" w:ascii="仿宋_GB2312" w:hAnsi="楷体_GB2312" w:eastAsia="仿宋_GB2312" w:cs="楷体_GB2312"/>
          <w:bCs/>
          <w:sz w:val="32"/>
          <w:szCs w:val="32"/>
        </w:rPr>
        <w:t>，</w:t>
      </w:r>
      <w:r>
        <w:rPr>
          <w:rFonts w:ascii="仿宋_GB2312" w:hAnsi="楷体_GB2312" w:eastAsia="仿宋_GB2312" w:cs="楷体_GB2312"/>
          <w:bCs/>
          <w:sz w:val="32"/>
          <w:szCs w:val="32"/>
        </w:rPr>
        <w:t>全年完成值</w:t>
      </w:r>
      <w:r>
        <w:rPr>
          <w:rFonts w:hint="eastAsia" w:ascii="仿宋_GB2312" w:hAnsi="楷体_GB2312" w:eastAsia="仿宋_GB2312" w:cs="楷体_GB2312"/>
          <w:bCs/>
          <w:sz w:val="32"/>
          <w:szCs w:val="32"/>
        </w:rPr>
        <w:t>100</w:t>
      </w:r>
      <w:r>
        <w:rPr>
          <w:rFonts w:ascii="仿宋_GB2312" w:hAnsi="楷体_GB2312" w:eastAsia="仿宋_GB2312" w:cs="楷体_GB2312"/>
          <w:bCs/>
          <w:sz w:val="32"/>
          <w:szCs w:val="32"/>
        </w:rPr>
        <w:t>%</w:t>
      </w:r>
      <w:r>
        <w:rPr>
          <w:rFonts w:hint="eastAsia" w:ascii="仿宋_GB2312" w:hAnsi="楷体_GB2312" w:eastAsia="仿宋_GB2312" w:cs="楷体_GB2312"/>
          <w:bCs/>
          <w:sz w:val="32"/>
          <w:szCs w:val="32"/>
        </w:rPr>
        <w:t>。</w:t>
      </w:r>
    </w:p>
    <w:p>
      <w:pPr>
        <w:adjustRightInd w:val="0"/>
        <w:snapToGrid w:val="0"/>
        <w:spacing w:line="600" w:lineRule="exact"/>
        <w:ind w:firstLine="640" w:firstLineChars="200"/>
        <w:rPr>
          <w:rFonts w:ascii="仿宋_GB2312" w:hAnsi="楷体_GB2312" w:eastAsia="仿宋_GB2312" w:cs="楷体_GB2312"/>
          <w:bCs/>
          <w:sz w:val="32"/>
          <w:szCs w:val="32"/>
        </w:rPr>
      </w:pPr>
      <w:r>
        <w:rPr>
          <w:rFonts w:ascii="仿宋_GB2312" w:hAnsi="楷体_GB2312" w:eastAsia="仿宋_GB2312" w:cs="楷体_GB2312"/>
          <w:bCs/>
          <w:sz w:val="32"/>
          <w:szCs w:val="32"/>
        </w:rPr>
        <w:t>3</w:t>
      </w:r>
      <w:r>
        <w:rPr>
          <w:rFonts w:hint="eastAsia" w:ascii="仿宋_GB2312" w:hAnsi="楷体_GB2312" w:eastAsia="仿宋_GB2312" w:cs="楷体_GB2312"/>
          <w:bCs/>
          <w:sz w:val="32"/>
          <w:szCs w:val="32"/>
        </w:rPr>
        <w:t>、时效</w:t>
      </w:r>
      <w:r>
        <w:rPr>
          <w:rFonts w:ascii="仿宋_GB2312" w:hAnsi="楷体_GB2312" w:eastAsia="仿宋_GB2312" w:cs="楷体_GB2312"/>
          <w:bCs/>
          <w:sz w:val="32"/>
          <w:szCs w:val="32"/>
        </w:rPr>
        <w:t>指标：财政任务完成率年度</w:t>
      </w:r>
      <w:r>
        <w:rPr>
          <w:rFonts w:hint="eastAsia" w:ascii="仿宋_GB2312" w:hAnsi="楷体_GB2312" w:eastAsia="仿宋_GB2312" w:cs="楷体_GB2312"/>
          <w:bCs/>
          <w:sz w:val="32"/>
          <w:szCs w:val="32"/>
        </w:rPr>
        <w:t>数量</w:t>
      </w:r>
      <w:r>
        <w:rPr>
          <w:rFonts w:ascii="仿宋_GB2312" w:hAnsi="楷体_GB2312" w:eastAsia="仿宋_GB2312" w:cs="楷体_GB2312"/>
          <w:bCs/>
          <w:sz w:val="32"/>
          <w:szCs w:val="32"/>
        </w:rPr>
        <w:t>指标值</w:t>
      </w:r>
      <w:r>
        <w:rPr>
          <w:rFonts w:hint="eastAsia" w:ascii="微软雅黑" w:hAnsi="微软雅黑" w:eastAsia="微软雅黑" w:cs="微软雅黑"/>
          <w:bCs/>
          <w:sz w:val="32"/>
          <w:szCs w:val="32"/>
        </w:rPr>
        <w:t>≥</w:t>
      </w:r>
      <w:r>
        <w:rPr>
          <w:rFonts w:ascii="仿宋_GB2312" w:hAnsi="楷体_GB2312" w:eastAsia="仿宋_GB2312" w:cs="楷体_GB2312"/>
          <w:bCs/>
          <w:sz w:val="32"/>
          <w:szCs w:val="32"/>
        </w:rPr>
        <w:t>90%,全年完成值</w:t>
      </w:r>
      <w:r>
        <w:rPr>
          <w:rFonts w:hint="eastAsia" w:ascii="仿宋_GB2312" w:hAnsi="楷体_GB2312" w:eastAsia="仿宋_GB2312" w:cs="楷体_GB2312"/>
          <w:bCs/>
          <w:sz w:val="32"/>
          <w:szCs w:val="32"/>
        </w:rPr>
        <w:t>1</w:t>
      </w:r>
      <w:r>
        <w:rPr>
          <w:rFonts w:ascii="仿宋_GB2312" w:hAnsi="楷体_GB2312" w:eastAsia="仿宋_GB2312" w:cs="楷体_GB2312"/>
          <w:bCs/>
          <w:sz w:val="32"/>
          <w:szCs w:val="32"/>
        </w:rPr>
        <w:t>00%。</w:t>
      </w:r>
    </w:p>
    <w:p>
      <w:pPr>
        <w:adjustRightInd w:val="0"/>
        <w:snapToGrid w:val="0"/>
        <w:spacing w:line="600" w:lineRule="exact"/>
        <w:ind w:firstLine="640" w:firstLineChars="200"/>
        <w:rPr>
          <w:rFonts w:ascii="仿宋_GB2312" w:hAnsi="楷体_GB2312" w:eastAsia="仿宋_GB2312" w:cs="楷体_GB2312"/>
          <w:bCs/>
          <w:sz w:val="32"/>
          <w:szCs w:val="32"/>
        </w:rPr>
      </w:pPr>
      <w:r>
        <w:rPr>
          <w:rFonts w:ascii="仿宋_GB2312" w:hAnsi="楷体_GB2312" w:eastAsia="仿宋_GB2312" w:cs="楷体_GB2312"/>
          <w:bCs/>
          <w:sz w:val="32"/>
          <w:szCs w:val="32"/>
        </w:rPr>
        <w:t>（二）履职效果情况：从社会效益、经济效益、生态效益等方面反应部门履职效果的现实情况。</w:t>
      </w:r>
    </w:p>
    <w:p>
      <w:pPr>
        <w:adjustRightInd w:val="0"/>
        <w:snapToGrid w:val="0"/>
        <w:spacing w:line="600" w:lineRule="exact"/>
        <w:ind w:firstLine="640" w:firstLineChars="200"/>
        <w:rPr>
          <w:rFonts w:ascii="仿宋_GB2312" w:hAnsi="楷体_GB2312" w:eastAsia="仿宋_GB2312" w:cs="楷体_GB2312"/>
          <w:bCs/>
          <w:sz w:val="32"/>
          <w:szCs w:val="32"/>
        </w:rPr>
      </w:pPr>
      <w:r>
        <w:rPr>
          <w:rFonts w:ascii="仿宋_GB2312" w:hAnsi="楷体_GB2312" w:eastAsia="仿宋_GB2312" w:cs="楷体_GB2312"/>
          <w:bCs/>
          <w:sz w:val="32"/>
          <w:szCs w:val="32"/>
        </w:rPr>
        <w:t>社会效益指标：财政监督覆盖率年度指标</w:t>
      </w:r>
      <w:r>
        <w:rPr>
          <w:rFonts w:hint="eastAsia" w:ascii="微软雅黑" w:hAnsi="微软雅黑" w:eastAsia="微软雅黑" w:cs="微软雅黑"/>
          <w:bCs/>
          <w:sz w:val="32"/>
          <w:szCs w:val="32"/>
        </w:rPr>
        <w:t>≥</w:t>
      </w:r>
      <w:r>
        <w:rPr>
          <w:rFonts w:ascii="仿宋_GB2312" w:hAnsi="楷体_GB2312" w:eastAsia="仿宋_GB2312" w:cs="楷体_GB2312"/>
          <w:bCs/>
          <w:sz w:val="32"/>
          <w:szCs w:val="32"/>
        </w:rPr>
        <w:t>90%，全年完成值</w:t>
      </w:r>
      <w:r>
        <w:rPr>
          <w:rFonts w:hint="eastAsia" w:ascii="仿宋_GB2312" w:hAnsi="楷体_GB2312" w:eastAsia="仿宋_GB2312" w:cs="楷体_GB2312"/>
          <w:bCs/>
          <w:sz w:val="32"/>
          <w:szCs w:val="32"/>
        </w:rPr>
        <w:t>1</w:t>
      </w:r>
      <w:r>
        <w:rPr>
          <w:rFonts w:ascii="仿宋_GB2312" w:hAnsi="楷体_GB2312" w:eastAsia="仿宋_GB2312" w:cs="楷体_GB2312"/>
          <w:bCs/>
          <w:sz w:val="32"/>
          <w:szCs w:val="32"/>
        </w:rPr>
        <w:t>00%。</w:t>
      </w:r>
    </w:p>
    <w:p>
      <w:pPr>
        <w:adjustRightInd w:val="0"/>
        <w:snapToGrid w:val="0"/>
        <w:spacing w:line="600" w:lineRule="exact"/>
        <w:ind w:firstLine="640" w:firstLineChars="200"/>
        <w:rPr>
          <w:rFonts w:hint="eastAsia" w:ascii="仿宋_GB2312" w:hAnsi="楷体_GB2312" w:eastAsia="仿宋_GB2312" w:cs="楷体_GB2312"/>
          <w:bCs/>
          <w:sz w:val="32"/>
          <w:szCs w:val="32"/>
        </w:rPr>
      </w:pPr>
      <w:r>
        <w:rPr>
          <w:rFonts w:ascii="仿宋_GB2312" w:hAnsi="楷体_GB2312" w:eastAsia="仿宋_GB2312" w:cs="楷体_GB2312"/>
          <w:bCs/>
          <w:sz w:val="32"/>
          <w:szCs w:val="32"/>
        </w:rPr>
        <w:t>（三）满意度指标：我局服务对象满意度年度指标值</w:t>
      </w:r>
      <w:r>
        <w:rPr>
          <w:rFonts w:hint="eastAsia" w:ascii="仿宋_GB2312" w:hAnsi="楷体_GB2312" w:eastAsia="仿宋_GB2312" w:cs="楷体_GB2312"/>
          <w:bCs/>
          <w:sz w:val="32"/>
          <w:szCs w:val="32"/>
        </w:rPr>
        <w:t>&gt;</w:t>
      </w:r>
      <w:r>
        <w:rPr>
          <w:rFonts w:ascii="仿宋_GB2312" w:hAnsi="楷体_GB2312" w:eastAsia="仿宋_GB2312" w:cs="楷体_GB2312"/>
          <w:bCs/>
          <w:sz w:val="32"/>
          <w:szCs w:val="32"/>
        </w:rPr>
        <w:t>90%,全年完成值</w:t>
      </w:r>
      <w:r>
        <w:rPr>
          <w:rFonts w:hint="eastAsia" w:ascii="仿宋_GB2312" w:hAnsi="楷体_GB2312" w:eastAsia="仿宋_GB2312" w:cs="楷体_GB2312"/>
          <w:bCs/>
          <w:sz w:val="32"/>
          <w:szCs w:val="32"/>
        </w:rPr>
        <w:t>1</w:t>
      </w:r>
      <w:r>
        <w:rPr>
          <w:rFonts w:ascii="仿宋_GB2312" w:hAnsi="楷体_GB2312" w:eastAsia="仿宋_GB2312" w:cs="楷体_GB2312"/>
          <w:bCs/>
          <w:sz w:val="32"/>
          <w:szCs w:val="32"/>
        </w:rPr>
        <w:t>00%</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ascii="仿宋_GB2312" w:hAnsi="仿宋_GB2312" w:eastAsia="仿宋_GB2312" w:cs="仿宋_GB2312"/>
          <w:sz w:val="32"/>
          <w:szCs w:val="32"/>
        </w:rPr>
        <w:t>132.46</w:t>
      </w:r>
      <w:r>
        <w:rPr>
          <w:rFonts w:hint="eastAsia" w:ascii="仿宋_GB2312" w:hAnsi="仿宋_GB2312" w:eastAsia="仿宋_GB2312" w:cs="仿宋_GB2312"/>
          <w:sz w:val="32"/>
          <w:szCs w:val="32"/>
        </w:rPr>
        <w:t>万元，比2019年度减少</w:t>
      </w:r>
      <w:r>
        <w:rPr>
          <w:rFonts w:ascii="仿宋_GB2312" w:hAnsi="仿宋_GB2312" w:eastAsia="仿宋_GB2312" w:cs="仿宋_GB2312"/>
          <w:sz w:val="32"/>
          <w:szCs w:val="32"/>
        </w:rPr>
        <w:t>14.54</w:t>
      </w:r>
      <w:r>
        <w:rPr>
          <w:rFonts w:hint="eastAsia" w:ascii="仿宋_GB2312" w:hAnsi="仿宋_GB2312" w:eastAsia="仿宋_GB2312" w:cs="仿宋_GB2312"/>
          <w:sz w:val="32"/>
          <w:szCs w:val="32"/>
        </w:rPr>
        <w:t>万元，降低1</w:t>
      </w:r>
      <w:r>
        <w:rPr>
          <w:rFonts w:ascii="仿宋_GB2312" w:hAnsi="仿宋_GB2312" w:eastAsia="仿宋_GB2312" w:cs="仿宋_GB2312"/>
          <w:sz w:val="32"/>
          <w:szCs w:val="32"/>
        </w:rPr>
        <w:t>0.79</w:t>
      </w:r>
      <w:r>
        <w:rPr>
          <w:rFonts w:hint="eastAsia" w:ascii="仿宋_GB2312" w:hAnsi="仿宋_GB2312" w:eastAsia="仿宋_GB2312" w:cs="仿宋_GB2312"/>
          <w:sz w:val="32"/>
          <w:szCs w:val="32"/>
        </w:rPr>
        <w:t>%。主要原因是</w:t>
      </w:r>
      <w:r>
        <w:rPr>
          <w:rFonts w:hint="eastAsia" w:ascii="仿宋_GB2312" w:hAnsi="Times New Roman" w:eastAsia="仿宋_GB2312" w:cs="DengXian-Regular"/>
          <w:sz w:val="32"/>
          <w:szCs w:val="32"/>
        </w:rPr>
        <w:t>主要原因是厉行节约减少邮电费、会议费等支出，所以机关运行经费减少</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本部门2020年度政府采购支出总额3</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万元，从</w:t>
      </w:r>
      <w:r>
        <w:rPr>
          <w:rFonts w:ascii="仿宋_GB2312" w:hAnsi="仿宋_GB2312" w:eastAsia="仿宋_GB2312" w:cs="仿宋_GB2312"/>
          <w:sz w:val="32"/>
          <w:szCs w:val="32"/>
        </w:rPr>
        <w:t>采购</w:t>
      </w:r>
      <w:r>
        <w:rPr>
          <w:rFonts w:hint="eastAsia" w:ascii="仿宋_GB2312" w:hAnsi="仿宋_GB2312" w:eastAsia="仿宋_GB2312" w:cs="仿宋_GB2312"/>
          <w:sz w:val="32"/>
          <w:szCs w:val="32"/>
        </w:rPr>
        <w:t>类型来看，</w:t>
      </w:r>
      <w:r>
        <w:rPr>
          <w:rFonts w:hint="eastAsia" w:ascii="仿宋_GB2312" w:hAnsi="仿宋_GB2312" w:eastAsia="仿宋_GB2312" w:cs="仿宋_GB2312"/>
          <w:color w:val="000000"/>
          <w:kern w:val="0"/>
          <w:sz w:val="32"/>
          <w:szCs w:val="32"/>
          <w:lang w:bidi="ar"/>
        </w:rPr>
        <w:t>政府采购货物支出0 万元、政府采购工程支出</w:t>
      </w:r>
      <w:r>
        <w:rPr>
          <w:rFonts w:ascii="仿宋_GB2312" w:hAnsi="仿宋_GB2312" w:eastAsia="仿宋_GB2312" w:cs="仿宋_GB2312"/>
          <w:color w:val="000000"/>
          <w:kern w:val="0"/>
          <w:sz w:val="32"/>
          <w:szCs w:val="32"/>
          <w:lang w:bidi="ar"/>
        </w:rPr>
        <w:t>0</w:t>
      </w:r>
      <w:r>
        <w:rPr>
          <w:rFonts w:hint="eastAsia" w:ascii="仿宋_GB2312" w:hAnsi="仿宋_GB2312" w:eastAsia="仿宋_GB2312" w:cs="仿宋_GB2312"/>
          <w:color w:val="000000"/>
          <w:kern w:val="0"/>
          <w:sz w:val="32"/>
          <w:szCs w:val="32"/>
          <w:lang w:bidi="ar"/>
        </w:rPr>
        <w:t>万元、政府采购服务支出3</w:t>
      </w:r>
      <w:r>
        <w:rPr>
          <w:rFonts w:ascii="仿宋_GB2312" w:hAnsi="仿宋_GB2312" w:eastAsia="仿宋_GB2312" w:cs="仿宋_GB2312"/>
          <w:color w:val="000000"/>
          <w:kern w:val="0"/>
          <w:sz w:val="32"/>
          <w:szCs w:val="32"/>
          <w:lang w:bidi="ar"/>
        </w:rPr>
        <w:t>7</w:t>
      </w:r>
      <w:r>
        <w:rPr>
          <w:rFonts w:hint="eastAsia" w:ascii="仿宋_GB2312" w:hAnsi="仿宋_GB2312" w:eastAsia="仿宋_GB2312" w:cs="仿宋_GB2312"/>
          <w:color w:val="000000"/>
          <w:kern w:val="0"/>
          <w:sz w:val="32"/>
          <w:szCs w:val="32"/>
          <w:lang w:bidi="ar"/>
        </w:rPr>
        <w:t>万元。授予中小企业合同金额3</w:t>
      </w:r>
      <w:r>
        <w:rPr>
          <w:rFonts w:ascii="仿宋_GB2312" w:hAnsi="仿宋_GB2312" w:eastAsia="仿宋_GB2312" w:cs="仿宋_GB2312"/>
          <w:color w:val="000000"/>
          <w:kern w:val="0"/>
          <w:sz w:val="32"/>
          <w:szCs w:val="32"/>
          <w:lang w:bidi="ar"/>
        </w:rPr>
        <w:t>7</w:t>
      </w:r>
      <w:r>
        <w:rPr>
          <w:rFonts w:hint="eastAsia" w:ascii="仿宋_GB2312" w:hAnsi="仿宋_GB2312" w:eastAsia="仿宋_GB2312" w:cs="仿宋_GB2312"/>
          <w:color w:val="000000"/>
          <w:kern w:val="0"/>
          <w:sz w:val="32"/>
          <w:szCs w:val="32"/>
          <w:lang w:bidi="ar"/>
        </w:rPr>
        <w:t>万元，占政府采购支出总额的</w:t>
      </w:r>
      <w:r>
        <w:rPr>
          <w:rFonts w:ascii="仿宋_GB2312" w:hAnsi="仿宋_GB2312" w:eastAsia="仿宋_GB2312" w:cs="仿宋_GB2312"/>
          <w:color w:val="000000"/>
          <w:kern w:val="0"/>
          <w:sz w:val="32"/>
          <w:szCs w:val="32"/>
          <w:lang w:bidi="ar"/>
        </w:rPr>
        <w:t>100</w:t>
      </w:r>
      <w:r>
        <w:rPr>
          <w:rFonts w:hint="eastAsia" w:ascii="仿宋_GB2312" w:hAnsi="仿宋_GB2312" w:eastAsia="仿宋_GB2312" w:cs="仿宋_GB2312"/>
          <w:color w:val="000000"/>
          <w:kern w:val="0"/>
          <w:sz w:val="32"/>
          <w:szCs w:val="32"/>
          <w:lang w:bidi="ar"/>
        </w:rPr>
        <w:t>%，其中授予小微企业合同金额</w:t>
      </w:r>
      <w:r>
        <w:rPr>
          <w:rFonts w:ascii="仿宋_GB2312" w:hAnsi="仿宋_GB2312" w:eastAsia="仿宋_GB2312" w:cs="仿宋_GB2312"/>
          <w:color w:val="000000"/>
          <w:kern w:val="0"/>
          <w:sz w:val="32"/>
          <w:szCs w:val="32"/>
          <w:lang w:bidi="ar"/>
        </w:rPr>
        <w:t>37</w:t>
      </w:r>
      <w:r>
        <w:rPr>
          <w:rFonts w:hint="eastAsia" w:ascii="仿宋_GB2312" w:hAnsi="仿宋_GB2312" w:eastAsia="仿宋_GB2312" w:cs="仿宋_GB2312"/>
          <w:color w:val="000000"/>
          <w:kern w:val="0"/>
          <w:sz w:val="32"/>
          <w:szCs w:val="32"/>
          <w:lang w:bidi="ar"/>
        </w:rPr>
        <w:t xml:space="preserve">万元，占政府采购支出总额的 </w:t>
      </w:r>
      <w:r>
        <w:rPr>
          <w:rFonts w:ascii="仿宋_GB2312" w:hAnsi="仿宋_GB2312" w:eastAsia="仿宋_GB2312" w:cs="仿宋_GB2312"/>
          <w:color w:val="000000"/>
          <w:kern w:val="0"/>
          <w:sz w:val="32"/>
          <w:szCs w:val="32"/>
          <w:lang w:bidi="ar"/>
        </w:rPr>
        <w:t>100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ind w:firstLine="640" w:firstLineChars="200"/>
        <w:rPr>
          <w:rFonts w:ascii="仿宋_GB2312" w:eastAsia="仿宋_GB2312" w:cs="DengXian-Regular"/>
          <w:sz w:val="32"/>
          <w:szCs w:val="32"/>
        </w:rPr>
      </w:pPr>
      <w:r>
        <w:rPr>
          <w:rFonts w:hint="eastAsia" w:ascii="仿宋_GB2312" w:hAnsi="仿宋_GB2312" w:eastAsia="仿宋_GB2312" w:cs="仿宋_GB2312"/>
          <w:sz w:val="32"/>
          <w:szCs w:val="32"/>
        </w:rPr>
        <w:t>截至2020年12月31日，</w:t>
      </w:r>
      <w:r>
        <w:rPr>
          <w:rFonts w:hint="eastAsia" w:ascii="仿宋_GB2312" w:hAnsi="Times New Roman" w:eastAsia="仿宋_GB2312" w:cs="DengXian-Regular"/>
          <w:sz w:val="32"/>
          <w:szCs w:val="32"/>
        </w:rPr>
        <w:t>本部门共有车辆1</w:t>
      </w:r>
      <w:r>
        <w:rPr>
          <w:rFonts w:ascii="仿宋_GB2312" w:hAnsi="Times New Roman" w:eastAsia="仿宋_GB2312" w:cs="DengXian-Regular"/>
          <w:sz w:val="32"/>
          <w:szCs w:val="32"/>
        </w:rPr>
        <w:t>3</w:t>
      </w:r>
      <w:r>
        <w:rPr>
          <w:rFonts w:hint="eastAsia" w:ascii="仿宋_GB2312" w:hAnsi="Times New Roman" w:eastAsia="仿宋_GB2312" w:cs="DengXian-Regular"/>
          <w:sz w:val="32"/>
          <w:szCs w:val="32"/>
        </w:rPr>
        <w:t>辆，比上年增加0辆，</w:t>
      </w:r>
      <w:r>
        <w:rPr>
          <w:rFonts w:hint="eastAsia" w:ascii="仿宋_GB2312" w:eastAsia="仿宋_GB2312" w:cs="DengXian-Regular"/>
          <w:sz w:val="32"/>
          <w:szCs w:val="32"/>
        </w:rPr>
        <w:t>与上年持平</w:t>
      </w:r>
      <w:r>
        <w:rPr>
          <w:rFonts w:hint="eastAsia" w:ascii="仿宋_GB2312" w:hAnsi="Times New Roman" w:eastAsia="仿宋_GB2312" w:cs="DengXian-Regular"/>
          <w:sz w:val="32"/>
          <w:szCs w:val="32"/>
        </w:rPr>
        <w:t>。其中，副部（省）级及以上领导用车0辆，主要领导干部用车0辆，机要通信用车0辆，应急保障用车0辆，执法执勤用车0辆，特种专业技术用车0辆，离退休干部用车0辆，其他用车1</w:t>
      </w:r>
      <w:r>
        <w:rPr>
          <w:rFonts w:ascii="仿宋_GB2312" w:hAnsi="Times New Roman" w:eastAsia="仿宋_GB2312" w:cs="DengXian-Regular"/>
          <w:sz w:val="32"/>
          <w:szCs w:val="32"/>
        </w:rPr>
        <w:t>3</w:t>
      </w:r>
      <w:r>
        <w:rPr>
          <w:rFonts w:hint="eastAsia" w:ascii="仿宋_GB2312" w:hAnsi="Times New Roman" w:eastAsia="仿宋_GB2312" w:cs="DengXian-Regular"/>
          <w:sz w:val="32"/>
          <w:szCs w:val="32"/>
        </w:rPr>
        <w:t>辆，其他用车主要是</w:t>
      </w:r>
      <w:r>
        <w:rPr>
          <w:rFonts w:hint="eastAsia" w:ascii="仿宋_GB2312" w:eastAsia="仿宋_GB2312" w:cs="DengXian-Regular"/>
          <w:sz w:val="32"/>
          <w:szCs w:val="32"/>
        </w:rPr>
        <w:t>因公外出用车5辆；车改待处理7辆。</w:t>
      </w:r>
    </w:p>
    <w:p>
      <w:pPr>
        <w:ind w:firstLine="960" w:firstLineChars="300"/>
        <w:rPr>
          <w:rFonts w:ascii="仿宋_GB2312" w:hAnsi="仿宋_GB2312" w:eastAsia="仿宋_GB2312" w:cs="仿宋_GB2312"/>
          <w:b/>
          <w:bCs/>
          <w:sz w:val="32"/>
          <w:szCs w:val="32"/>
        </w:rPr>
      </w:pPr>
      <w:r>
        <w:rPr>
          <w:rFonts w:hint="eastAsia" w:ascii="仿宋_GB2312" w:hAnsi="Times New Roman"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万元以上通用设备0台（套），比上年增加0套，主要是我单位无此类型设备，单位价值</w:t>
      </w:r>
      <w:r>
        <w:rPr>
          <w:rFonts w:hint="eastAsia"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万元以上专用设备0台（套）比上年增加0台套，主要是我单位无此类型设备。</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w:t>
      </w:r>
      <w:r>
        <w:rPr>
          <w:rFonts w:hint="eastAsia" w:ascii="仿宋_GB2312" w:eastAsia="仿宋_GB2312" w:cs="DengXian-Regular"/>
          <w:sz w:val="32"/>
          <w:szCs w:val="32"/>
        </w:rPr>
        <w:t>国有资本经营预算财政拨款支出决算表</w:t>
      </w:r>
      <w:r>
        <w:rPr>
          <w:rFonts w:hint="eastAsia" w:ascii="仿宋_GB2312" w:hAnsi="Times New Roman" w:eastAsia="仿宋_GB2312" w:cs="DengXian-Regular"/>
          <w:sz w:val="32"/>
          <w:szCs w:val="32"/>
        </w:rPr>
        <w:t>无收支及结转结余情况，故此表以空表列示。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r>
        <w:rPr>
          <w:rFonts w:ascii="仿宋_GB2312" w:hAnsi="宋体" w:eastAsia="仿宋_GB2312" w:cs="Arial Black"/>
          <w:sz w:val="32"/>
          <w:szCs w:val="32"/>
        </w:rPr>
        <w:br w:type="page"/>
      </w:r>
    </w:p>
    <w:p>
      <w:pPr>
        <w:rPr>
          <w:rFonts w:ascii="仿宋_GB2312" w:hAnsi="宋体" w:eastAsia="仿宋_GB2312" w:cs="Arial Black"/>
          <w:sz w:val="32"/>
          <w:szCs w:val="32"/>
          <w:highlight w:val="yellow"/>
        </w:rPr>
      </w:pPr>
      <w:r>
        <w:rPr>
          <w:sz w:val="72"/>
        </w:rPr>
        <mc:AlternateContent>
          <mc:Choice Requires="wps">
            <w:drawing>
              <wp:anchor distT="0" distB="0" distL="114300" distR="114300" simplePos="0" relativeHeight="251659264" behindDoc="0" locked="0" layoutInCell="1" allowOverlap="1">
                <wp:simplePos x="0" y="0"/>
                <wp:positionH relativeFrom="column">
                  <wp:posOffset>-1040130</wp:posOffset>
                </wp:positionH>
                <wp:positionV relativeFrom="paragraph">
                  <wp:posOffset>26035</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1.9pt;margin-top:2.05pt;height:263.1pt;width:613.65pt;z-index:251659264;v-text-anchor:middle;mso-width-relative:page;mso-height-relative:page;" fillcolor="#7F7F7F [1612]" filled="t" stroked="t" coordsize="21600,21600" o:gfxdata="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CXbtHtgAAAALAQAADwAA&#10;AAAAAAABACAAAAAiAAAAZHJzL2Rvd25yZXYueG1sUEsBAhQAFAAAAAgAh07iQMGdnwmIAgAATAUA&#10;AA4AAAAAAAAAAQAgAAAAJwEAAGRycy9lMm9Eb2MueG1sUEsFBgAAAAAGAAYAWQEAACEGAAAAAA==&#10;">
                <v:fill type="pattern" on="t" color2="#FFFFFF [3212]" o:title="5%" focussize="0,0" r:id="rId10"/>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pPr>
    </w:p>
    <w:p>
      <w:pPr>
        <w:widowControl/>
        <w:spacing w:after="160" w:line="580" w:lineRule="exact"/>
        <w:rPr>
          <w:rFonts w:ascii="Times New Roman" w:hAnsi="Times New Roman" w:eastAsia="黑体" w:cs="Times New Roman"/>
          <w:sz w:val="32"/>
          <w:szCs w:val="32"/>
        </w:rPr>
        <w:sectPr>
          <w:headerReference r:id="rId7" w:type="default"/>
          <w:pgSz w:w="11906" w:h="16838"/>
          <w:pgMar w:top="2098" w:right="1531" w:bottom="1984" w:left="1531" w:header="851" w:footer="992" w:gutter="0"/>
          <w:pgNumType w:fmt="numberInDash"/>
          <w:cols w:space="0" w:num="1"/>
          <w:titlePg/>
          <w:docGrid w:type="lines" w:linePitch="312" w:charSpace="0"/>
        </w:sectPr>
      </w:pPr>
    </w:p>
    <w:p>
      <w:r>
        <w:rPr>
          <w:sz w:val="72"/>
        </w:rPr>
        <mc:AlternateContent>
          <mc:Choice Requires="wps">
            <w:drawing>
              <wp:anchor distT="0" distB="0" distL="114300" distR="114300" simplePos="0" relativeHeight="251662336"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2336;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0"/>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p/>
    <w:p/>
    <w:p/>
    <w:p/>
    <w:p/>
    <w:p/>
    <w:p/>
    <w:p/>
    <w:p>
      <w:pPr>
        <w:sectPr>
          <w:pgSz w:w="11906" w:h="16838"/>
          <w:pgMar w:top="2098" w:right="1531" w:bottom="1984" w:left="1531" w:header="851" w:footer="992" w:gutter="0"/>
          <w:cols w:space="425" w:num="1"/>
          <w:docGrid w:type="lines" w:linePitch="312" w:charSpace="0"/>
        </w:sectPr>
      </w:pPr>
    </w:p>
    <w:p>
      <w:pPr>
        <w:rPr>
          <w:rFonts w:hint="default"/>
        </w:rPr>
        <w:sectPr>
          <w:pgSz w:w="11906" w:h="16838"/>
          <w:pgMar w:top="2098" w:right="1531" w:bottom="1984" w:left="1531" w:header="851" w:footer="992" w:gutter="0"/>
          <w:cols w:space="425" w:num="1"/>
          <w:docGrid w:type="lines" w:linePitch="312" w:charSpace="0"/>
        </w:sectPr>
      </w:pPr>
      <w:r>
        <w:rPr>
          <w:rFonts w:hint="default"/>
        </w:rPr>
        <w:drawing>
          <wp:inline distT="0" distB="0" distL="114300" distR="114300">
            <wp:extent cx="5796280" cy="7966075"/>
            <wp:effectExtent l="0" t="0" r="13970" b="15875"/>
            <wp:docPr id="4" name="图片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1）"/>
                    <pic:cNvPicPr>
                      <a:picLocks noChangeAspect="1"/>
                    </pic:cNvPicPr>
                  </pic:nvPicPr>
                  <pic:blipFill>
                    <a:blip r:embed="rId11"/>
                    <a:stretch>
                      <a:fillRect/>
                    </a:stretch>
                  </pic:blipFill>
                  <pic:spPr>
                    <a:xfrm>
                      <a:off x="0" y="0"/>
                      <a:ext cx="5796280" cy="7966075"/>
                    </a:xfrm>
                    <a:prstGeom prst="rect">
                      <a:avLst/>
                    </a:prstGeom>
                  </pic:spPr>
                </pic:pic>
              </a:graphicData>
            </a:graphic>
          </wp:inline>
        </w:drawing>
      </w:r>
    </w:p>
    <w:p>
      <w:r>
        <w:drawing>
          <wp:inline distT="0" distB="0" distL="114300" distR="114300">
            <wp:extent cx="6125210" cy="7990205"/>
            <wp:effectExtent l="0" t="0" r="8890" b="10795"/>
            <wp:docPr id="15" name="图片 15" descr="/home/inspur1/桌面/02）.pn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ome/inspur1/桌面/02）.png02）"/>
                    <pic:cNvPicPr>
                      <a:picLocks noChangeAspect="1"/>
                    </pic:cNvPicPr>
                  </pic:nvPicPr>
                  <pic:blipFill>
                    <a:blip r:embed="rId12"/>
                    <a:srcRect/>
                    <a:stretch>
                      <a:fillRect/>
                    </a:stretch>
                  </pic:blipFill>
                  <pic:spPr>
                    <a:xfrm>
                      <a:off x="0" y="0"/>
                      <a:ext cx="6125210" cy="7990205"/>
                    </a:xfrm>
                    <a:prstGeom prst="rect">
                      <a:avLst/>
                    </a:prstGeom>
                  </pic:spPr>
                </pic:pic>
              </a:graphicData>
            </a:graphic>
          </wp:inline>
        </w:drawing>
      </w:r>
      <w:r>
        <w:br w:type="page"/>
      </w:r>
    </w:p>
    <w:p>
      <w:pPr>
        <w:rPr>
          <w:rFonts w:hint="default"/>
        </w:rPr>
        <w:sectPr>
          <w:pgSz w:w="11906" w:h="16838"/>
          <w:pgMar w:top="2098" w:right="1531" w:bottom="1984" w:left="1531" w:header="851" w:footer="992" w:gutter="0"/>
          <w:cols w:space="425" w:num="1"/>
          <w:docGrid w:type="lines" w:linePitch="312" w:charSpace="0"/>
        </w:sectPr>
      </w:pPr>
      <w:r>
        <w:rPr>
          <w:rFonts w:hint="default"/>
        </w:rPr>
        <w:drawing>
          <wp:anchor distT="0" distB="0" distL="114300" distR="114300" simplePos="0" relativeHeight="251663360" behindDoc="0" locked="0" layoutInCell="1" allowOverlap="1">
            <wp:simplePos x="0" y="0"/>
            <wp:positionH relativeFrom="column">
              <wp:posOffset>-132715</wp:posOffset>
            </wp:positionH>
            <wp:positionV relativeFrom="paragraph">
              <wp:posOffset>140335</wp:posOffset>
            </wp:positionV>
            <wp:extent cx="6113780" cy="7957820"/>
            <wp:effectExtent l="0" t="0" r="1270" b="5080"/>
            <wp:wrapSquare wrapText="bothSides"/>
            <wp:docPr id="14" name="图片 14" descr="/home/inspur1/桌面/03.pn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ome/inspur1/桌面/03.png03"/>
                    <pic:cNvPicPr>
                      <a:picLocks noChangeAspect="1"/>
                    </pic:cNvPicPr>
                  </pic:nvPicPr>
                  <pic:blipFill>
                    <a:blip r:embed="rId13"/>
                    <a:srcRect/>
                    <a:stretch>
                      <a:fillRect/>
                    </a:stretch>
                  </pic:blipFill>
                  <pic:spPr>
                    <a:xfrm>
                      <a:off x="0" y="0"/>
                      <a:ext cx="6113780" cy="7957820"/>
                    </a:xfrm>
                    <a:prstGeom prst="rect">
                      <a:avLst/>
                    </a:prstGeom>
                  </pic:spPr>
                </pic:pic>
              </a:graphicData>
            </a:graphic>
          </wp:anchor>
        </w:drawing>
      </w:r>
    </w:p>
    <w:p>
      <w:pPr>
        <w:rPr>
          <w:rFonts w:hint="default"/>
        </w:rPr>
        <w:sectPr>
          <w:pgSz w:w="16838" w:h="11906" w:orient="landscape"/>
          <w:pgMar w:top="1531" w:right="2098" w:bottom="1531" w:left="1984" w:header="851" w:footer="992" w:gutter="0"/>
          <w:cols w:space="425" w:num="1"/>
          <w:docGrid w:type="lines" w:linePitch="312" w:charSpace="0"/>
        </w:sectPr>
      </w:pPr>
      <w:r>
        <w:rPr>
          <w:rFonts w:hint="default"/>
        </w:rPr>
        <w:drawing>
          <wp:inline distT="0" distB="0" distL="114300" distR="114300">
            <wp:extent cx="8174355" cy="5560060"/>
            <wp:effectExtent l="0" t="0" r="17145" b="2540"/>
            <wp:docPr id="13" name="图片 13" descr="/home/inspur1/桌面/04.pn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ome/inspur1/桌面/04.png04"/>
                    <pic:cNvPicPr>
                      <a:picLocks noChangeAspect="1"/>
                    </pic:cNvPicPr>
                  </pic:nvPicPr>
                  <pic:blipFill>
                    <a:blip r:embed="rId14"/>
                    <a:srcRect/>
                    <a:stretch>
                      <a:fillRect/>
                    </a:stretch>
                  </pic:blipFill>
                  <pic:spPr>
                    <a:xfrm>
                      <a:off x="0" y="0"/>
                      <a:ext cx="8174355" cy="5560060"/>
                    </a:xfrm>
                    <a:prstGeom prst="rect">
                      <a:avLst/>
                    </a:prstGeom>
                  </pic:spPr>
                </pic:pic>
              </a:graphicData>
            </a:graphic>
          </wp:inline>
        </w:drawing>
      </w:r>
    </w:p>
    <w:p>
      <w:pPr>
        <w:rPr>
          <w:rFonts w:hint="default"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r>
        <w:rPr>
          <w:rFonts w:hint="default" w:ascii="黑体" w:hAnsi="宋体" w:eastAsia="黑体" w:cs="黑体"/>
          <w:color w:val="000000"/>
          <w:kern w:val="0"/>
          <w:sz w:val="28"/>
          <w:szCs w:val="28"/>
          <w:lang w:bidi="ar"/>
        </w:rPr>
        <w:drawing>
          <wp:inline distT="0" distB="0" distL="114300" distR="114300">
            <wp:extent cx="5826125" cy="8006715"/>
            <wp:effectExtent l="0" t="0" r="3175" b="13335"/>
            <wp:docPr id="11" name="图片 11" descr="/home/inspur1/桌面/05.pn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ome/inspur1/桌面/05.png05"/>
                    <pic:cNvPicPr>
                      <a:picLocks noChangeAspect="1"/>
                    </pic:cNvPicPr>
                  </pic:nvPicPr>
                  <pic:blipFill>
                    <a:blip r:embed="rId15"/>
                    <a:srcRect/>
                    <a:stretch>
                      <a:fillRect/>
                    </a:stretch>
                  </pic:blipFill>
                  <pic:spPr>
                    <a:xfrm>
                      <a:off x="0" y="0"/>
                      <a:ext cx="5826125" cy="8006715"/>
                    </a:xfrm>
                    <a:prstGeom prst="rect">
                      <a:avLst/>
                    </a:prstGeom>
                  </pic:spPr>
                </pic:pic>
              </a:graphicData>
            </a:graphic>
          </wp:inline>
        </w:drawing>
      </w:r>
    </w:p>
    <w:p>
      <w:pPr>
        <w:widowControl/>
        <w:jc w:val="center"/>
        <w:textAlignment w:val="center"/>
        <w:rPr>
          <w:rFonts w:hint="default"/>
        </w:rPr>
        <w:sectPr>
          <w:pgSz w:w="16838" w:h="11906" w:orient="landscape"/>
          <w:pgMar w:top="1531" w:right="2098" w:bottom="1531" w:left="1984" w:header="851" w:footer="992" w:gutter="0"/>
          <w:cols w:space="425" w:num="1"/>
          <w:docGrid w:type="lines" w:linePitch="312" w:charSpace="0"/>
        </w:sectPr>
      </w:pPr>
      <w:r>
        <w:rPr>
          <w:rFonts w:hint="default"/>
        </w:rPr>
        <w:drawing>
          <wp:inline distT="0" distB="0" distL="114300" distR="114300">
            <wp:extent cx="8949055" cy="5476875"/>
            <wp:effectExtent l="0" t="0" r="4445" b="9525"/>
            <wp:docPr id="5" name="图片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6"/>
                    <pic:cNvPicPr>
                      <a:picLocks noChangeAspect="1"/>
                    </pic:cNvPicPr>
                  </pic:nvPicPr>
                  <pic:blipFill>
                    <a:blip r:embed="rId16"/>
                    <a:stretch>
                      <a:fillRect/>
                    </a:stretch>
                  </pic:blipFill>
                  <pic:spPr>
                    <a:xfrm>
                      <a:off x="0" y="0"/>
                      <a:ext cx="8949055" cy="5476875"/>
                    </a:xfrm>
                    <a:prstGeom prst="rect">
                      <a:avLst/>
                    </a:prstGeom>
                  </pic:spPr>
                </pic:pic>
              </a:graphicData>
            </a:graphic>
          </wp:inline>
        </w:drawing>
      </w:r>
    </w:p>
    <w:tbl>
      <w:tblPr>
        <w:tblStyle w:val="6"/>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eastAsia="宋体" w:cs="宋体"/>
                <w:color w:val="000000"/>
                <w:szCs w:val="22"/>
              </w:rPr>
            </w:pPr>
            <w:r>
              <w:rPr>
                <w:rFonts w:hint="default" w:ascii="宋体" w:hAnsi="宋体" w:eastAsia="宋体" w:cs="宋体"/>
                <w:color w:val="000000"/>
                <w:szCs w:val="22"/>
              </w:rPr>
              <w:t>10.9</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eastAsia="宋体" w:cs="宋体"/>
                <w:color w:val="000000"/>
                <w:szCs w:val="22"/>
              </w:rPr>
            </w:pPr>
            <w:r>
              <w:rPr>
                <w:rFonts w:hint="default" w:ascii="宋体" w:hAnsi="宋体" w:eastAsia="宋体" w:cs="宋体"/>
                <w:color w:val="000000"/>
                <w:szCs w:val="22"/>
              </w:rPr>
              <w:t>10.14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eastAsia="宋体" w:cs="宋体"/>
                <w:color w:val="000000"/>
                <w:szCs w:val="22"/>
              </w:rPr>
            </w:pPr>
            <w:r>
              <w:rPr>
                <w:rFonts w:hint="default" w:ascii="宋体" w:hAnsi="宋体" w:eastAsia="宋体" w:cs="宋体"/>
                <w:color w:val="000000"/>
                <w:szCs w:val="22"/>
              </w:rPr>
              <w:t>10.14</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hint="default" w:ascii="宋体" w:hAnsi="宋体" w:eastAsia="宋体" w:cs="宋体"/>
                <w:color w:val="000000"/>
                <w:szCs w:val="22"/>
              </w:rPr>
            </w:pPr>
            <w:r>
              <w:rPr>
                <w:rFonts w:hint="default" w:ascii="宋体" w:hAnsi="宋体" w:eastAsia="宋体" w:cs="宋体"/>
                <w:color w:val="000000"/>
                <w:szCs w:val="22"/>
              </w:rPr>
              <w:t>0.76</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eastAsia="宋体" w:cs="宋体"/>
                <w:color w:val="000000"/>
                <w:szCs w:val="22"/>
              </w:rPr>
            </w:pPr>
            <w:r>
              <w:rPr>
                <w:rFonts w:hint="default" w:ascii="宋体" w:hAnsi="宋体" w:eastAsia="宋体" w:cs="宋体"/>
                <w:color w:val="000000"/>
                <w:szCs w:val="22"/>
              </w:rPr>
              <w:t>6.96</w:t>
            </w:r>
          </w:p>
        </w:tc>
        <w:tc>
          <w:tcPr>
            <w:tcW w:w="168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tabs>
                <w:tab w:val="left" w:pos="382"/>
              </w:tabs>
              <w:jc w:val="center"/>
              <w:rPr>
                <w:rFonts w:hint="default" w:ascii="宋体" w:hAnsi="宋体" w:eastAsia="宋体" w:cs="宋体"/>
                <w:color w:val="000000"/>
                <w:szCs w:val="22"/>
              </w:rPr>
            </w:pPr>
            <w:r>
              <w:rPr>
                <w:rFonts w:hint="default" w:ascii="宋体" w:hAnsi="宋体" w:eastAsia="宋体" w:cs="宋体"/>
                <w:color w:val="000000"/>
                <w:szCs w:val="22"/>
              </w:rPr>
              <w:t>6.96</w:t>
            </w:r>
          </w:p>
        </w:tc>
        <w:tc>
          <w:tcPr>
            <w:tcW w:w="156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eastAsia="宋体" w:cs="宋体"/>
                <w:color w:val="000000"/>
                <w:szCs w:val="22"/>
              </w:rPr>
            </w:pPr>
            <w:r>
              <w:rPr>
                <w:rFonts w:hint="default" w:ascii="宋体" w:hAnsi="宋体" w:eastAsia="宋体" w:cs="宋体"/>
                <w:color w:val="000000"/>
                <w:szCs w:val="22"/>
              </w:rPr>
              <w:t>6.96</w:t>
            </w:r>
          </w:p>
        </w:tc>
        <w:tc>
          <w:tcPr>
            <w:tcW w:w="15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6"/>
        <w:tblW w:w="9510" w:type="dxa"/>
        <w:jc w:val="center"/>
        <w:tblLayout w:type="fixed"/>
        <w:tblCellMar>
          <w:top w:w="0" w:type="dxa"/>
          <w:left w:w="0" w:type="dxa"/>
          <w:bottom w:w="0" w:type="dxa"/>
          <w:right w:w="0" w:type="dxa"/>
        </w:tblCellMar>
      </w:tblPr>
      <w:tblGrid>
        <w:gridCol w:w="967"/>
        <w:gridCol w:w="61"/>
        <w:gridCol w:w="61"/>
        <w:gridCol w:w="1407"/>
        <w:gridCol w:w="1169"/>
        <w:gridCol w:w="1169"/>
        <w:gridCol w:w="1169"/>
        <w:gridCol w:w="1169"/>
        <w:gridCol w:w="1169"/>
        <w:gridCol w:w="1169"/>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96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40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2338" w:type="dxa"/>
            <w:gridSpan w:val="2"/>
            <w:tcBorders>
              <w:top w:val="nil"/>
              <w:left w:val="nil"/>
              <w:bottom w:val="nil"/>
              <w:right w:val="nil"/>
            </w:tcBorders>
            <w:shd w:val="clear" w:color="auto" w:fill="auto"/>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967" w:type="dxa"/>
            <w:tcBorders>
              <w:top w:val="nil"/>
              <w:left w:val="nil"/>
              <w:bottom w:val="nil"/>
              <w:right w:val="nil"/>
            </w:tcBorders>
            <w:shd w:val="clear" w:color="auto" w:fill="auto"/>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1"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40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2338" w:type="dxa"/>
            <w:gridSpan w:val="2"/>
            <w:tcBorders>
              <w:top w:val="nil"/>
              <w:left w:val="nil"/>
              <w:bottom w:val="nil"/>
              <w:right w:val="nil"/>
            </w:tcBorders>
            <w:shd w:val="clear" w:color="auto" w:fill="auto"/>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249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50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089"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140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40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40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2496"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2496"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Cs w:val="22"/>
              </w:rPr>
            </w:pPr>
          </w:p>
        </w:tc>
        <w:tc>
          <w:tcPr>
            <w:tcW w:w="14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Cs w:val="22"/>
              </w:rPr>
            </w:pPr>
          </w:p>
        </w:tc>
        <w:tc>
          <w:tcPr>
            <w:tcW w:w="14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Cs w:val="22"/>
              </w:rPr>
            </w:pPr>
          </w:p>
        </w:tc>
        <w:tc>
          <w:tcPr>
            <w:tcW w:w="14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Cs w:val="22"/>
              </w:rPr>
            </w:pPr>
          </w:p>
        </w:tc>
        <w:tc>
          <w:tcPr>
            <w:tcW w:w="14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08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Cs w:val="22"/>
              </w:rPr>
            </w:pPr>
          </w:p>
        </w:tc>
        <w:tc>
          <w:tcPr>
            <w:tcW w:w="14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c>
          <w:tcPr>
            <w:tcW w:w="11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rPr>
      </w:pPr>
      <w:r>
        <w:rPr>
          <w:rFonts w:hint="eastAsia" w:ascii="宋体" w:hAnsi="宋体" w:eastAsia="宋体" w:cs="宋体"/>
          <w:sz w:val="20"/>
          <w:szCs w:val="22"/>
        </w:rPr>
        <w:t>注：本</w:t>
      </w:r>
      <w:r>
        <w:rPr>
          <w:rFonts w:ascii="宋体" w:hAnsi="宋体" w:eastAsia="宋体" w:cs="宋体"/>
          <w:sz w:val="20"/>
          <w:szCs w:val="22"/>
        </w:rPr>
        <w:t>部门本年度</w:t>
      </w:r>
      <w:r>
        <w:rPr>
          <w:rFonts w:hint="eastAsia" w:ascii="宋体" w:hAnsi="宋体" w:eastAsia="宋体" w:cs="宋体"/>
          <w:sz w:val="20"/>
          <w:szCs w:val="22"/>
        </w:rPr>
        <w:t>无</w:t>
      </w:r>
      <w:r>
        <w:rPr>
          <w:rFonts w:ascii="宋体" w:hAnsi="宋体" w:eastAsia="宋体" w:cs="宋体"/>
          <w:sz w:val="20"/>
          <w:szCs w:val="22"/>
        </w:rPr>
        <w:t>相关支出，</w:t>
      </w:r>
      <w:r>
        <w:rPr>
          <w:rFonts w:hint="eastAsia" w:ascii="宋体" w:hAnsi="宋体" w:eastAsia="宋体" w:cs="宋体"/>
          <w:sz w:val="20"/>
          <w:szCs w:val="22"/>
        </w:rPr>
        <w:t>按</w:t>
      </w:r>
      <w:r>
        <w:rPr>
          <w:rFonts w:ascii="宋体" w:hAnsi="宋体" w:eastAsia="宋体" w:cs="宋体"/>
          <w:sz w:val="20"/>
          <w:szCs w:val="22"/>
        </w:rPr>
        <w:t>要</w:t>
      </w:r>
      <w:r>
        <w:rPr>
          <w:rFonts w:hint="eastAsia" w:ascii="宋体" w:hAnsi="宋体" w:eastAsia="宋体" w:cs="宋体"/>
          <w:sz w:val="20"/>
          <w:szCs w:val="22"/>
        </w:rPr>
        <w:t>求</w:t>
      </w:r>
      <w:r>
        <w:rPr>
          <w:rFonts w:ascii="宋体" w:hAnsi="宋体" w:eastAsia="宋体" w:cs="宋体"/>
          <w:sz w:val="20"/>
          <w:szCs w:val="22"/>
        </w:rPr>
        <w:t>以空表列示</w:t>
      </w:r>
      <w:r>
        <w:rPr>
          <w:rFonts w:hint="eastAsia"/>
          <w:b/>
          <w:sz w:val="20"/>
          <w:szCs w:val="22"/>
        </w:rPr>
        <w:t>.</w:t>
      </w:r>
      <w:r>
        <w:rPr>
          <w:b/>
          <w:sz w:val="20"/>
          <w:szCs w:val="22"/>
        </w:rPr>
        <w:tab/>
      </w:r>
      <w:r>
        <w:rPr>
          <w:b/>
          <w:sz w:val="20"/>
          <w:szCs w:val="22"/>
        </w:rPr>
        <w:br w:type="page"/>
      </w:r>
    </w:p>
    <w:tbl>
      <w:tblPr>
        <w:tblStyle w:val="6"/>
        <w:tblW w:w="9064" w:type="dxa"/>
        <w:tblInd w:w="0" w:type="dxa"/>
        <w:tblLayout w:type="fixed"/>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highlight w:val="yellow"/>
        </w:rPr>
      </w:pPr>
      <w:r>
        <w:rPr>
          <w:rFonts w:hint="eastAsia" w:ascii="宋体" w:hAnsi="宋体" w:eastAsia="宋体" w:cs="宋体"/>
          <w:sz w:val="20"/>
          <w:szCs w:val="22"/>
        </w:rPr>
        <w:t>注：本</w:t>
      </w:r>
      <w:r>
        <w:rPr>
          <w:rFonts w:ascii="宋体" w:hAnsi="宋体" w:eastAsia="宋体" w:cs="宋体"/>
          <w:sz w:val="20"/>
          <w:szCs w:val="22"/>
        </w:rPr>
        <w:t>部门本年度</w:t>
      </w:r>
      <w:r>
        <w:rPr>
          <w:rFonts w:hint="eastAsia" w:ascii="宋体" w:hAnsi="宋体" w:eastAsia="宋体" w:cs="宋体"/>
          <w:sz w:val="20"/>
          <w:szCs w:val="22"/>
        </w:rPr>
        <w:t>无</w:t>
      </w:r>
      <w:r>
        <w:rPr>
          <w:rFonts w:ascii="宋体" w:hAnsi="宋体" w:eastAsia="宋体" w:cs="宋体"/>
          <w:sz w:val="20"/>
          <w:szCs w:val="22"/>
        </w:rPr>
        <w:t>相关支出，</w:t>
      </w:r>
      <w:r>
        <w:rPr>
          <w:rFonts w:hint="eastAsia" w:ascii="宋体" w:hAnsi="宋体" w:eastAsia="宋体" w:cs="宋体"/>
          <w:sz w:val="20"/>
          <w:szCs w:val="22"/>
        </w:rPr>
        <w:t>按</w:t>
      </w:r>
      <w:r>
        <w:rPr>
          <w:rFonts w:ascii="宋体" w:hAnsi="宋体" w:eastAsia="宋体" w:cs="宋体"/>
          <w:sz w:val="20"/>
          <w:szCs w:val="22"/>
        </w:rPr>
        <w:t>要</w:t>
      </w:r>
      <w:r>
        <w:rPr>
          <w:rFonts w:hint="eastAsia" w:ascii="宋体" w:hAnsi="宋体" w:eastAsia="宋体" w:cs="宋体"/>
          <w:sz w:val="20"/>
          <w:szCs w:val="22"/>
        </w:rPr>
        <w:t>求</w:t>
      </w:r>
      <w:r>
        <w:rPr>
          <w:rFonts w:ascii="宋体" w:hAnsi="宋体" w:eastAsia="宋体" w:cs="宋体"/>
          <w:sz w:val="20"/>
          <w:szCs w:val="22"/>
        </w:rPr>
        <w:t>以空表列示</w:t>
      </w:r>
      <w:r>
        <w:rPr>
          <w:rFonts w:hint="eastAsia"/>
          <w:b/>
          <w:sz w:val="20"/>
          <w:szCs w:val="22"/>
        </w:rPr>
        <w:t>.</w:t>
      </w:r>
      <w:r>
        <w:rPr>
          <w:b/>
          <w:sz w:val="20"/>
          <w:szCs w:val="22"/>
        </w:rPr>
        <w:tab/>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1312;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_x000B__x000C_">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1" w:csb1="00000000"/>
  </w:font>
  <w:font w:name="Cambria">
    <w:panose1 w:val="02040503050406030204"/>
    <w:charset w:val="00"/>
    <w:family w:val="roman"/>
    <w:pitch w:val="default"/>
    <w:sig w:usb0="E00002FF" w:usb1="400004FF" w:usb2="00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Mongolian Baiti">
    <w:panose1 w:val="03000500000000000000"/>
    <w:charset w:val="00"/>
    <w:family w:val="script"/>
    <w:pitch w:val="default"/>
    <w:sig w:usb0="80000023" w:usb1="00000000" w:usb2="00020000" w:usb3="00000000" w:csb0="00000001" w:csb1="00000000"/>
  </w:font>
  <w:font w:name="DengXian-Bold">
    <w:altName w:val="宋体"/>
    <w:panose1 w:val="00000000000000000000"/>
    <w:charset w:val="86"/>
    <w:family w:val="auto"/>
    <w:pitch w:val="default"/>
    <w:sig w:usb0="00000000" w:usb1="00000000" w:usb2="00000010" w:usb3="00000000" w:csb0="00040001" w:csb1="00000000"/>
  </w:font>
  <w:font w:name="等线">
    <w:altName w:val="仿宋"/>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swiss"/>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4B923D"/>
    <w:multiLevelType w:val="singleLevel"/>
    <w:tmpl w:val="074B923D"/>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59950409"/>
    <w:multiLevelType w:val="singleLevel"/>
    <w:tmpl w:val="59950409"/>
    <w:lvl w:ilvl="0" w:tentative="0">
      <w:start w:val="1"/>
      <w:numFmt w:val="decimal"/>
      <w:suff w:val="space"/>
      <w:lvlText w:val="%1."/>
      <w:lvlJc w:val="left"/>
    </w:lvl>
  </w:abstractNum>
  <w:abstractNum w:abstractNumId="3">
    <w:nsid w:val="78C1413D"/>
    <w:multiLevelType w:val="singleLevel"/>
    <w:tmpl w:val="78C1413D"/>
    <w:lvl w:ilvl="0" w:tentative="0">
      <w:start w:val="1"/>
      <w:numFmt w:val="decimal"/>
      <w:suff w:val="space"/>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MyZGEwMThhNTM3YTY0N2U2NmY3MzkzODM5YWI5MmIifQ=="/>
    <w:docVar w:name="KSO_WPS_MARK_KEY" w:val="19c5f1f8-ac95-4ea5-a911-06ff1f7e4a40"/>
  </w:docVars>
  <w:rsids>
    <w:rsidRoot w:val="34C45458"/>
    <w:rsid w:val="000359DF"/>
    <w:rsid w:val="00061A05"/>
    <w:rsid w:val="00061B93"/>
    <w:rsid w:val="00065423"/>
    <w:rsid w:val="000C5C2A"/>
    <w:rsid w:val="000F49A6"/>
    <w:rsid w:val="00130A20"/>
    <w:rsid w:val="00147453"/>
    <w:rsid w:val="0018668E"/>
    <w:rsid w:val="0018793B"/>
    <w:rsid w:val="001B73D2"/>
    <w:rsid w:val="001D71A5"/>
    <w:rsid w:val="001E62BF"/>
    <w:rsid w:val="001F72DE"/>
    <w:rsid w:val="001F7C8F"/>
    <w:rsid w:val="00215819"/>
    <w:rsid w:val="00216C8E"/>
    <w:rsid w:val="0021723A"/>
    <w:rsid w:val="00227BF6"/>
    <w:rsid w:val="00237894"/>
    <w:rsid w:val="00293E7B"/>
    <w:rsid w:val="002A1A4D"/>
    <w:rsid w:val="002D1852"/>
    <w:rsid w:val="002D1F4F"/>
    <w:rsid w:val="002D5EFC"/>
    <w:rsid w:val="00310EBF"/>
    <w:rsid w:val="00317105"/>
    <w:rsid w:val="00356565"/>
    <w:rsid w:val="00366D90"/>
    <w:rsid w:val="003A7E0D"/>
    <w:rsid w:val="003B2A9F"/>
    <w:rsid w:val="003D2226"/>
    <w:rsid w:val="003D678E"/>
    <w:rsid w:val="00400EDC"/>
    <w:rsid w:val="00461FAF"/>
    <w:rsid w:val="00466A6A"/>
    <w:rsid w:val="004B6E8A"/>
    <w:rsid w:val="004D1EA2"/>
    <w:rsid w:val="00501996"/>
    <w:rsid w:val="005171D4"/>
    <w:rsid w:val="0059098A"/>
    <w:rsid w:val="005A4A76"/>
    <w:rsid w:val="005E0E86"/>
    <w:rsid w:val="006C01AE"/>
    <w:rsid w:val="006D106B"/>
    <w:rsid w:val="006D473F"/>
    <w:rsid w:val="00713C30"/>
    <w:rsid w:val="0073050D"/>
    <w:rsid w:val="007620A2"/>
    <w:rsid w:val="00791C72"/>
    <w:rsid w:val="007920FC"/>
    <w:rsid w:val="007B3F72"/>
    <w:rsid w:val="007B4876"/>
    <w:rsid w:val="007D2F57"/>
    <w:rsid w:val="00801F66"/>
    <w:rsid w:val="00812C39"/>
    <w:rsid w:val="00834920"/>
    <w:rsid w:val="0084025C"/>
    <w:rsid w:val="00880CEC"/>
    <w:rsid w:val="008919AF"/>
    <w:rsid w:val="00896BF9"/>
    <w:rsid w:val="008C059A"/>
    <w:rsid w:val="008D047D"/>
    <w:rsid w:val="009334BF"/>
    <w:rsid w:val="009353E5"/>
    <w:rsid w:val="00975F0D"/>
    <w:rsid w:val="009A37D1"/>
    <w:rsid w:val="009D1193"/>
    <w:rsid w:val="009E04CB"/>
    <w:rsid w:val="00A61E3E"/>
    <w:rsid w:val="00AC0409"/>
    <w:rsid w:val="00AF072B"/>
    <w:rsid w:val="00B0223F"/>
    <w:rsid w:val="00B722F6"/>
    <w:rsid w:val="00BA1219"/>
    <w:rsid w:val="00BD614C"/>
    <w:rsid w:val="00BE2400"/>
    <w:rsid w:val="00BF1850"/>
    <w:rsid w:val="00C41DB8"/>
    <w:rsid w:val="00C446E2"/>
    <w:rsid w:val="00C80CF6"/>
    <w:rsid w:val="00CC58B5"/>
    <w:rsid w:val="00CE056A"/>
    <w:rsid w:val="00CE0BDC"/>
    <w:rsid w:val="00D6346B"/>
    <w:rsid w:val="00DB3D4B"/>
    <w:rsid w:val="00DD7B38"/>
    <w:rsid w:val="00DF3D8D"/>
    <w:rsid w:val="00E5438A"/>
    <w:rsid w:val="00E54963"/>
    <w:rsid w:val="00E60F54"/>
    <w:rsid w:val="00E938D8"/>
    <w:rsid w:val="00EC1600"/>
    <w:rsid w:val="00EC6865"/>
    <w:rsid w:val="00EF5460"/>
    <w:rsid w:val="00F37CA3"/>
    <w:rsid w:val="00F42C22"/>
    <w:rsid w:val="00FC31BE"/>
    <w:rsid w:val="00FD5E00"/>
    <w:rsid w:val="0EA325C9"/>
    <w:rsid w:val="0EE17C1A"/>
    <w:rsid w:val="181800A9"/>
    <w:rsid w:val="22E46C89"/>
    <w:rsid w:val="25357CB2"/>
    <w:rsid w:val="2D16712D"/>
    <w:rsid w:val="34C45458"/>
    <w:rsid w:val="357772AE"/>
    <w:rsid w:val="35C83C42"/>
    <w:rsid w:val="37445DC3"/>
    <w:rsid w:val="3BFA2036"/>
    <w:rsid w:val="60154311"/>
    <w:rsid w:val="67D3A76C"/>
    <w:rsid w:val="695B26FD"/>
    <w:rsid w:val="6AF77BA8"/>
    <w:rsid w:val="73D824BD"/>
    <w:rsid w:val="764B3663"/>
    <w:rsid w:val="FC66BC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semiHidden/>
    <w:unhideWhenUsed/>
    <w:qFormat/>
    <w:uiPriority w:val="0"/>
    <w:rPr>
      <w:sz w:val="18"/>
      <w:szCs w:val="1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9">
    <w:name w:val="List Paragraph"/>
    <w:basedOn w:val="1"/>
    <w:unhideWhenUsed/>
    <w:qFormat/>
    <w:uiPriority w:val="99"/>
    <w:pPr>
      <w:ind w:firstLine="420" w:firstLineChars="200"/>
    </w:pPr>
  </w:style>
  <w:style w:type="character" w:customStyle="1" w:styleId="10">
    <w:name w:val="批注框文本 Char"/>
    <w:basedOn w:val="8"/>
    <w:link w:val="3"/>
    <w:semiHidden/>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41</Pages>
  <Words>11264</Words>
  <Characters>12697</Characters>
  <Lines>127</Lines>
  <Paragraphs>35</Paragraphs>
  <TotalTime>71</TotalTime>
  <ScaleCrop>false</ScaleCrop>
  <LinksUpToDate>false</LinksUpToDate>
  <CharactersWithSpaces>12846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2022-09-01T19:54:00Z</dcterms:created>
  <dc:creator>王明新TIAD</dc:creator>
  <cp:lastModifiedBy>褚旭</cp:lastModifiedBy>
  <cp:lastPrinted>2021-09-23T00:44:00Z</cp:lastPrinted>
  <dcterms:modified xsi:type="dcterms:W3CDTF">2024-04-12T02:35:41Z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65FA352BAB5146309CB066C800874C19</vt:lpwstr>
  </property>
</Properties>
</file>