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5D2" w:rsidRPr="007325D2" w:rsidRDefault="007325D2" w:rsidP="007325D2">
      <w:pPr>
        <w:pStyle w:val="a3"/>
        <w:shd w:val="clear" w:color="auto" w:fill="FFFFFF"/>
        <w:spacing w:before="0" w:beforeAutospacing="0" w:after="0" w:afterAutospacing="0" w:line="570" w:lineRule="atLeast"/>
        <w:rPr>
          <w:rStyle w:val="a6"/>
          <w:rFonts w:ascii="仿宋_GB2312" w:eastAsia="仿宋_GB2312"/>
          <w:b w:val="0"/>
          <w:color w:val="000000"/>
          <w:sz w:val="32"/>
          <w:szCs w:val="32"/>
          <w:bdr w:val="none" w:sz="0" w:space="0" w:color="auto" w:frame="1"/>
        </w:rPr>
      </w:pPr>
      <w:r w:rsidRPr="007325D2">
        <w:rPr>
          <w:rStyle w:val="a6"/>
          <w:rFonts w:ascii="仿宋_GB2312" w:eastAsia="仿宋_GB2312" w:hint="eastAsia"/>
          <w:b w:val="0"/>
          <w:color w:val="000000"/>
          <w:sz w:val="32"/>
          <w:szCs w:val="32"/>
          <w:bdr w:val="none" w:sz="0" w:space="0" w:color="auto" w:frame="1"/>
        </w:rPr>
        <w:t>配套</w:t>
      </w:r>
      <w:r w:rsidRPr="007325D2">
        <w:rPr>
          <w:rStyle w:val="a6"/>
          <w:rFonts w:ascii="仿宋_GB2312" w:eastAsia="仿宋_GB2312"/>
          <w:b w:val="0"/>
          <w:color w:val="000000"/>
          <w:sz w:val="32"/>
          <w:szCs w:val="32"/>
          <w:bdr w:val="none" w:sz="0" w:space="0" w:color="auto" w:frame="1"/>
        </w:rPr>
        <w:t>制度5</w:t>
      </w:r>
      <w:r w:rsidRPr="007325D2">
        <w:rPr>
          <w:rStyle w:val="a6"/>
          <w:rFonts w:ascii="仿宋_GB2312" w:eastAsia="仿宋_GB2312" w:hint="eastAsia"/>
          <w:b w:val="0"/>
          <w:color w:val="000000"/>
          <w:sz w:val="32"/>
          <w:szCs w:val="32"/>
          <w:bdr w:val="none" w:sz="0" w:space="0" w:color="auto" w:frame="1"/>
        </w:rPr>
        <w:t>：</w:t>
      </w:r>
    </w:p>
    <w:p w:rsidR="00B94975" w:rsidRPr="007325D2" w:rsidRDefault="00B94975" w:rsidP="00B94975">
      <w:pPr>
        <w:pStyle w:val="a3"/>
        <w:shd w:val="clear" w:color="auto" w:fill="FFFFFF"/>
        <w:spacing w:before="0" w:beforeAutospacing="0" w:after="0" w:afterAutospacing="0" w:line="390" w:lineRule="atLeast"/>
        <w:rPr>
          <w:rFonts w:ascii="microsoft yahei" w:hAnsi="microsoft yahei" w:hint="eastAsia"/>
          <w:color w:val="333333"/>
          <w:sz w:val="21"/>
          <w:szCs w:val="21"/>
        </w:rPr>
      </w:pPr>
    </w:p>
    <w:p w:rsidR="00B94975" w:rsidRPr="007325D2" w:rsidRDefault="00B94975" w:rsidP="00B94975">
      <w:pPr>
        <w:pStyle w:val="a3"/>
        <w:shd w:val="clear" w:color="auto" w:fill="FFFFFF"/>
        <w:spacing w:before="0" w:beforeAutospacing="0" w:after="0" w:afterAutospacing="0" w:line="390" w:lineRule="atLeast"/>
        <w:jc w:val="center"/>
        <w:rPr>
          <w:rFonts w:ascii="方正小标宋简体" w:eastAsia="方正小标宋简体" w:hAnsi="microsoft yahei" w:hint="eastAsia"/>
          <w:color w:val="333333"/>
          <w:sz w:val="44"/>
          <w:szCs w:val="44"/>
        </w:rPr>
      </w:pPr>
      <w:r w:rsidRPr="007325D2">
        <w:rPr>
          <w:rFonts w:ascii="方正小标宋简体" w:eastAsia="方正小标宋简体" w:hAnsi="microsoft yahei" w:hint="eastAsia"/>
          <w:bCs/>
          <w:color w:val="333333"/>
          <w:sz w:val="44"/>
          <w:szCs w:val="44"/>
          <w:shd w:val="clear" w:color="auto" w:fill="FFFFFF"/>
        </w:rPr>
        <w:t>行政执法责任追究制度</w:t>
      </w:r>
    </w:p>
    <w:p w:rsidR="00B94975" w:rsidRDefault="00B94975" w:rsidP="00B94975">
      <w:pPr>
        <w:pStyle w:val="a3"/>
        <w:shd w:val="clear" w:color="auto" w:fill="FFFFFF"/>
        <w:spacing w:before="0" w:beforeAutospacing="0" w:after="0" w:afterAutospacing="0" w:line="390" w:lineRule="atLeast"/>
        <w:rPr>
          <w:rFonts w:ascii="microsoft yahei" w:hAnsi="microsoft yahei" w:hint="eastAsia"/>
          <w:color w:val="333333"/>
          <w:sz w:val="21"/>
          <w:szCs w:val="21"/>
        </w:rPr>
      </w:pPr>
    </w:p>
    <w:p w:rsidR="00B94975" w:rsidRPr="00B94975" w:rsidRDefault="00B94975" w:rsidP="00B94975">
      <w:pPr>
        <w:pStyle w:val="a3"/>
        <w:shd w:val="clear" w:color="auto" w:fill="FFFFFF"/>
        <w:spacing w:before="0" w:beforeAutospacing="0" w:after="0" w:afterAutospacing="0" w:line="390" w:lineRule="atLeast"/>
        <w:ind w:firstLineChars="200" w:firstLine="640"/>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第一条</w:t>
      </w:r>
      <w:r w:rsidRPr="00B94975">
        <w:rPr>
          <w:rStyle w:val="apple-converted-space"/>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为了规范行政行为，促进行政执法人员恪守职守、公正执法，防止滥用职权，减少执法工作的随意性和盲目性，保障和监督</w:t>
      </w:r>
      <w:r>
        <w:rPr>
          <w:rFonts w:ascii="仿宋_GB2312" w:eastAsia="仿宋_GB2312" w:hAnsi="microsoft yahei" w:hint="eastAsia"/>
          <w:color w:val="333333"/>
          <w:sz w:val="32"/>
          <w:szCs w:val="32"/>
        </w:rPr>
        <w:t>执法人员</w:t>
      </w:r>
      <w:r>
        <w:rPr>
          <w:rFonts w:ascii="仿宋_GB2312" w:eastAsia="仿宋_GB2312" w:hAnsi="microsoft yahei"/>
          <w:color w:val="333333"/>
          <w:sz w:val="32"/>
          <w:szCs w:val="32"/>
        </w:rPr>
        <w:t>依法审批</w:t>
      </w:r>
      <w:r w:rsidRPr="00B94975">
        <w:rPr>
          <w:rFonts w:ascii="仿宋_GB2312" w:eastAsia="仿宋_GB2312" w:hAnsi="microsoft yahei" w:hint="eastAsia"/>
          <w:color w:val="333333"/>
          <w:sz w:val="32"/>
          <w:szCs w:val="32"/>
        </w:rPr>
        <w:t>，保护公民、法人或者其他组织的合法权益，促进依法行政，保证法律、法规的正确实施，制定本制度。</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第二条 环境保护行政执法人员在行政执法过程中，因故意或重大过失，侵犯了国家利益或管理相对人的合法权益，应承担行政或法律责任。</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第三条 追究过错责任的方法有：</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(一)取消相关奖励；</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(二)赔偿部分或全部费用；</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(三)行政处分。</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构成犯罪的，依法移送司法机关追究刑事责任。</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第四条</w:t>
      </w:r>
      <w:r w:rsidRPr="00B94975">
        <w:rPr>
          <w:rStyle w:val="apple-converted-space"/>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有下列行为之一的，追究行政执法人员的责任：</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(一) 擅自批准建设国家和省禁办项目，造成环境污染和生态破坏，或对符合审批条件的建设项目拒绝办理审批手续的；</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lastRenderedPageBreak/>
        <w:t xml:space="preserve">　　(二) 擅自要求管理相对人履行其它义务的；</w:t>
      </w:r>
    </w:p>
    <w:p w:rsidR="00B94975" w:rsidRDefault="00B94975" w:rsidP="00B94975">
      <w:pPr>
        <w:pStyle w:val="a3"/>
        <w:shd w:val="clear" w:color="auto" w:fill="FFFFFF"/>
        <w:spacing w:before="0" w:beforeAutospacing="0" w:after="0" w:afterAutospacing="0" w:line="390" w:lineRule="atLeast"/>
        <w:ind w:firstLine="645"/>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(三) 滥用职权、玩忽职守、</w:t>
      </w:r>
      <w:r w:rsidR="00C1096F" w:rsidRPr="00C1096F">
        <w:rPr>
          <w:rFonts w:ascii="仿宋_GB2312" w:eastAsia="仿宋_GB2312" w:hAnsi="microsoft yahei" w:hint="eastAsia"/>
          <w:color w:val="333333"/>
          <w:sz w:val="32"/>
          <w:szCs w:val="32"/>
        </w:rPr>
        <w:t>徇私舞弊</w:t>
      </w:r>
      <w:bookmarkStart w:id="0" w:name="_GoBack"/>
      <w:bookmarkEnd w:id="0"/>
      <w:r w:rsidRPr="00B94975">
        <w:rPr>
          <w:rFonts w:ascii="仿宋_GB2312" w:eastAsia="仿宋_GB2312" w:hAnsi="microsoft yahei" w:hint="eastAsia"/>
          <w:color w:val="333333"/>
          <w:sz w:val="32"/>
          <w:szCs w:val="32"/>
        </w:rPr>
        <w:t xml:space="preserve">或拒绝、拖延履行法定义务，造成不良影响的；　　</w:t>
      </w:r>
    </w:p>
    <w:p w:rsidR="00B94975" w:rsidRPr="00B94975" w:rsidRDefault="00B94975" w:rsidP="00B94975">
      <w:pPr>
        <w:pStyle w:val="a3"/>
        <w:shd w:val="clear" w:color="auto" w:fill="FFFFFF"/>
        <w:spacing w:before="0" w:beforeAutospacing="0" w:after="0" w:afterAutospacing="0" w:line="390" w:lineRule="atLeast"/>
        <w:ind w:firstLine="645"/>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(四) 对本机关履行赔偿责任负有不可推卸责任的；</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(五) 其它应当追究责任的。</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第五条</w:t>
      </w:r>
      <w:r w:rsidRPr="00B94975">
        <w:rPr>
          <w:rStyle w:val="apple-converted-space"/>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有以下情形之一的，从轻或免于追究行政执法人员的责任：</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(一)主动发现其执法过错并及时纠正，未造成严重后果的；</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(二)过错行为情节轻微，经批评教育后改正的。</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第六条</w:t>
      </w:r>
      <w:r w:rsidRPr="00B94975">
        <w:rPr>
          <w:rStyle w:val="apple-converted-space"/>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有以下情形之一的，行政执法人员不承担责任：</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(一)执法人员汇报事实无严重失误且经上级领导同意的行政行为；</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(二)对所作出的错误决定，行政执法人员明确表示不同意的；</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(三)其它不应追究的。</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第七条</w:t>
      </w:r>
      <w:r w:rsidRPr="00B94975">
        <w:rPr>
          <w:rStyle w:val="apple-converted-space"/>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行政执法过错责任追究应在认真听取过错人的申诉，充分听取意见和调查核实的基础上，由局集体讨论研究作出处理决定或提出移送司法机关追究刑事责任的意见。</w:t>
      </w:r>
    </w:p>
    <w:p w:rsidR="00B94975" w:rsidRPr="00B94975" w:rsidRDefault="00B94975" w:rsidP="00B94975">
      <w:pPr>
        <w:pStyle w:val="a3"/>
        <w:shd w:val="clear" w:color="auto" w:fill="FFFFFF"/>
        <w:spacing w:before="0" w:beforeAutospacing="0" w:after="0" w:afterAutospacing="0" w:line="390" w:lineRule="atLeast"/>
        <w:rPr>
          <w:rFonts w:ascii="仿宋_GB2312" w:eastAsia="仿宋_GB2312" w:hAnsi="microsoft yahei" w:hint="eastAsia"/>
          <w:color w:val="333333"/>
          <w:sz w:val="32"/>
          <w:szCs w:val="32"/>
        </w:rPr>
      </w:pPr>
      <w:r w:rsidRPr="00B94975">
        <w:rPr>
          <w:rFonts w:ascii="仿宋_GB2312" w:eastAsia="仿宋_GB2312" w:hAnsi="microsoft yahei" w:hint="eastAsia"/>
          <w:color w:val="333333"/>
          <w:sz w:val="32"/>
          <w:szCs w:val="32"/>
        </w:rPr>
        <w:t xml:space="preserve">　　第八条</w:t>
      </w:r>
      <w:r w:rsidRPr="00B94975">
        <w:rPr>
          <w:rStyle w:val="apple-converted-space"/>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 </w:t>
      </w:r>
      <w:r w:rsidRPr="00B94975">
        <w:rPr>
          <w:rFonts w:ascii="仿宋_GB2312" w:eastAsia="仿宋_GB2312" w:hAnsi="microsoft yahei" w:hint="eastAsia"/>
          <w:color w:val="333333"/>
          <w:sz w:val="32"/>
          <w:szCs w:val="32"/>
        </w:rPr>
        <w:t>本制度</w:t>
      </w:r>
      <w:r>
        <w:rPr>
          <w:rFonts w:ascii="仿宋_GB2312" w:eastAsia="仿宋_GB2312" w:hAnsi="microsoft yahei" w:hint="eastAsia"/>
          <w:color w:val="333333"/>
          <w:sz w:val="32"/>
          <w:szCs w:val="32"/>
        </w:rPr>
        <w:t>由行政</w:t>
      </w:r>
      <w:r>
        <w:rPr>
          <w:rFonts w:ascii="仿宋_GB2312" w:eastAsia="仿宋_GB2312" w:hAnsi="microsoft yahei"/>
          <w:color w:val="333333"/>
          <w:sz w:val="32"/>
          <w:szCs w:val="32"/>
        </w:rPr>
        <w:t>审批局负责解释</w:t>
      </w:r>
      <w:r w:rsidRPr="00B94975">
        <w:rPr>
          <w:rFonts w:ascii="仿宋_GB2312" w:eastAsia="仿宋_GB2312" w:hAnsi="microsoft yahei" w:hint="eastAsia"/>
          <w:color w:val="333333"/>
          <w:sz w:val="32"/>
          <w:szCs w:val="32"/>
        </w:rPr>
        <w:t>。</w:t>
      </w:r>
    </w:p>
    <w:p w:rsidR="00960C5C" w:rsidRPr="00B94975" w:rsidRDefault="00960C5C">
      <w:pPr>
        <w:rPr>
          <w:rFonts w:ascii="仿宋_GB2312" w:eastAsia="仿宋_GB2312"/>
          <w:sz w:val="32"/>
          <w:szCs w:val="32"/>
        </w:rPr>
      </w:pPr>
    </w:p>
    <w:sectPr w:rsidR="00960C5C" w:rsidRPr="00B949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670" w:rsidRDefault="00163670" w:rsidP="007325D2">
      <w:r>
        <w:separator/>
      </w:r>
    </w:p>
  </w:endnote>
  <w:endnote w:type="continuationSeparator" w:id="0">
    <w:p w:rsidR="00163670" w:rsidRDefault="00163670" w:rsidP="0073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microsoft yahei">
    <w:altName w:val="Times New Roman"/>
    <w:panose1 w:val="00000000000000000000"/>
    <w:charset w:val="00"/>
    <w:family w:val="roman"/>
    <w:notTrueType/>
    <w:pitch w:val="default"/>
  </w:font>
  <w:font w:name="方正小标宋简体">
    <w:altName w:val="TypoSlabserif-Light"/>
    <w:panose1 w:val="03000509000000000000"/>
    <w:charset w:val="86"/>
    <w:family w:val="script"/>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670" w:rsidRDefault="00163670" w:rsidP="007325D2">
      <w:r>
        <w:separator/>
      </w:r>
    </w:p>
  </w:footnote>
  <w:footnote w:type="continuationSeparator" w:id="0">
    <w:p w:rsidR="00163670" w:rsidRDefault="00163670" w:rsidP="007325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975"/>
    <w:rsid w:val="00163670"/>
    <w:rsid w:val="00714263"/>
    <w:rsid w:val="007325D2"/>
    <w:rsid w:val="00960C5C"/>
    <w:rsid w:val="00B94975"/>
    <w:rsid w:val="00C10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13B6A2-2B88-4C22-B8AF-DC23AC2C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497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B94975"/>
  </w:style>
  <w:style w:type="paragraph" w:styleId="a4">
    <w:name w:val="header"/>
    <w:basedOn w:val="a"/>
    <w:link w:val="Char"/>
    <w:uiPriority w:val="99"/>
    <w:unhideWhenUsed/>
    <w:rsid w:val="007325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325D2"/>
    <w:rPr>
      <w:sz w:val="18"/>
      <w:szCs w:val="18"/>
    </w:rPr>
  </w:style>
  <w:style w:type="paragraph" w:styleId="a5">
    <w:name w:val="footer"/>
    <w:basedOn w:val="a"/>
    <w:link w:val="Char0"/>
    <w:uiPriority w:val="99"/>
    <w:unhideWhenUsed/>
    <w:rsid w:val="007325D2"/>
    <w:pPr>
      <w:tabs>
        <w:tab w:val="center" w:pos="4153"/>
        <w:tab w:val="right" w:pos="8306"/>
      </w:tabs>
      <w:snapToGrid w:val="0"/>
      <w:jc w:val="left"/>
    </w:pPr>
    <w:rPr>
      <w:sz w:val="18"/>
      <w:szCs w:val="18"/>
    </w:rPr>
  </w:style>
  <w:style w:type="character" w:customStyle="1" w:styleId="Char0">
    <w:name w:val="页脚 Char"/>
    <w:basedOn w:val="a0"/>
    <w:link w:val="a5"/>
    <w:uiPriority w:val="99"/>
    <w:rsid w:val="007325D2"/>
    <w:rPr>
      <w:sz w:val="18"/>
      <w:szCs w:val="18"/>
    </w:rPr>
  </w:style>
  <w:style w:type="character" w:styleId="a6">
    <w:name w:val="Strong"/>
    <w:basedOn w:val="a0"/>
    <w:uiPriority w:val="22"/>
    <w:qFormat/>
    <w:rsid w:val="007325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115</Words>
  <Characters>659</Characters>
  <Application>Microsoft Office Word</Application>
  <DocSecurity>0</DocSecurity>
  <Lines>5</Lines>
  <Paragraphs>1</Paragraphs>
  <ScaleCrop>false</ScaleCrop>
  <Company>Lenovo</Company>
  <LinksUpToDate>false</LinksUpToDate>
  <CharactersWithSpaces>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TY</cp:lastModifiedBy>
  <cp:revision>3</cp:revision>
  <dcterms:created xsi:type="dcterms:W3CDTF">2017-01-09T08:28:00Z</dcterms:created>
  <dcterms:modified xsi:type="dcterms:W3CDTF">2023-11-29T09:24:00Z</dcterms:modified>
</cp:coreProperties>
</file>