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68.25pt;margin-top:-54.6pt;height:850.15pt;width:596.6pt;z-index:-251657216;mso-width-relative:page;mso-height-relative:page;" filled="f" o:preferrelative="t" stroked="f" coordsize="21600,21600">
            <v:path/>
            <v:fill on="f" focussize="0,0"/>
            <v:stroke on="f" joinstyle="miter"/>
            <v:imagedata r:id="rId12" o:title=""/>
            <o:lock v:ext="edit" aspectratio="t"/>
          </v:shape>
        </w:pict>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r>
        <w:pict>
          <v:shape id="_x0000_s1027" o:spid="_x0000_s1027" o:spt="202" type="#_x0000_t202" style="position:absolute;left:0pt;margin-left:-99.75pt;margin-top:30.8pt;height:205.9pt;width:622.45pt;z-index:251660288;mso-width-relative:page;mso-height-relative:page;" filled="f" stroked="f" coordsize="21600,21600">
            <v:path/>
            <v:fill on="f" focussize="0,0"/>
            <v:stroke on="f" weight="0.5pt"/>
            <v:imagedata o:title=""/>
            <o:lock v:ext="edit" aspectratio="f"/>
            <v:textbox>
              <w:txbxContent>
                <w:p>
                  <w:pPr>
                    <w:widowControl/>
                    <w:spacing w:line="1200" w:lineRule="exact"/>
                    <w:ind w:left="2400" w:hanging="2400" w:hangingChars="250"/>
                    <w:jc w:val="center"/>
                    <w:rPr>
                      <w:rFonts w:hint="eastAsia" w:ascii="黑体" w:hAnsi="宋体" w:eastAsia="黑体"/>
                      <w:color w:val="FDEFBE"/>
                      <w:sz w:val="96"/>
                      <w:szCs w:val="96"/>
                    </w:rPr>
                  </w:pPr>
                  <w:r>
                    <w:rPr>
                      <w:rFonts w:hint="eastAsia" w:ascii="黑体" w:hAnsi="宋体" w:eastAsia="黑体"/>
                      <w:color w:val="FDEFBE"/>
                      <w:sz w:val="96"/>
                      <w:szCs w:val="96"/>
                    </w:rPr>
                    <w:t>中共秦皇岛经济技术开发</w:t>
                  </w:r>
                </w:p>
                <w:p>
                  <w:pPr>
                    <w:widowControl/>
                    <w:spacing w:line="1200" w:lineRule="exact"/>
                    <w:ind w:left="2400" w:hanging="2400" w:hangingChars="250"/>
                    <w:jc w:val="center"/>
                    <w:rPr>
                      <w:rFonts w:ascii="黑体" w:hAnsi="宋体" w:eastAsia="黑体"/>
                      <w:color w:val="FDEFBE"/>
                      <w:sz w:val="96"/>
                      <w:szCs w:val="96"/>
                    </w:rPr>
                  </w:pPr>
                  <w:r>
                    <w:rPr>
                      <w:rFonts w:hint="eastAsia" w:ascii="黑体" w:hAnsi="宋体" w:eastAsia="黑体"/>
                      <w:color w:val="FDEFBE"/>
                      <w:sz w:val="96"/>
                      <w:szCs w:val="96"/>
                    </w:rPr>
                    <w:t>区工委政法委员会</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二〇一九年九月</w:t>
      </w:r>
    </w:p>
    <w:p>
      <w:pPr>
        <w:spacing w:beforeLines="200" w:after="0" w:line="1000" w:lineRule="exact"/>
        <w:jc w:val="center"/>
        <w:rPr>
          <w:rFonts w:ascii="黑体" w:eastAsia="黑体"/>
          <w:sz w:val="48"/>
          <w:szCs w:val="48"/>
        </w:rPr>
      </w:pPr>
      <w:r>
        <w:pict>
          <v:group id="_x0000_s1028" o:spid="_x0000_s1028" o:spt="203" style="position:absolute;left:0pt;margin-left:-80.8pt;margin-top:39.95pt;height:46.7pt;width:250.05pt;mso-position-vertical-relative:page;z-index:251672576;mso-width-relative:page;mso-height-relative:page;" coordorigin="4551,52615" coordsize="8546,1398" o:allowoverlap="f">
            <o:lock v:ext="edit"/>
            <v:rect id="矩形 13" o:spid="_x0000_s1029" o:spt="1" style="position:absolute;left:4551;top:52615;height:1175;width:8546;v-text-anchor:middle;" fillcolor="#D9D9D9"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960" w:firstLineChars="300"/>
        <w:rPr>
          <w:rFonts w:ascii="仿宋_GB2312" w:eastAsia="仿宋_GB2312"/>
          <w:sz w:val="32"/>
          <w:szCs w:val="32"/>
        </w:rPr>
      </w:pPr>
      <w:r>
        <w:rPr>
          <w:rFonts w:hint="eastAsia" w:ascii="仿宋_GB2312" w:eastAsia="仿宋_GB2312"/>
          <w:sz w:val="32"/>
          <w:szCs w:val="32"/>
        </w:rPr>
        <w:t>以上十张表见</w:t>
      </w:r>
      <w:r>
        <w:rPr>
          <w:rFonts w:ascii="仿宋_GB2312" w:eastAsia="仿宋_GB2312"/>
          <w:sz w:val="32"/>
          <w:szCs w:val="32"/>
        </w:rPr>
        <w:t>2018</w:t>
      </w:r>
      <w:r>
        <w:rPr>
          <w:rFonts w:hint="eastAsia" w:ascii="仿宋_GB2312" w:eastAsia="仿宋_GB2312"/>
          <w:sz w:val="32"/>
          <w:szCs w:val="32"/>
        </w:rPr>
        <w:t>政法委决算公开表</w:t>
      </w: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政法委部门</w:t>
      </w:r>
      <w:r>
        <w:rPr>
          <w:rFonts w:eastAsia="黑体"/>
          <w:sz w:val="32"/>
          <w:szCs w:val="32"/>
        </w:rPr>
        <w:t>2018</w:t>
      </w:r>
      <w:r>
        <w:rPr>
          <w:rFonts w:hint="eastAsia" w:eastAsia="黑体"/>
          <w:sz w:val="32"/>
          <w:szCs w:val="32"/>
        </w:rPr>
        <w:t>年部门决算情况说明</w:t>
      </w:r>
      <w:r>
        <w:pict>
          <v:group id="_x0000_s1031" o:spid="_x0000_s1031" o:spt="203" style="position:absolute;left:0pt;margin-left:-80.8pt;margin-top:38.95pt;height:46.7pt;width:222.8pt;mso-position-vertical-relative:page;z-index:251671552;mso-width-relative:page;mso-height-relative:page;" coordorigin="4551,52615" coordsize="8546,1398">
            <o:lock v:ext="edit"/>
            <v:rect id="矩形 13" o:spid="_x0000_s1032" o:spt="1" style="position:absolute;left:4551;top:52615;height:1175;width:8546;v-text-anchor:middle;" fillcolor="#D9D9D9"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13" o:title=""/>
            <o:lock v:ext="edit" aspectratio="t"/>
          </v:shape>
        </w:pict>
      </w:r>
      <w:r>
        <w:pict>
          <v:shape id="_x0000_s1035"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_x0000_s1036"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D9D9D9"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6"/>
        <w:spacing w:beforeLines="50" w:line="550" w:lineRule="exact"/>
        <w:rPr>
          <w:rFonts w:ascii="仿宋_GB2312"/>
          <w:sz w:val="32"/>
          <w:szCs w:val="32"/>
        </w:rPr>
      </w:pPr>
      <w:r>
        <w:rPr>
          <w:rFonts w:ascii="仿宋_GB2312"/>
          <w:sz w:val="32"/>
          <w:szCs w:val="32"/>
        </w:rPr>
        <w:t>1</w:t>
      </w:r>
      <w:r>
        <w:rPr>
          <w:rFonts w:hint="eastAsia" w:ascii="仿宋_GB2312"/>
          <w:sz w:val="32"/>
          <w:szCs w:val="32"/>
        </w:rPr>
        <w:t>．</w:t>
      </w:r>
      <w:r>
        <w:rPr>
          <w:rFonts w:hint="eastAsia" w:ascii="仿宋_GB2312"/>
          <w:sz w:val="32"/>
          <w:szCs w:val="32"/>
          <w:shd w:val="clear" w:color="auto" w:fill="FFFFFF"/>
        </w:rPr>
        <w:t>根据中央、省、市对政法工作的指示和决定，统一全区政法各部门的思想和行动，根据上级党委及政法委的部署，对政法工作作出部署和安排，并对落实情况加强监督检查。</w:t>
      </w:r>
    </w:p>
    <w:p>
      <w:pPr>
        <w:pStyle w:val="6"/>
        <w:spacing w:beforeLines="50" w:line="550" w:lineRule="exact"/>
        <w:rPr>
          <w:rFonts w:ascii="仿宋_GB2312"/>
          <w:sz w:val="32"/>
          <w:szCs w:val="32"/>
        </w:rPr>
      </w:pPr>
      <w:r>
        <w:rPr>
          <w:rFonts w:ascii="仿宋_GB2312"/>
          <w:sz w:val="32"/>
          <w:szCs w:val="32"/>
        </w:rPr>
        <w:t>2</w:t>
      </w:r>
      <w:r>
        <w:rPr>
          <w:rFonts w:hint="eastAsia" w:ascii="仿宋_GB2312"/>
          <w:sz w:val="32"/>
          <w:szCs w:val="32"/>
        </w:rPr>
        <w:t>．</w:t>
      </w:r>
      <w:r>
        <w:rPr>
          <w:rFonts w:hint="eastAsia" w:ascii="仿宋_GB2312"/>
          <w:sz w:val="32"/>
          <w:szCs w:val="32"/>
          <w:shd w:val="clear" w:color="auto" w:fill="FFFFFF"/>
        </w:rPr>
        <w:t>组织、协调和指导维护全区社会、政治稳定工作。</w:t>
      </w:r>
    </w:p>
    <w:p>
      <w:pPr>
        <w:pStyle w:val="6"/>
        <w:spacing w:beforeLines="50" w:line="550" w:lineRule="exact"/>
        <w:rPr>
          <w:rFonts w:ascii="仿宋_GB2312"/>
          <w:sz w:val="32"/>
          <w:szCs w:val="32"/>
        </w:rPr>
      </w:pPr>
      <w:r>
        <w:rPr>
          <w:rFonts w:ascii="仿宋_GB2312"/>
          <w:sz w:val="32"/>
          <w:szCs w:val="32"/>
        </w:rPr>
        <w:t>3</w:t>
      </w:r>
      <w:r>
        <w:rPr>
          <w:rFonts w:hint="eastAsia" w:ascii="仿宋_GB2312"/>
          <w:sz w:val="32"/>
          <w:szCs w:val="32"/>
        </w:rPr>
        <w:t>．</w:t>
      </w:r>
      <w:r>
        <w:rPr>
          <w:rFonts w:hint="eastAsia" w:ascii="仿宋_GB2312"/>
          <w:sz w:val="32"/>
          <w:szCs w:val="32"/>
          <w:shd w:val="clear" w:color="auto" w:fill="FFFFFF"/>
        </w:rPr>
        <w:t>支持和监督政法各部门依法行使职权，指导和协调政法各部门在依法相互制约的同时紧密配合，检查政法各部门执行中央“三个规定”贯彻落实情况。</w:t>
      </w:r>
    </w:p>
    <w:p>
      <w:pPr>
        <w:pStyle w:val="6"/>
        <w:spacing w:beforeLines="50" w:line="550" w:lineRule="exact"/>
        <w:rPr>
          <w:rFonts w:ascii="仿宋_GB2312"/>
          <w:sz w:val="32"/>
          <w:szCs w:val="32"/>
          <w:shd w:val="clear" w:color="auto" w:fill="FFFFFF"/>
        </w:rPr>
      </w:pPr>
      <w:r>
        <w:rPr>
          <w:rFonts w:ascii="仿宋_GB2312"/>
          <w:sz w:val="32"/>
          <w:szCs w:val="32"/>
        </w:rPr>
        <w:t>4</w:t>
      </w:r>
      <w:r>
        <w:rPr>
          <w:rFonts w:hint="eastAsia" w:ascii="仿宋_GB2312"/>
          <w:sz w:val="32"/>
          <w:szCs w:val="32"/>
        </w:rPr>
        <w:t>．</w:t>
      </w:r>
      <w:r>
        <w:rPr>
          <w:rFonts w:hint="eastAsia" w:ascii="仿宋_GB2312"/>
          <w:sz w:val="32"/>
          <w:szCs w:val="32"/>
          <w:shd w:val="clear" w:color="auto" w:fill="FFFFFF"/>
        </w:rPr>
        <w:t>检查政法部门执行法律法规和党的方针政策的情况，协助有关部门查处政法干部的违法犯罪案件，研究制定严肃执法、落实党的方针政策的具体措施。</w:t>
      </w:r>
    </w:p>
    <w:p>
      <w:pPr>
        <w:pStyle w:val="6"/>
        <w:spacing w:beforeLines="50" w:line="550" w:lineRule="exact"/>
        <w:rPr>
          <w:rFonts w:ascii="仿宋_GB2312"/>
          <w:sz w:val="32"/>
          <w:szCs w:val="32"/>
          <w:shd w:val="clear" w:color="auto" w:fill="FFFFFF"/>
        </w:rPr>
      </w:pPr>
      <w:r>
        <w:rPr>
          <w:rFonts w:ascii="仿宋_GB2312"/>
          <w:sz w:val="32"/>
          <w:szCs w:val="32"/>
        </w:rPr>
        <w:t>5</w:t>
      </w:r>
      <w:r>
        <w:rPr>
          <w:rFonts w:hint="eastAsia" w:ascii="仿宋_GB2312"/>
          <w:sz w:val="32"/>
          <w:szCs w:val="32"/>
        </w:rPr>
        <w:t>．</w:t>
      </w:r>
      <w:r>
        <w:rPr>
          <w:rFonts w:hint="eastAsia" w:ascii="仿宋_GB2312"/>
          <w:sz w:val="32"/>
          <w:szCs w:val="32"/>
          <w:shd w:val="clear" w:color="auto" w:fill="FFFFFF"/>
        </w:rPr>
        <w:t>研究、制定加强政法队伍建设和领导班子建设的措施，协助考察、管理政法部门的领导干部。</w:t>
      </w:r>
    </w:p>
    <w:p>
      <w:pPr>
        <w:pStyle w:val="6"/>
        <w:spacing w:beforeLines="50" w:line="550" w:lineRule="exact"/>
        <w:rPr>
          <w:rFonts w:ascii="仿宋_GB2312"/>
          <w:sz w:val="32"/>
          <w:szCs w:val="32"/>
        </w:rPr>
      </w:pPr>
      <w:r>
        <w:rPr>
          <w:rFonts w:ascii="仿宋_GB2312"/>
          <w:sz w:val="32"/>
          <w:szCs w:val="32"/>
        </w:rPr>
        <w:t>6</w:t>
      </w:r>
      <w:r>
        <w:rPr>
          <w:rFonts w:hint="eastAsia" w:ascii="仿宋_GB2312"/>
          <w:sz w:val="32"/>
          <w:szCs w:val="32"/>
        </w:rPr>
        <w:t>．</w:t>
      </w:r>
      <w:r>
        <w:rPr>
          <w:rFonts w:hint="eastAsia" w:ascii="仿宋_GB2312"/>
          <w:sz w:val="32"/>
          <w:szCs w:val="32"/>
          <w:shd w:val="clear" w:color="auto" w:fill="FFFFFF"/>
        </w:rPr>
        <w:t>依据上级关于社会治安综合治理的法律及规定，结合本地区实际，统一领导、部署本地区的综合治理工作。</w:t>
      </w:r>
    </w:p>
    <w:p>
      <w:pPr>
        <w:pStyle w:val="6"/>
        <w:spacing w:beforeLines="50" w:line="550" w:lineRule="exact"/>
        <w:rPr>
          <w:rFonts w:ascii="仿宋_GB2312"/>
          <w:sz w:val="32"/>
          <w:szCs w:val="32"/>
        </w:rPr>
      </w:pPr>
      <w:r>
        <w:rPr>
          <w:rFonts w:ascii="仿宋_GB2312"/>
          <w:sz w:val="32"/>
          <w:szCs w:val="32"/>
        </w:rPr>
        <w:t>7</w:t>
      </w:r>
      <w:r>
        <w:rPr>
          <w:rFonts w:hint="eastAsia" w:ascii="仿宋_GB2312"/>
          <w:sz w:val="32"/>
          <w:szCs w:val="32"/>
        </w:rPr>
        <w:t>．</w:t>
      </w:r>
      <w:r>
        <w:rPr>
          <w:rFonts w:hint="eastAsia" w:ascii="仿宋_GB2312"/>
          <w:sz w:val="32"/>
          <w:szCs w:val="32"/>
          <w:shd w:val="clear" w:color="auto" w:fill="FFFFFF"/>
        </w:rPr>
        <w:t>认真落实综合治理领导责任制，实行目标管理，把综合治理的各项任务落实到基层。</w:t>
      </w:r>
    </w:p>
    <w:p>
      <w:pPr>
        <w:pStyle w:val="6"/>
        <w:spacing w:beforeLines="50" w:line="550" w:lineRule="exact"/>
        <w:rPr>
          <w:rFonts w:ascii="仿宋_GB2312"/>
          <w:sz w:val="32"/>
          <w:szCs w:val="32"/>
        </w:rPr>
      </w:pPr>
      <w:r>
        <w:rPr>
          <w:rFonts w:ascii="仿宋_GB2312"/>
          <w:sz w:val="32"/>
          <w:szCs w:val="32"/>
        </w:rPr>
        <w:t>8</w:t>
      </w:r>
      <w:r>
        <w:rPr>
          <w:rFonts w:hint="eastAsia" w:ascii="仿宋_GB2312"/>
          <w:sz w:val="32"/>
          <w:szCs w:val="32"/>
        </w:rPr>
        <w:t>．</w:t>
      </w:r>
      <w:r>
        <w:rPr>
          <w:rFonts w:hint="eastAsia" w:ascii="仿宋_GB2312"/>
          <w:sz w:val="32"/>
          <w:szCs w:val="32"/>
          <w:shd w:val="clear" w:color="auto" w:fill="FFFFFF"/>
        </w:rPr>
        <w:t>定期分析本地区的治安形势和综合治理情况，提出相应的工作措施。</w:t>
      </w:r>
    </w:p>
    <w:p>
      <w:pPr>
        <w:pStyle w:val="6"/>
        <w:numPr>
          <w:ilvl w:val="0"/>
          <w:numId w:val="1"/>
        </w:numPr>
        <w:spacing w:beforeLines="50" w:line="550" w:lineRule="exact"/>
        <w:rPr>
          <w:rFonts w:ascii="仿宋_GB2312"/>
          <w:b/>
          <w:bCs/>
          <w:sz w:val="32"/>
          <w:szCs w:val="32"/>
        </w:rPr>
      </w:pPr>
      <w:r>
        <w:rPr>
          <w:rFonts w:hint="eastAsia" w:ascii="仿宋_GB2312"/>
          <w:b w:val="0"/>
          <w:bCs w:val="0"/>
          <w:sz w:val="32"/>
          <w:szCs w:val="32"/>
          <w:shd w:val="clear" w:color="auto" w:fill="FFFFFF"/>
        </w:rPr>
        <w:t>开展调查研究，不断总结经验，负责指导协调本地区各</w:t>
      </w:r>
      <w:r>
        <w:rPr>
          <w:rFonts w:hint="eastAsia" w:ascii="仿宋_GB2312"/>
          <w:sz w:val="32"/>
          <w:szCs w:val="32"/>
          <w:shd w:val="clear" w:color="auto" w:fill="FFFFFF"/>
        </w:rPr>
        <w:t>单位、各部门的综合治理工作，实行齐抓共管，充分发挥整体作用。</w:t>
      </w:r>
      <w:r>
        <w:rPr>
          <w:rStyle w:val="35"/>
          <w:sz w:val="32"/>
          <w:szCs w:val="32"/>
          <w:shd w:val="clear" w:color="auto" w:fill="FFFFFF"/>
        </w:rPr>
        <w:t> </w:t>
      </w:r>
    </w:p>
    <w:p>
      <w:pPr>
        <w:pStyle w:val="6"/>
        <w:spacing w:beforeLines="50" w:line="550" w:lineRule="exact"/>
        <w:rPr>
          <w:rFonts w:ascii="仿宋_GB2312"/>
          <w:sz w:val="32"/>
          <w:szCs w:val="32"/>
        </w:rPr>
      </w:pPr>
      <w:r>
        <w:rPr>
          <w:rFonts w:ascii="仿宋_GB2312"/>
          <w:sz w:val="32"/>
          <w:szCs w:val="32"/>
        </w:rPr>
        <w:t>10</w:t>
      </w:r>
      <w:r>
        <w:rPr>
          <w:rFonts w:hint="eastAsia" w:ascii="仿宋_GB2312"/>
          <w:sz w:val="32"/>
          <w:szCs w:val="32"/>
        </w:rPr>
        <w:t>．</w:t>
      </w:r>
      <w:r>
        <w:rPr>
          <w:rFonts w:hint="eastAsia" w:ascii="仿宋_GB2312"/>
          <w:sz w:val="32"/>
          <w:szCs w:val="32"/>
          <w:shd w:val="clear" w:color="auto" w:fill="FFFFFF"/>
        </w:rPr>
        <w:t>加强对综合治理工作的检查、考核和监督，决定奖惩事项，提出奖惩建议和实行“一票否决制”的建议。</w:t>
      </w:r>
    </w:p>
    <w:p>
      <w:pPr>
        <w:pStyle w:val="6"/>
        <w:spacing w:beforeLines="50" w:line="550" w:lineRule="exact"/>
        <w:rPr>
          <w:rStyle w:val="35"/>
          <w:rFonts w:ascii="仿宋_GB2312"/>
          <w:sz w:val="32"/>
          <w:szCs w:val="32"/>
          <w:shd w:val="clear" w:color="auto" w:fill="FFFFFF"/>
        </w:rPr>
      </w:pPr>
      <w:r>
        <w:rPr>
          <w:rFonts w:ascii="仿宋_GB2312"/>
          <w:sz w:val="32"/>
          <w:szCs w:val="32"/>
        </w:rPr>
        <w:t>11</w:t>
      </w:r>
      <w:r>
        <w:rPr>
          <w:rFonts w:hint="eastAsia" w:ascii="仿宋_GB2312"/>
          <w:sz w:val="32"/>
          <w:szCs w:val="32"/>
        </w:rPr>
        <w:t>．</w:t>
      </w:r>
      <w:r>
        <w:rPr>
          <w:rFonts w:hint="eastAsia" w:ascii="仿宋_GB2312"/>
          <w:sz w:val="32"/>
          <w:szCs w:val="32"/>
          <w:shd w:val="clear" w:color="auto" w:fill="FFFFFF"/>
        </w:rPr>
        <w:t>办理工委和上级政法委员会交办的其他事项。</w:t>
      </w:r>
      <w:r>
        <w:rPr>
          <w:rStyle w:val="35"/>
          <w:sz w:val="32"/>
          <w:szCs w:val="32"/>
          <w:shd w:val="clear" w:color="auto" w:fill="FFFFFF"/>
        </w:rPr>
        <w:t> </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中共秦皇岛经济技术开发区工委政法委内设机构</w:t>
      </w: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个，包括：维稳办、综治中心、信访办、铁路护路联防办、反邪教协会、执法监督办。</w:t>
      </w:r>
    </w:p>
    <w:p>
      <w:pPr>
        <w:spacing w:after="0" w:line="560" w:lineRule="exact"/>
        <w:ind w:firstLine="800" w:firstLineChars="25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从决算编报单位构成看，政法委纳入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1</w:t>
      </w:r>
      <w:r>
        <w:rPr>
          <w:rFonts w:hint="eastAsia" w:ascii="仿宋_GB2312" w:hAnsi="Cambria" w:eastAsia="仿宋_GB2312" w:cs="ArialUnicodeMS"/>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cs="Arial"/>
                <w:color w:val="000000"/>
                <w:sz w:val="28"/>
                <w:szCs w:val="28"/>
              </w:rPr>
              <w:t>中共秦皇岛经济技术开发区工委政法委员</w:t>
            </w:r>
          </w:p>
        </w:tc>
        <w:tc>
          <w:tcPr>
            <w:tcW w:w="244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13"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_x0000_s1040"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p>
      <w:pPr>
        <w:widowControl/>
        <w:spacing w:line="580" w:lineRule="exact"/>
        <w:ind w:firstLine="960" w:firstLineChars="300"/>
        <w:rPr>
          <w:rFonts w:ascii="仿宋_GB2312" w:eastAsia="仿宋_GB2312"/>
          <w:sz w:val="32"/>
          <w:szCs w:val="32"/>
        </w:rPr>
      </w:pPr>
      <w:r>
        <w:rPr>
          <w:rFonts w:hint="eastAsia" w:ascii="仿宋_GB2312" w:eastAsia="仿宋_GB2312"/>
          <w:sz w:val="32"/>
          <w:szCs w:val="32"/>
        </w:rPr>
        <w:t>以上十张表见</w:t>
      </w:r>
      <w:r>
        <w:rPr>
          <w:rFonts w:ascii="仿宋_GB2312" w:eastAsia="仿宋_GB2312"/>
          <w:sz w:val="32"/>
          <w:szCs w:val="32"/>
        </w:rPr>
        <w:t>2018</w:t>
      </w:r>
      <w:r>
        <w:rPr>
          <w:rFonts w:hint="eastAsia" w:ascii="仿宋_GB2312" w:eastAsia="仿宋_GB2312"/>
          <w:sz w:val="32"/>
          <w:szCs w:val="32"/>
        </w:rPr>
        <w:t>年政法委决算公开表</w:t>
      </w:r>
    </w:p>
    <w:p>
      <w:pPr>
        <w:widowControl/>
        <w:spacing w:after="0" w:line="560" w:lineRule="exact"/>
        <w:jc w:val="left"/>
        <w:rPr>
          <w:rFonts w:ascii="仿宋_GB2312" w:hAnsi="宋体" w:eastAsia="仿宋_GB2312"/>
          <w:sz w:val="32"/>
          <w:szCs w:val="32"/>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4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13" o:title=""/>
            <o:lock v:ext="edit" aspectratio="t"/>
          </v:shape>
        </w:pict>
      </w:r>
      <w:r>
        <w:pict>
          <v:shape id="_x0000_s1042" o:spid="_x0000_s104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numPr>
          <w:ilvl w:val="0"/>
          <w:numId w:val="2"/>
        </w:numPr>
        <w:spacing w:before="0" w:after="0" w:line="580" w:lineRule="exact"/>
        <w:rPr>
          <w:rFonts w:ascii="黑体" w:eastAsia="黑体"/>
          <w:b w:val="0"/>
          <w:bCs w:val="0"/>
        </w:rPr>
      </w:pPr>
      <w:r>
        <w:rPr>
          <w:rFonts w:hint="eastAsia" w:ascii="黑体" w:eastAsia="黑体"/>
          <w:b w:val="0"/>
          <w:bCs w:val="0"/>
        </w:rPr>
        <w:t>收入</w:t>
      </w:r>
      <w:r>
        <w:rPr>
          <w:rFonts w:hint="eastAsia" w:ascii="黑体" w:hAnsi="Cambria" w:eastAsia="黑体" w:cs="黑体"/>
          <w:b w:val="0"/>
          <w:bCs w:val="0"/>
          <w:kern w:val="0"/>
        </w:rPr>
        <w:t>支</w:t>
      </w:r>
      <w:r>
        <w:pict>
          <v:group id="_x0000_s1043" o:spid="_x0000_s1043" o:spt="203" style="position:absolute;left:0pt;margin-left:-0.55pt;margin-top:29.3pt;height:43.95pt;width:301.85pt;mso-position-horizontal-relative:page;mso-position-vertical-relative:page;z-index:251681792;mso-width-relative:page;mso-height-relative:page;" coordorigin="4551,52615" coordsize="8546,1398">
            <o:lock v:ext="edit"/>
            <v:rect id="矩形 13" o:spid="_x0000_s1044" o:spt="1" style="position:absolute;left:4551;top:52615;height:1175;width:8546;v-text-anchor:middle;" fillcolor="#D9D9D9" filled="t" stroked="f" coordsize="21600,21600">
              <v:path/>
              <v:fill on="t" focussize="0,0"/>
              <v:stroke on="f" weight="2pt"/>
              <v:imagedata o:title=""/>
              <o:lock v:ext="edit"/>
            </v:rect>
            <v:rect id="矩形 14" o:spid="_x0000_s1045"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420" w:firstLineChars="200"/>
        <w:rPr>
          <w:rFonts w:hint="eastAsia" w:ascii="仿宋_GB2312" w:eastAsia="仿宋_GB2312" w:cs="DengXian-Regular"/>
          <w:sz w:val="32"/>
          <w:szCs w:val="32"/>
        </w:rPr>
      </w:pPr>
      <w:r>
        <w:t xml:space="preserve">  </w:t>
      </w:r>
      <w:r>
        <w:rPr>
          <w:rFonts w:hint="eastAsia" w:ascii="仿宋_GB2312" w:eastAsia="仿宋_GB2312" w:cs="DengXian-Regular"/>
          <w:sz w:val="32"/>
          <w:szCs w:val="32"/>
        </w:rPr>
        <w:t>2018年度本年收入支出总计588.51万元，年初结转和结余1.69万元，年末结转和结余4.96万元。</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Arial"/>
          <w:color w:val="000000"/>
          <w:sz w:val="32"/>
          <w:szCs w:val="32"/>
        </w:rPr>
        <w:t>2018</w:t>
      </w:r>
      <w:r>
        <w:rPr>
          <w:rFonts w:hint="eastAsia" w:ascii="仿宋_GB2312" w:eastAsia="仿宋_GB2312" w:cs="Arial"/>
          <w:color w:val="000000"/>
          <w:sz w:val="32"/>
          <w:szCs w:val="32"/>
        </w:rPr>
        <w:t>年度本年收入</w:t>
      </w:r>
      <w:r>
        <w:rPr>
          <w:rFonts w:hint="eastAsia" w:ascii="仿宋" w:hAnsi="仿宋" w:eastAsia="仿宋" w:cs="DengXian-Regular"/>
          <w:sz w:val="32"/>
          <w:szCs w:val="32"/>
          <w:lang w:val="en-US" w:eastAsia="zh-CN"/>
        </w:rPr>
        <w:t>支出总</w:t>
      </w:r>
      <w:r>
        <w:rPr>
          <w:rFonts w:hint="eastAsia" w:ascii="仿宋" w:hAnsi="仿宋" w:eastAsia="仿宋" w:cs="DengXian-Regular"/>
          <w:sz w:val="32"/>
          <w:szCs w:val="32"/>
        </w:rPr>
        <w:t>计</w:t>
      </w:r>
      <w:r>
        <w:rPr>
          <w:rFonts w:hint="eastAsia" w:ascii="仿宋_GB2312" w:eastAsia="仿宋_GB2312" w:cs="Arial"/>
          <w:color w:val="000000"/>
          <w:sz w:val="32"/>
          <w:szCs w:val="32"/>
        </w:rPr>
        <w:t>与年初预算对比减少</w:t>
      </w:r>
      <w:r>
        <w:rPr>
          <w:rFonts w:hint="eastAsia" w:ascii="仿宋_GB2312" w:eastAsia="仿宋_GB2312" w:cs="Arial"/>
          <w:color w:val="000000"/>
          <w:sz w:val="32"/>
          <w:szCs w:val="32"/>
          <w:lang w:val="en-US" w:eastAsia="zh-CN"/>
        </w:rPr>
        <w:t>38.72</w:t>
      </w:r>
      <w:r>
        <w:rPr>
          <w:rFonts w:hint="eastAsia" w:ascii="仿宋_GB2312" w:eastAsia="仿宋_GB2312" w:cs="Arial"/>
          <w:color w:val="000000"/>
          <w:sz w:val="32"/>
          <w:szCs w:val="32"/>
        </w:rPr>
        <w:t>万元，原因是</w:t>
      </w:r>
      <w:r>
        <w:rPr>
          <w:rFonts w:hint="eastAsia" w:ascii="仿宋_GB2312" w:eastAsia="仿宋_GB2312" w:cs="DengXian-Regular"/>
          <w:sz w:val="32"/>
          <w:szCs w:val="32"/>
        </w:rPr>
        <w:t>严格贯彻落实中央</w:t>
      </w:r>
      <w:r>
        <w:rPr>
          <w:rFonts w:ascii="仿宋_GB2312" w:eastAsia="仿宋_GB2312" w:cs="DengXian-Regular"/>
          <w:sz w:val="32"/>
          <w:szCs w:val="32"/>
        </w:rPr>
        <w:t xml:space="preserve"> </w:t>
      </w:r>
      <w:r>
        <w:rPr>
          <w:rFonts w:hint="eastAsia" w:ascii="仿宋_GB2312" w:eastAsia="仿宋_GB2312" w:cs="DengXian-Regular"/>
          <w:sz w:val="32"/>
          <w:szCs w:val="32"/>
        </w:rPr>
        <w:t>“八项规定”精神和厉行节约要求，从严控制经费开支，与年初预算相比有所下降；与</w:t>
      </w:r>
      <w:r>
        <w:rPr>
          <w:rFonts w:ascii="仿宋_GB2312" w:eastAsia="仿宋_GB2312" w:cs="DengXian-Regular"/>
          <w:sz w:val="32"/>
          <w:szCs w:val="32"/>
        </w:rPr>
        <w:t>2017</w:t>
      </w:r>
      <w:r>
        <w:rPr>
          <w:rFonts w:hint="eastAsia" w:ascii="仿宋_GB2312" w:eastAsia="仿宋_GB2312" w:cs="DengXian-Regular"/>
          <w:sz w:val="32"/>
          <w:szCs w:val="32"/>
        </w:rPr>
        <w:t>年度收入</w:t>
      </w:r>
      <w:r>
        <w:rPr>
          <w:rFonts w:hint="eastAsia" w:ascii="仿宋_GB2312" w:eastAsia="仿宋_GB2312" w:cs="DengXian-Regular"/>
          <w:sz w:val="32"/>
          <w:szCs w:val="32"/>
          <w:lang w:val="en-US" w:eastAsia="zh-CN"/>
        </w:rPr>
        <w:t>总计</w:t>
      </w:r>
      <w:r>
        <w:rPr>
          <w:rFonts w:hint="eastAsia" w:ascii="仿宋_GB2312" w:eastAsia="仿宋_GB2312" w:cs="DengXian-Regular"/>
          <w:sz w:val="32"/>
          <w:szCs w:val="32"/>
        </w:rPr>
        <w:t>对比增加</w:t>
      </w:r>
      <w:r>
        <w:rPr>
          <w:rFonts w:ascii="仿宋_GB2312" w:eastAsia="仿宋_GB2312" w:cs="DengXian-Regular"/>
          <w:sz w:val="32"/>
          <w:szCs w:val="32"/>
        </w:rPr>
        <w:t xml:space="preserve"> 14</w:t>
      </w:r>
      <w:r>
        <w:rPr>
          <w:rFonts w:hint="eastAsia" w:ascii="仿宋_GB2312" w:eastAsia="仿宋_GB2312" w:cs="DengXian-Regular"/>
          <w:sz w:val="32"/>
          <w:szCs w:val="32"/>
          <w:lang w:val="en-US" w:eastAsia="zh-CN"/>
        </w:rPr>
        <w:t>1</w:t>
      </w:r>
      <w:r>
        <w:rPr>
          <w:rFonts w:ascii="仿宋_GB2312" w:eastAsia="仿宋_GB2312" w:cs="DengXian-Regular"/>
          <w:sz w:val="32"/>
          <w:szCs w:val="32"/>
        </w:rPr>
        <w:t>.</w:t>
      </w:r>
      <w:r>
        <w:rPr>
          <w:rFonts w:hint="eastAsia" w:ascii="仿宋_GB2312" w:eastAsia="仿宋_GB2312" w:cs="DengXian-Regular"/>
          <w:sz w:val="32"/>
          <w:szCs w:val="32"/>
          <w:lang w:val="en-US" w:eastAsia="zh-CN"/>
        </w:rPr>
        <w:t>01</w:t>
      </w:r>
      <w:r>
        <w:rPr>
          <w:rFonts w:hint="eastAsia" w:ascii="仿宋_GB2312" w:eastAsia="仿宋_GB2312" w:cs="DengXian-Regular"/>
          <w:sz w:val="32"/>
          <w:szCs w:val="32"/>
        </w:rPr>
        <w:t>万元，原因是综治指挥中心建设经费增加，成立扫黑办办公经费增加。</w:t>
      </w:r>
    </w:p>
    <w:p>
      <w:pPr>
        <w:pStyle w:val="3"/>
        <w:numPr>
          <w:ilvl w:val="0"/>
          <w:numId w:val="2"/>
        </w:numPr>
        <w:spacing w:before="0" w:after="0" w:line="580" w:lineRule="exact"/>
        <w:rPr>
          <w:rFonts w:ascii="黑体" w:eastAsia="黑体"/>
          <w:b w:val="0"/>
          <w:bCs w:val="0"/>
        </w:rPr>
      </w:pPr>
      <w:r>
        <w:rPr>
          <w:rFonts w:hint="eastAsia" w:ascii="黑体" w:eastAsia="黑体"/>
          <w:b w:val="0"/>
          <w:bCs w:val="0"/>
        </w:rPr>
        <w:t>收入决算情况说明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ascii="仿宋_GB2312" w:eastAsia="仿宋_GB2312" w:cs="DengXian-Regular"/>
          <w:sz w:val="32"/>
          <w:szCs w:val="32"/>
        </w:rPr>
        <w:t>586.83</w:t>
      </w:r>
      <w:r>
        <w:rPr>
          <w:rFonts w:hint="eastAsia" w:ascii="仿宋_GB2312" w:eastAsia="仿宋_GB2312" w:cs="DengXian-Regular"/>
          <w:sz w:val="32"/>
          <w:szCs w:val="32"/>
        </w:rPr>
        <w:t>万元，其中：财政拨款收入</w:t>
      </w:r>
      <w:r>
        <w:rPr>
          <w:rFonts w:ascii="仿宋_GB2312" w:eastAsia="仿宋_GB2312" w:cs="DengXian-Regular"/>
          <w:sz w:val="32"/>
          <w:szCs w:val="32"/>
        </w:rPr>
        <w:t>577.28</w:t>
      </w:r>
      <w:r>
        <w:rPr>
          <w:rFonts w:hint="eastAsia" w:ascii="仿宋_GB2312" w:eastAsia="仿宋_GB2312" w:cs="DengXian-Regular"/>
          <w:sz w:val="32"/>
          <w:szCs w:val="32"/>
        </w:rPr>
        <w:t>万元，占</w:t>
      </w:r>
      <w:r>
        <w:rPr>
          <w:rFonts w:ascii="仿宋_GB2312" w:eastAsia="仿宋_GB2312" w:cs="DengXian-Regular"/>
          <w:sz w:val="32"/>
          <w:szCs w:val="32"/>
        </w:rPr>
        <w:t>98.4%</w:t>
      </w:r>
      <w:r>
        <w:rPr>
          <w:rFonts w:hint="eastAsia" w:ascii="仿宋_GB2312" w:eastAsia="仿宋_GB2312" w:cs="DengXian-Regular"/>
          <w:sz w:val="32"/>
          <w:szCs w:val="32"/>
        </w:rPr>
        <w:t>；其他收入</w:t>
      </w:r>
      <w:r>
        <w:rPr>
          <w:rFonts w:ascii="仿宋_GB2312" w:eastAsia="仿宋_GB2312" w:cs="DengXian-Regular"/>
          <w:sz w:val="32"/>
          <w:szCs w:val="32"/>
        </w:rPr>
        <w:t>9.55</w:t>
      </w:r>
      <w:r>
        <w:rPr>
          <w:rFonts w:hint="eastAsia" w:ascii="仿宋_GB2312" w:eastAsia="仿宋_GB2312" w:cs="DengXian-Regular"/>
          <w:sz w:val="32"/>
          <w:szCs w:val="32"/>
        </w:rPr>
        <w:t>万元，占</w:t>
      </w:r>
      <w:r>
        <w:rPr>
          <w:rFonts w:ascii="仿宋_GB2312" w:eastAsia="仿宋_GB2312" w:cs="DengXian-Regular"/>
          <w:sz w:val="32"/>
          <w:szCs w:val="32"/>
        </w:rPr>
        <w:t>1.6%</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ascii="仿宋_GB2312" w:eastAsia="仿宋_GB2312" w:cs="DengXian-Regular"/>
          <w:sz w:val="32"/>
          <w:szCs w:val="32"/>
        </w:rPr>
        <w:t>583.55</w:t>
      </w:r>
      <w:r>
        <w:rPr>
          <w:rFonts w:hint="eastAsia" w:ascii="仿宋_GB2312" w:eastAsia="仿宋_GB2312" w:cs="DengXian-Regular"/>
          <w:sz w:val="32"/>
          <w:szCs w:val="32"/>
        </w:rPr>
        <w:t>万元，其中：基本支出</w:t>
      </w:r>
      <w:r>
        <w:rPr>
          <w:rFonts w:ascii="仿宋_GB2312" w:eastAsia="仿宋_GB2312" w:cs="DengXian-Regular"/>
          <w:sz w:val="32"/>
          <w:szCs w:val="32"/>
        </w:rPr>
        <w:t>216.22</w:t>
      </w:r>
      <w:r>
        <w:rPr>
          <w:rFonts w:hint="eastAsia" w:ascii="仿宋_GB2312" w:eastAsia="仿宋_GB2312" w:cs="DengXian-Regular"/>
          <w:sz w:val="32"/>
          <w:szCs w:val="32"/>
        </w:rPr>
        <w:t>万元，占</w:t>
      </w:r>
      <w:r>
        <w:rPr>
          <w:rFonts w:ascii="仿宋_GB2312" w:eastAsia="仿宋_GB2312" w:cs="DengXian-Regular"/>
          <w:sz w:val="32"/>
          <w:szCs w:val="32"/>
        </w:rPr>
        <w:t>37.1%</w:t>
      </w:r>
      <w:r>
        <w:rPr>
          <w:rFonts w:hint="eastAsia" w:ascii="仿宋_GB2312" w:eastAsia="仿宋_GB2312" w:cs="DengXian-Regular"/>
          <w:sz w:val="32"/>
          <w:szCs w:val="32"/>
        </w:rPr>
        <w:t>；项目支出</w:t>
      </w:r>
      <w:r>
        <w:rPr>
          <w:rFonts w:ascii="仿宋_GB2312" w:eastAsia="仿宋_GB2312" w:cs="DengXian-Regular"/>
          <w:sz w:val="32"/>
          <w:szCs w:val="32"/>
        </w:rPr>
        <w:t>367.33</w:t>
      </w:r>
      <w:r>
        <w:rPr>
          <w:rFonts w:hint="eastAsia" w:ascii="仿宋_GB2312" w:eastAsia="仿宋_GB2312" w:cs="DengXian-Regular"/>
          <w:sz w:val="32"/>
          <w:szCs w:val="32"/>
        </w:rPr>
        <w:t>万元，占</w:t>
      </w:r>
      <w:r>
        <w:rPr>
          <w:rFonts w:ascii="仿宋_GB2312" w:eastAsia="仿宋_GB2312" w:cs="DengXian-Regular"/>
          <w:sz w:val="32"/>
          <w:szCs w:val="32"/>
        </w:rPr>
        <w:t>62.9%</w:t>
      </w:r>
      <w:r>
        <w:rPr>
          <w:rFonts w:hint="eastAsia" w:ascii="仿宋_GB2312" w:eastAsia="仿宋_GB2312" w:cs="DengXian-Regular"/>
          <w:sz w:val="32"/>
          <w:szCs w:val="32"/>
        </w:rPr>
        <w:t>。</w:t>
      </w:r>
      <w:r>
        <w:pict>
          <v:group id="_x0000_s1046" o:spid="_x0000_s1046" o:spt="203" style="position:absolute;left:0pt;margin-left:-0.55pt;margin-top:29.3pt;height:43.95pt;width:301.85pt;mso-position-horizontal-relative:page;mso-position-vertical-relative:page;z-index:251673600;mso-width-relative:page;mso-height-relative:page;" coordorigin="4551,52615" coordsize="8546,1398">
            <o:lock v:ext="edit"/>
            <v:rect id="矩形 13" o:spid="_x0000_s1047" o:spt="1" style="position:absolute;left:4551;top:52615;height:1175;width:8546;v-text-anchor:middle;" fillcolor="#D9D9D9" filled="t" stroked="f" coordsize="21600,21600">
              <v:path/>
              <v:fill on="t" focussize="0,0"/>
              <v:stroke on="f" weight="2pt"/>
              <v:imagedata o:title=""/>
              <o:lock v:ext="edit"/>
            </v:rect>
            <v:rect id="矩形 14" o:spid="_x0000_s1048"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ind w:firstLine="800" w:firstLineChars="250"/>
        <w:rPr>
          <w:rFonts w:ascii="仿宋_GB2312" w:hAnsi="宋体" w:eastAsia="仿宋_GB2312" w:cs="Arial"/>
          <w:color w:val="000000"/>
          <w:sz w:val="32"/>
          <w:szCs w:val="32"/>
        </w:rPr>
      </w:pPr>
      <w:r>
        <w:rPr>
          <w:rFonts w:ascii="仿宋_GB2312" w:eastAsia="仿宋_GB2312"/>
          <w:sz w:val="32"/>
          <w:szCs w:val="32"/>
        </w:rPr>
        <w:t>2018</w:t>
      </w:r>
      <w:r>
        <w:rPr>
          <w:rFonts w:hint="eastAsia" w:ascii="仿宋_GB2312" w:eastAsia="仿宋_GB2312"/>
          <w:sz w:val="32"/>
          <w:szCs w:val="32"/>
        </w:rPr>
        <w:t>年度财政拨款本年收入合计</w:t>
      </w:r>
      <w:r>
        <w:rPr>
          <w:rFonts w:ascii="仿宋_GB2312" w:eastAsia="仿宋_GB2312" w:cs="Arial"/>
          <w:color w:val="000000"/>
          <w:sz w:val="32"/>
          <w:szCs w:val="32"/>
        </w:rPr>
        <w:t>577.28</w:t>
      </w:r>
      <w:r>
        <w:rPr>
          <w:rFonts w:hint="eastAsia" w:ascii="仿宋_GB2312" w:eastAsia="仿宋_GB2312"/>
          <w:sz w:val="32"/>
          <w:szCs w:val="32"/>
        </w:rPr>
        <w:t>万元，财政拨款本年支出合计</w:t>
      </w:r>
      <w:r>
        <w:rPr>
          <w:rFonts w:ascii="仿宋_GB2312" w:eastAsia="仿宋_GB2312" w:cs="Arial"/>
          <w:color w:val="000000"/>
          <w:sz w:val="32"/>
          <w:szCs w:val="32"/>
        </w:rPr>
        <w:t>577.01</w:t>
      </w:r>
      <w:r>
        <w:rPr>
          <w:rFonts w:hint="eastAsia" w:ascii="仿宋_GB2312" w:eastAsia="仿宋_GB2312"/>
          <w:sz w:val="32"/>
          <w:szCs w:val="32"/>
        </w:rPr>
        <w:t>万元，年初财政拨款结转和结余</w:t>
      </w:r>
      <w:r>
        <w:rPr>
          <w:rFonts w:ascii="仿宋_GB2312" w:eastAsia="仿宋_GB2312" w:cs="Arial"/>
          <w:color w:val="000000"/>
          <w:sz w:val="32"/>
          <w:szCs w:val="32"/>
        </w:rPr>
        <w:t>1.69</w:t>
      </w:r>
      <w:r>
        <w:rPr>
          <w:rFonts w:hint="eastAsia" w:ascii="仿宋_GB2312" w:eastAsia="仿宋_GB2312"/>
          <w:sz w:val="32"/>
          <w:szCs w:val="32"/>
        </w:rPr>
        <w:t>万元，年末财政拨款结转和结余</w:t>
      </w:r>
      <w:r>
        <w:rPr>
          <w:rFonts w:ascii="仿宋_GB2312" w:eastAsia="仿宋_GB2312" w:cs="Arial"/>
          <w:color w:val="000000"/>
          <w:sz w:val="32"/>
          <w:szCs w:val="32"/>
        </w:rPr>
        <w:t>1.96</w:t>
      </w:r>
      <w:r>
        <w:rPr>
          <w:rFonts w:hint="eastAsia" w:ascii="仿宋_GB2312" w:hAnsi="宋体" w:eastAsia="仿宋_GB2312" w:cs="Arial"/>
          <w:color w:val="000000"/>
          <w:sz w:val="32"/>
          <w:szCs w:val="32"/>
        </w:rPr>
        <w:t>万元。</w:t>
      </w:r>
    </w:p>
    <w:p>
      <w:pPr>
        <w:keepNext w:val="0"/>
        <w:keepLines w:val="0"/>
        <w:pageBreakBefore w:val="0"/>
        <w:widowControl w:val="0"/>
        <w:kinsoku/>
        <w:wordWrap/>
        <w:overflowPunct/>
        <w:topLinePunct w:val="0"/>
        <w:autoSpaceDE/>
        <w:autoSpaceDN/>
        <w:bidi w:val="0"/>
        <w:adjustRightInd w:val="0"/>
        <w:snapToGrid w:val="0"/>
        <w:spacing w:after="0" w:line="580" w:lineRule="exact"/>
        <w:ind w:firstLine="643" w:firstLineChars="200"/>
        <w:textAlignment w:val="auto"/>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ascii="仿宋_GB2312" w:eastAsia="仿宋_GB2312" w:cs="DengXian-Regular"/>
          <w:sz w:val="32"/>
          <w:szCs w:val="32"/>
        </w:rPr>
        <w:t>577.28</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ascii="仿宋_GB2312" w:eastAsia="仿宋_GB2312" w:cs="DengXian-Regular"/>
          <w:sz w:val="32"/>
          <w:szCs w:val="32"/>
        </w:rPr>
        <w:t>134.59</w:t>
      </w:r>
      <w:r>
        <w:rPr>
          <w:rFonts w:hint="eastAsia" w:ascii="仿宋_GB2312" w:eastAsia="仿宋_GB2312" w:cs="DengXian-Regular"/>
          <w:sz w:val="32"/>
          <w:szCs w:val="32"/>
        </w:rPr>
        <w:t>万元，增长</w:t>
      </w:r>
      <w:r>
        <w:rPr>
          <w:rFonts w:ascii="仿宋_GB2312" w:eastAsia="仿宋_GB2312" w:cs="DengXian-Regular"/>
          <w:sz w:val="32"/>
          <w:szCs w:val="32"/>
        </w:rPr>
        <w:t>30%</w:t>
      </w:r>
      <w:r>
        <w:rPr>
          <w:rFonts w:hint="eastAsia" w:ascii="仿宋_GB2312" w:eastAsia="仿宋_GB2312" w:cs="DengXian-Regular"/>
          <w:sz w:val="32"/>
          <w:szCs w:val="32"/>
        </w:rPr>
        <w:t>，主要是综治指挥中心建设经费增加，成立扫黑办办公经费增加；本年支出</w:t>
      </w:r>
      <w:r>
        <w:rPr>
          <w:rFonts w:ascii="仿宋_GB2312" w:eastAsia="仿宋_GB2312" w:cs="DengXian-Regular"/>
          <w:sz w:val="32"/>
          <w:szCs w:val="32"/>
        </w:rPr>
        <w:t>577.01</w:t>
      </w:r>
      <w:r>
        <w:rPr>
          <w:rFonts w:hint="eastAsia" w:ascii="仿宋_GB2312" w:eastAsia="仿宋_GB2312" w:cs="DengXian-Regular"/>
          <w:sz w:val="32"/>
          <w:szCs w:val="32"/>
        </w:rPr>
        <w:t>万元，增加</w:t>
      </w:r>
      <w:r>
        <w:rPr>
          <w:rFonts w:ascii="仿宋_GB2312" w:eastAsia="仿宋_GB2312" w:cs="DengXian-Regular"/>
          <w:sz w:val="32"/>
          <w:szCs w:val="32"/>
        </w:rPr>
        <w:t>135.14</w:t>
      </w:r>
      <w:r>
        <w:rPr>
          <w:rFonts w:hint="eastAsia" w:ascii="仿宋_GB2312" w:eastAsia="仿宋_GB2312" w:cs="DengXian-Regular"/>
          <w:sz w:val="32"/>
          <w:szCs w:val="32"/>
        </w:rPr>
        <w:t>万元，增长</w:t>
      </w:r>
      <w:r>
        <w:rPr>
          <w:rFonts w:ascii="仿宋_GB2312" w:eastAsia="仿宋_GB2312" w:cs="DengXian-Regular"/>
          <w:sz w:val="32"/>
          <w:szCs w:val="32"/>
        </w:rPr>
        <w:t>30.6%</w:t>
      </w:r>
      <w:r>
        <w:rPr>
          <w:rFonts w:hint="eastAsia" w:ascii="仿宋_GB2312" w:eastAsia="仿宋_GB2312" w:cs="DengXian-Regular"/>
          <w:sz w:val="32"/>
          <w:szCs w:val="32"/>
        </w:rPr>
        <w:t>，主要是综治指挥中心建设经费增加，成立扫黑办办公经费增加。</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ascii="仿宋_GB2312" w:eastAsia="仿宋_GB2312" w:cs="DengXian-Regular"/>
          <w:sz w:val="32"/>
          <w:szCs w:val="32"/>
        </w:rPr>
        <w:t>577.28</w:t>
      </w:r>
      <w:r>
        <w:rPr>
          <w:rFonts w:hint="eastAsia" w:ascii="仿宋_GB2312" w:eastAsia="仿宋_GB2312" w:cs="DengXian-Regular"/>
          <w:sz w:val="32"/>
          <w:szCs w:val="32"/>
        </w:rPr>
        <w:t>万元，完成年初预算的</w:t>
      </w:r>
      <w:r>
        <w:rPr>
          <w:rFonts w:ascii="仿宋_GB2312" w:eastAsia="仿宋_GB2312" w:cs="DengXian-Regular"/>
          <w:sz w:val="32"/>
          <w:szCs w:val="32"/>
        </w:rPr>
        <w:t>92%,</w:t>
      </w:r>
      <w:r>
        <w:rPr>
          <w:rFonts w:hint="eastAsia" w:ascii="仿宋_GB2312" w:eastAsia="仿宋_GB2312" w:cs="DengXian-Regular"/>
          <w:sz w:val="32"/>
          <w:szCs w:val="32"/>
        </w:rPr>
        <w:t>比年初预算减少</w:t>
      </w:r>
      <w:r>
        <w:rPr>
          <w:rFonts w:ascii="仿宋_GB2312" w:eastAsia="仿宋_GB2312" w:cs="DengXian-Regular"/>
          <w:sz w:val="32"/>
          <w:szCs w:val="32"/>
        </w:rPr>
        <w:t>49.95</w:t>
      </w:r>
      <w:r>
        <w:rPr>
          <w:rFonts w:hint="eastAsia" w:ascii="仿宋_GB2312" w:eastAsia="仿宋_GB2312" w:cs="DengXian-Regular"/>
          <w:sz w:val="32"/>
          <w:szCs w:val="32"/>
        </w:rPr>
        <w:t>万元，决算数小于预算数主要原因是严格贯彻落实中央</w:t>
      </w:r>
      <w:r>
        <w:rPr>
          <w:rFonts w:ascii="仿宋_GB2312" w:eastAsia="仿宋_GB2312" w:cs="DengXian-Regular"/>
          <w:sz w:val="32"/>
          <w:szCs w:val="32"/>
        </w:rPr>
        <w:t xml:space="preserve"> </w:t>
      </w:r>
      <w:r>
        <w:rPr>
          <w:rFonts w:hint="eastAsia" w:ascii="仿宋_GB2312" w:eastAsia="仿宋_GB2312" w:cs="DengXian-Regular"/>
          <w:sz w:val="32"/>
          <w:szCs w:val="32"/>
        </w:rPr>
        <w:t>“八项规定”精神和厉行节约要求，从严控制经费开支，全年实际支出与年初预算相比有所下降；本年支出</w:t>
      </w:r>
      <w:r>
        <w:rPr>
          <w:rFonts w:ascii="仿宋_GB2312" w:eastAsia="仿宋_GB2312" w:cs="DengXian-Regular"/>
          <w:sz w:val="32"/>
          <w:szCs w:val="32"/>
        </w:rPr>
        <w:t>577.01</w:t>
      </w:r>
      <w:r>
        <w:rPr>
          <w:rFonts w:hint="eastAsia" w:ascii="仿宋_GB2312" w:eastAsia="仿宋_GB2312" w:cs="DengXian-Regular"/>
          <w:sz w:val="32"/>
          <w:szCs w:val="32"/>
        </w:rPr>
        <w:t>万元，完成年初预算的</w:t>
      </w:r>
      <w:r>
        <w:rPr>
          <w:rFonts w:ascii="仿宋_GB2312" w:eastAsia="仿宋_GB2312" w:cs="DengXian-Regular"/>
          <w:sz w:val="32"/>
          <w:szCs w:val="32"/>
        </w:rPr>
        <w:t>92%,</w:t>
      </w:r>
      <w:r>
        <w:rPr>
          <w:rFonts w:hint="eastAsia" w:ascii="仿宋_GB2312" w:eastAsia="仿宋_GB2312" w:cs="DengXian-Regular"/>
          <w:sz w:val="32"/>
          <w:szCs w:val="32"/>
        </w:rPr>
        <w:t>比年初预算减少</w:t>
      </w:r>
      <w:r>
        <w:rPr>
          <w:rFonts w:ascii="仿宋_GB2312" w:eastAsia="仿宋_GB2312" w:cs="DengXian-Regular"/>
          <w:sz w:val="32"/>
          <w:szCs w:val="32"/>
        </w:rPr>
        <w:t>50.22</w:t>
      </w:r>
      <w:r>
        <w:rPr>
          <w:rFonts w:hint="eastAsia" w:ascii="仿宋_GB2312" w:eastAsia="仿宋_GB2312" w:cs="DengXian-Regular"/>
          <w:sz w:val="32"/>
          <w:szCs w:val="32"/>
        </w:rPr>
        <w:t>万元，决算数小</w:t>
      </w:r>
      <w:r>
        <w:pict>
          <v:group id="_x0000_s1049" o:spid="_x0000_s1049" o:spt="203" style="position:absolute;left:0pt;margin-left:-0.55pt;margin-top:29.3pt;height:43.95pt;width:301.85pt;mso-position-horizontal-relative:page;mso-position-vertical-relative:page;z-index:251674624;mso-width-relative:page;mso-height-relative:page;" coordorigin="4551,52615" coordsize="8546,1398">
            <o:lock v:ext="edit"/>
            <v:rect id="矩形 13" o:spid="_x0000_s1050" o:spt="1" style="position:absolute;left:4551;top:52615;height:1175;width:8546;v-text-anchor:middle;" fillcolor="#D9D9D9" filled="t" stroked="f" coordsize="21600,21600">
              <v:path/>
              <v:fill on="t" focussize="0,0"/>
              <v:stroke on="f" weight="2pt"/>
              <v:imagedata o:title=""/>
              <o:lock v:ext="edit"/>
            </v:rect>
            <v:rect id="矩形 14" o:spid="_x0000_s1051"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于预算数主要原因是严格贯彻落实中央</w:t>
      </w:r>
      <w:r>
        <w:rPr>
          <w:rFonts w:ascii="仿宋_GB2312" w:eastAsia="仿宋_GB2312" w:cs="DengXian-Regular"/>
          <w:sz w:val="32"/>
          <w:szCs w:val="32"/>
        </w:rPr>
        <w:t xml:space="preserve"> </w:t>
      </w:r>
      <w:r>
        <w:rPr>
          <w:rFonts w:hint="eastAsia" w:ascii="仿宋_GB2312" w:eastAsia="仿宋_GB2312" w:cs="DengXian-Regular"/>
          <w:sz w:val="32"/>
          <w:szCs w:val="32"/>
        </w:rPr>
        <w:t>“八项规定”精神和厉行节约要求，从严控制经费开支，全年实际支出与年初预算相比有所下降。</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580" w:lineRule="exact"/>
        <w:ind w:left="0" w:leftChars="0" w:firstLine="643" w:firstLineChars="200"/>
        <w:textAlignment w:val="auto"/>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ascii="仿宋_GB2312" w:eastAsia="仿宋_GB2312" w:cs="DengXian-Regular"/>
          <w:sz w:val="32"/>
          <w:szCs w:val="32"/>
        </w:rPr>
        <w:t>577.01</w:t>
      </w:r>
      <w:r>
        <w:rPr>
          <w:rFonts w:hint="eastAsia" w:ascii="仿宋_GB2312" w:eastAsia="仿宋_GB2312" w:cs="DengXian-Regular"/>
          <w:sz w:val="32"/>
          <w:szCs w:val="32"/>
        </w:rPr>
        <w:t>万元，主要用于以下方面：一般公共服务（类）支出</w:t>
      </w:r>
      <w:r>
        <w:rPr>
          <w:rFonts w:ascii="仿宋_GB2312" w:eastAsia="仿宋_GB2312" w:cs="DengXian-Regular"/>
          <w:sz w:val="32"/>
          <w:szCs w:val="32"/>
        </w:rPr>
        <w:t>547.97</w:t>
      </w:r>
      <w:r>
        <w:rPr>
          <w:rFonts w:hint="eastAsia" w:ascii="仿宋_GB2312" w:eastAsia="仿宋_GB2312" w:cs="DengXian-Regular"/>
          <w:sz w:val="32"/>
          <w:szCs w:val="32"/>
        </w:rPr>
        <w:t>万元，占</w:t>
      </w:r>
      <w:r>
        <w:rPr>
          <w:rFonts w:ascii="仿宋_GB2312" w:eastAsia="仿宋_GB2312" w:cs="DengXian-Regular"/>
          <w:sz w:val="32"/>
          <w:szCs w:val="32"/>
        </w:rPr>
        <w:t>95%</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15.72</w:t>
      </w:r>
      <w:r>
        <w:rPr>
          <w:rFonts w:hint="eastAsia" w:ascii="仿宋_GB2312" w:eastAsia="仿宋_GB2312" w:cs="DengXian-Regular"/>
          <w:sz w:val="32"/>
          <w:szCs w:val="32"/>
        </w:rPr>
        <w:t>万元，占</w:t>
      </w:r>
      <w:r>
        <w:rPr>
          <w:rFonts w:ascii="仿宋_GB2312" w:eastAsia="仿宋_GB2312" w:cs="DengXian-Regular"/>
          <w:sz w:val="32"/>
          <w:szCs w:val="32"/>
        </w:rPr>
        <w:t>2.7%</w:t>
      </w:r>
      <w:r>
        <w:rPr>
          <w:rFonts w:hint="eastAsia" w:ascii="仿宋_GB2312" w:eastAsia="仿宋_GB2312" w:cs="DengXian-Regular"/>
          <w:sz w:val="32"/>
          <w:szCs w:val="32"/>
        </w:rPr>
        <w:t>；医疗卫生与计划生育（类）支出</w:t>
      </w:r>
      <w:r>
        <w:rPr>
          <w:rFonts w:ascii="仿宋_GB2312" w:eastAsia="仿宋_GB2312" w:cs="DengXian-Regular"/>
          <w:sz w:val="32"/>
          <w:szCs w:val="32"/>
        </w:rPr>
        <w:t>4.75</w:t>
      </w:r>
      <w:r>
        <w:rPr>
          <w:rFonts w:hint="eastAsia" w:ascii="仿宋_GB2312" w:eastAsia="仿宋_GB2312" w:cs="DengXian-Regular"/>
          <w:sz w:val="32"/>
          <w:szCs w:val="32"/>
        </w:rPr>
        <w:t>万元，占</w:t>
      </w:r>
      <w:r>
        <w:rPr>
          <w:rFonts w:ascii="仿宋_GB2312" w:eastAsia="仿宋_GB2312" w:cs="DengXian-Regular"/>
          <w:sz w:val="32"/>
          <w:szCs w:val="32"/>
        </w:rPr>
        <w:t>0.8%</w:t>
      </w:r>
      <w:r>
        <w:rPr>
          <w:rFonts w:hint="eastAsia" w:ascii="仿宋_GB2312" w:eastAsia="仿宋_GB2312" w:cs="DengXian-Regular"/>
          <w:sz w:val="32"/>
          <w:szCs w:val="32"/>
        </w:rPr>
        <w:t>；住房保障（类）支出</w:t>
      </w:r>
      <w:r>
        <w:rPr>
          <w:rFonts w:ascii="仿宋_GB2312" w:eastAsia="仿宋_GB2312" w:cs="DengXian-Regular"/>
          <w:sz w:val="32"/>
          <w:szCs w:val="32"/>
        </w:rPr>
        <w:t>8.56</w:t>
      </w:r>
      <w:r>
        <w:rPr>
          <w:rFonts w:hint="eastAsia" w:ascii="仿宋_GB2312" w:eastAsia="仿宋_GB2312" w:cs="DengXian-Regular"/>
          <w:sz w:val="32"/>
          <w:szCs w:val="32"/>
        </w:rPr>
        <w:t>万元，占</w:t>
      </w:r>
      <w:r>
        <w:rPr>
          <w:rFonts w:ascii="仿宋_GB2312" w:eastAsia="仿宋_GB2312" w:cs="DengXian-Regular"/>
          <w:sz w:val="32"/>
          <w:szCs w:val="32"/>
        </w:rPr>
        <w:t xml:space="preserve"> 1.5%</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_x0000_s1052" o:spid="_x0000_s1052" o:spt="203" style="position:absolute;left:0pt;margin-left:-0.55pt;margin-top:29.3pt;height:43.95pt;width:301.85pt;mso-position-horizontal-relative:page;mso-position-vertical-relative:page;z-index:251675648;mso-width-relative:page;mso-height-relative:page;" coordorigin="4551,52615" coordsize="8546,1398">
            <o:lock v:ext="edit"/>
            <v:rect id="矩形 13" o:spid="_x0000_s1053" o:spt="1" style="position:absolute;left:4551;top:52615;height:1175;width:8546;v-text-anchor:middle;" fillcolor="#D9D9D9" filled="t" stroked="f" coordsize="21600,21600">
              <v:path/>
              <v:fill on="t" focussize="0,0"/>
              <v:stroke on="f" weight="2pt"/>
              <v:imagedata o:title=""/>
              <o:lock v:ext="edit"/>
            </v:rect>
            <v:rect id="矩形 14" o:spid="_x0000_s1054"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pict>
          <v:group id="_x0000_s1055" o:spid="_x0000_s1055" o:spt="203" style="position:absolute;left:0pt;margin-left:-0.55pt;margin-top:29.3pt;height:43.95pt;width:301.85pt;mso-position-horizontal-relative:page;mso-position-vertical-relative:page;z-index:251682816;mso-width-relative:page;mso-height-relative:page;" coordorigin="4551,52615" coordsize="8546,1398">
            <o:lock v:ext="edit"/>
            <v:rect id="矩形 13" o:spid="_x0000_s1056" o:spt="1" style="position:absolute;left:4551;top:52615;height:1175;width:8546;v-text-anchor:middle;" fillcolor="#D9D9D9" filled="t" stroked="f" coordsize="21600,21600">
              <v:path/>
              <v:fill on="t" focussize="0,0"/>
              <v:stroke on="f" weight="2pt"/>
              <v:imagedata o:title=""/>
              <o:lock v:ext="edit"/>
            </v:rect>
            <v:rect id="矩形 14" o:spid="_x0000_s1057"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ascii="仿宋_GB2312" w:eastAsia="仿宋_GB2312" w:cs="DengXian-Regular"/>
          <w:sz w:val="32"/>
          <w:szCs w:val="32"/>
        </w:rPr>
        <w:t>216.22</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117.03</w:t>
      </w:r>
      <w:r>
        <w:rPr>
          <w:rFonts w:hint="eastAsia" w:ascii="仿宋_GB2312" w:eastAsia="仿宋_GB2312" w:cs="DengXian-Regular"/>
          <w:sz w:val="32"/>
          <w:szCs w:val="32"/>
        </w:rPr>
        <w:t>万元，主要包括基本工资、津贴补贴、机关事业单位基本养老保险缴费、职工基本医疗保险缴费、住房公积金、其他社会保障缴费、退休费、奖励金、；公用经费</w:t>
      </w:r>
      <w:r>
        <w:rPr>
          <w:rFonts w:ascii="仿宋_GB2312" w:eastAsia="仿宋_GB2312" w:cs="DengXian-Regular"/>
          <w:sz w:val="32"/>
          <w:szCs w:val="32"/>
        </w:rPr>
        <w:t xml:space="preserve"> 99.19</w:t>
      </w:r>
      <w:r>
        <w:rPr>
          <w:rFonts w:hint="eastAsia" w:ascii="仿宋_GB2312" w:eastAsia="仿宋_GB2312" w:cs="DengXian-Regular"/>
          <w:sz w:val="32"/>
          <w:szCs w:val="32"/>
        </w:rPr>
        <w:t>万元，主要包括办公费、印刷费、咨询费、邮电费、差旅费、维修（护）费、公务接待费、劳务费、工会经费、福利费、公务用车运行维护费、其他交通费用。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ascii="仿宋_GB2312" w:eastAsia="仿宋_GB2312" w:cs="DengXian-Regular"/>
          <w:sz w:val="32"/>
          <w:szCs w:val="32"/>
        </w:rPr>
        <w:t>8.78</w:t>
      </w:r>
      <w:r>
        <w:rPr>
          <w:rFonts w:hint="eastAsia" w:ascii="仿宋_GB2312" w:eastAsia="仿宋_GB2312" w:cs="DengXian-Regular"/>
          <w:sz w:val="32"/>
          <w:szCs w:val="32"/>
        </w:rPr>
        <w:t>万元，</w:t>
      </w:r>
      <w:r>
        <w:rPr>
          <w:rFonts w:hint="eastAsia" w:ascii="仿宋_GB2312" w:eastAsia="仿宋_GB2312" w:cs="DengXian-Regular"/>
          <w:bCs/>
          <w:sz w:val="32"/>
          <w:szCs w:val="32"/>
        </w:rPr>
        <w:t>较年初预算减少</w:t>
      </w:r>
      <w:r>
        <w:rPr>
          <w:rFonts w:ascii="仿宋_GB2312" w:eastAsia="仿宋_GB2312" w:cs="DengXian-Regular"/>
          <w:bCs/>
          <w:sz w:val="32"/>
          <w:szCs w:val="32"/>
        </w:rPr>
        <w:t>0.04</w:t>
      </w:r>
      <w:r>
        <w:rPr>
          <w:rFonts w:hint="eastAsia" w:ascii="仿宋_GB2312" w:eastAsia="仿宋_GB2312" w:cs="DengXian-Regular"/>
          <w:bCs/>
          <w:sz w:val="32"/>
          <w:szCs w:val="32"/>
        </w:rPr>
        <w:t>万元，降低</w:t>
      </w:r>
      <w:r>
        <w:rPr>
          <w:rFonts w:ascii="仿宋_GB2312" w:eastAsia="仿宋_GB2312" w:cs="DengXian-Regular"/>
          <w:bCs/>
          <w:sz w:val="32"/>
          <w:szCs w:val="32"/>
        </w:rPr>
        <w:t>0.5%</w:t>
      </w:r>
      <w:r>
        <w:rPr>
          <w:rFonts w:hint="eastAsia" w:ascii="仿宋_GB2312" w:eastAsia="仿宋_GB2312" w:cs="DengXian-Regular"/>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pict>
          <v:group id="_x0000_s1058" o:spid="_x0000_s1058" o:spt="203" style="position:absolute;left:0pt;margin-left:-0.55pt;margin-top:29.3pt;height:43.95pt;width:301.85pt;mso-position-horizontal-relative:page;mso-position-vertical-relative:page;z-index:251676672;mso-width-relative:page;mso-height-relative:page;" coordorigin="4551,52615" coordsize="8546,1398">
            <o:lock v:ext="edit"/>
            <v:rect id="矩形 13" o:spid="_x0000_s1059" o:spt="1" style="position:absolute;left:4551;top:52615;height:1175;width:8546;v-text-anchor:middle;" fillcolor="#D9D9D9" filled="t" stroked="f" coordsize="21600,21600">
              <v:path/>
              <v:fill on="t" focussize="0,0"/>
              <v:stroke on="f" weight="2pt"/>
              <v:imagedata o:title=""/>
              <o:lock v:ext="edit"/>
            </v:rect>
            <v:rect id="矩形 14" o:spid="_x0000_s1060"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楷体_GB2312" w:eastAsia="楷体_GB2312" w:cs="DengXian-Bold"/>
          <w:bCs/>
          <w:sz w:val="32"/>
          <w:szCs w:val="32"/>
        </w:rPr>
        <w:t>因公出国（境）</w:t>
      </w:r>
      <w:r>
        <w:rPr>
          <w:rFonts w:hint="eastAsia" w:ascii="仿宋_GB2312" w:eastAsia="仿宋_GB2312" w:cs="DengXian-Regular"/>
          <w:sz w:val="32"/>
          <w:szCs w:val="32"/>
        </w:rPr>
        <w:t>支出较年初预算增加</w:t>
      </w:r>
      <w:r>
        <w:rPr>
          <w:rFonts w:ascii="仿宋_GB2312" w:eastAsia="仿宋_GB2312" w:cs="DengXian-Regular"/>
          <w:sz w:val="32"/>
          <w:szCs w:val="32"/>
        </w:rPr>
        <w:t>0</w:t>
      </w:r>
      <w:r>
        <w:rPr>
          <w:rFonts w:hint="eastAsia" w:ascii="仿宋_GB2312" w:eastAsia="仿宋_GB2312" w:cs="DengXian-Regular"/>
          <w:sz w:val="32"/>
          <w:szCs w:val="32"/>
        </w:rPr>
        <w:t>万元，增长</w:t>
      </w:r>
      <w:r>
        <w:rPr>
          <w:rFonts w:ascii="仿宋_GB2312" w:eastAsia="仿宋_GB2312" w:cs="DengXian-Regular"/>
          <w:sz w:val="32"/>
          <w:szCs w:val="32"/>
        </w:rPr>
        <w:t>0%</w:t>
      </w:r>
      <w:r>
        <w:rPr>
          <w:rFonts w:hint="eastAsia" w:ascii="仿宋_GB2312" w:eastAsia="仿宋_GB2312" w:cs="DengXian-Regular"/>
          <w:sz w:val="32"/>
          <w:szCs w:val="32"/>
        </w:rPr>
        <w:t>。主要是本部门未发生因公出国</w:t>
      </w:r>
      <w:r>
        <w:rPr>
          <w:rFonts w:ascii="仿宋_GB2312" w:eastAsia="仿宋_GB2312" w:cs="DengXian-Regular"/>
          <w:sz w:val="32"/>
          <w:szCs w:val="32"/>
        </w:rPr>
        <w:t>(</w:t>
      </w:r>
      <w:r>
        <w:rPr>
          <w:rFonts w:hint="eastAsia" w:ascii="仿宋_GB2312" w:eastAsia="仿宋_GB2312" w:cs="DengXian-Regular"/>
          <w:sz w:val="32"/>
          <w:szCs w:val="32"/>
        </w:rPr>
        <w:t>境</w:t>
      </w:r>
      <w:r>
        <w:rPr>
          <w:rFonts w:ascii="仿宋_GB2312" w:eastAsia="仿宋_GB2312" w:cs="DengXian-Regular"/>
          <w:sz w:val="32"/>
          <w:szCs w:val="32"/>
        </w:rPr>
        <w:t>)</w:t>
      </w:r>
      <w:r>
        <w:rPr>
          <w:rFonts w:hint="eastAsia" w:ascii="仿宋_GB2312" w:eastAsia="仿宋_GB2312" w:cs="DengXian-Regular"/>
          <w:sz w:val="32"/>
          <w:szCs w:val="32"/>
        </w:rPr>
        <w:t>支出与年初预算持平。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8.66</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ascii="仿宋_GB2312" w:eastAsia="仿宋_GB2312" w:cs="DengXian-Regular"/>
          <w:sz w:val="32"/>
          <w:szCs w:val="32"/>
        </w:rPr>
        <w:t>0.04</w:t>
      </w:r>
      <w:r>
        <w:rPr>
          <w:rFonts w:hint="eastAsia" w:ascii="仿宋_GB2312" w:eastAsia="仿宋_GB2312" w:cs="DengXian-Regular"/>
          <w:sz w:val="32"/>
          <w:szCs w:val="32"/>
        </w:rPr>
        <w:t>万元，降低</w:t>
      </w:r>
      <w:r>
        <w:rPr>
          <w:rFonts w:ascii="仿宋_GB2312" w:eastAsia="仿宋_GB2312" w:cs="DengXian-Regular"/>
          <w:sz w:val="32"/>
          <w:szCs w:val="32"/>
        </w:rPr>
        <w:t>0.5%,</w:t>
      </w:r>
      <w:r>
        <w:rPr>
          <w:rFonts w:hint="eastAsia" w:ascii="仿宋_GB2312" w:eastAsia="仿宋_GB2312" w:cs="DengXian-Regular"/>
          <w:sz w:val="32"/>
          <w:szCs w:val="32"/>
        </w:rPr>
        <w:t>主要是认真贯彻落实中央八项规定精神和厉行节约要求，从严控制“三公”经费开支，全年实际支出比预算有所节约。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w:t>
      </w:r>
      <w:bookmarkStart w:id="0" w:name="_GoBack"/>
      <w:bookmarkEnd w:id="0"/>
      <w:r>
        <w:rPr>
          <w:rFonts w:hint="eastAsia" w:ascii="仿宋_GB2312" w:eastAsia="仿宋_GB2312" w:cs="DengXian-Regular"/>
          <w:sz w:val="32"/>
          <w:szCs w:val="32"/>
        </w:rPr>
        <w:t>较年初预算增加</w:t>
      </w:r>
      <w:r>
        <w:rPr>
          <w:rFonts w:ascii="仿宋_GB2312" w:eastAsia="仿宋_GB2312" w:cs="DengXian-Regular"/>
          <w:sz w:val="32"/>
          <w:szCs w:val="32"/>
        </w:rPr>
        <w:t>0</w:t>
      </w:r>
      <w:r>
        <w:rPr>
          <w:rFonts w:hint="eastAsia" w:ascii="仿宋_GB2312" w:eastAsia="仿宋_GB2312" w:cs="DengXian-Regular"/>
          <w:sz w:val="32"/>
          <w:szCs w:val="32"/>
        </w:rPr>
        <w:t>万元，增长</w:t>
      </w:r>
      <w:r>
        <w:rPr>
          <w:rFonts w:ascii="仿宋_GB2312" w:eastAsia="仿宋_GB2312" w:cs="DengXian-Regular"/>
          <w:sz w:val="32"/>
          <w:szCs w:val="32"/>
        </w:rPr>
        <w:t>0%</w:t>
      </w:r>
      <w:r>
        <w:rPr>
          <w:rFonts w:hint="eastAsia" w:ascii="仿宋_GB2312" w:eastAsia="仿宋_GB2312" w:cs="DengXian-Regular"/>
          <w:sz w:val="32"/>
          <w:szCs w:val="32"/>
        </w:rPr>
        <w:t>。主要是本部门</w:t>
      </w:r>
      <w:r>
        <w:rPr>
          <w:rFonts w:ascii="仿宋_GB2312" w:eastAsia="仿宋_GB2312" w:cs="DengXian-Regular"/>
          <w:sz w:val="32"/>
          <w:szCs w:val="32"/>
        </w:rPr>
        <w:t>2018</w:t>
      </w:r>
      <w:r>
        <w:rPr>
          <w:rFonts w:hint="eastAsia" w:ascii="仿宋_GB2312" w:eastAsia="仿宋_GB2312" w:cs="DengXian-Regular"/>
          <w:sz w:val="32"/>
          <w:szCs w:val="32"/>
        </w:rPr>
        <w:t>年度未发生公务用车购置费与年初预算持平。</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ascii="仿宋_GB2312" w:eastAsia="仿宋_GB2312" w:cs="DengXian-Regular"/>
          <w:sz w:val="32"/>
          <w:szCs w:val="32"/>
        </w:rPr>
        <w:t>1</w:t>
      </w:r>
      <w:r>
        <w:rPr>
          <w:rFonts w:hint="eastAsia" w:ascii="仿宋_GB2312" w:eastAsia="仿宋_GB2312" w:cs="DengXian-Regular"/>
          <w:sz w:val="32"/>
          <w:szCs w:val="32"/>
        </w:rPr>
        <w:t>辆。公车运行维护费支出较年初预算减少</w:t>
      </w:r>
      <w:r>
        <w:rPr>
          <w:rFonts w:ascii="仿宋_GB2312" w:eastAsia="仿宋_GB2312" w:cs="DengXian-Regular"/>
          <w:sz w:val="32"/>
          <w:szCs w:val="32"/>
        </w:rPr>
        <w:t>0.04</w:t>
      </w:r>
      <w:r>
        <w:rPr>
          <w:rFonts w:hint="eastAsia" w:ascii="仿宋_GB2312" w:eastAsia="仿宋_GB2312" w:cs="DengXian-Regular"/>
          <w:sz w:val="32"/>
          <w:szCs w:val="32"/>
        </w:rPr>
        <w:t>万元，降低</w:t>
      </w:r>
      <w:r>
        <w:rPr>
          <w:rFonts w:ascii="仿宋_GB2312" w:eastAsia="仿宋_GB2312" w:cs="DengXian-Regular"/>
          <w:sz w:val="32"/>
          <w:szCs w:val="32"/>
        </w:rPr>
        <w:t>0.5%,</w:t>
      </w:r>
      <w:r>
        <w:rPr>
          <w:rFonts w:hint="eastAsia" w:ascii="仿宋_GB2312"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0.12</w:t>
      </w:r>
      <w:r>
        <w:rPr>
          <w:rFonts w:hint="eastAsia" w:ascii="楷体_GB2312" w:eastAsia="楷体_GB2312" w:cs="DengXian-Bold"/>
          <w:b/>
          <w:bCs/>
          <w:sz w:val="32"/>
          <w:szCs w:val="32"/>
        </w:rPr>
        <w:t>万元。</w:t>
      </w:r>
      <w:r>
        <w:pict>
          <v:group id="_x0000_s1061" o:spid="_x0000_s1061" o:spt="203" style="position:absolute;left:0pt;margin-left:-0.55pt;margin-top:29.3pt;height:43.95pt;width:301.85pt;mso-position-horizontal-relative:page;mso-position-vertical-relative:page;z-index:251677696;mso-width-relative:page;mso-height-relative:page;" coordorigin="4551,52615" coordsize="8546,1398">
            <o:lock v:ext="edit"/>
            <v:rect id="矩形 13" o:spid="_x0000_s1062" o:spt="1" style="position:absolute;left:4551;top:52615;height:1175;width:8546;v-text-anchor:middle;" fillcolor="#D9D9D9" filled="t" stroked="f" coordsize="21600,21600">
              <v:path/>
              <v:fill on="t" focussize="0,0"/>
              <v:stroke on="f" weight="2pt"/>
              <v:imagedata o:title=""/>
              <o:lock v:ext="edit"/>
            </v:rect>
            <v:rect id="矩形 14" o:spid="_x0000_s1063"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ascii="仿宋_GB2312" w:eastAsia="仿宋_GB2312" w:cs="DengXian-Regular"/>
          <w:sz w:val="32"/>
          <w:szCs w:val="32"/>
        </w:rPr>
        <w:t>1</w:t>
      </w:r>
      <w:r>
        <w:rPr>
          <w:rFonts w:hint="eastAsia" w:ascii="仿宋_GB2312" w:eastAsia="仿宋_GB2312" w:cs="DengXian-Regular"/>
          <w:sz w:val="32"/>
          <w:szCs w:val="32"/>
        </w:rPr>
        <w:t>批次、</w:t>
      </w:r>
      <w:r>
        <w:rPr>
          <w:rFonts w:ascii="仿宋_GB2312" w:eastAsia="仿宋_GB2312" w:cs="DengXian-Regular"/>
          <w:sz w:val="32"/>
          <w:szCs w:val="32"/>
        </w:rPr>
        <w:t>2</w:t>
      </w:r>
      <w:r>
        <w:rPr>
          <w:rFonts w:hint="eastAsia" w:ascii="仿宋_GB2312" w:eastAsia="仿宋_GB2312" w:cs="DengXian-Regular"/>
          <w:sz w:val="32"/>
          <w:szCs w:val="32"/>
        </w:rPr>
        <w:t>人次。公务接待费支出与年初预算持平。</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在预算编审工作中，开展绩效管理工作，将项目经费的科学性、可行性以及对检察工作的有用性、取得的社会效益等作为预算立项的重要依据，力争编入预算的项目绩效目标指向明确、准确具体、充分细化和科学可行。</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（二）项目绩效自评结果。</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绩效指标体系构建主要遵循以下原则：一是适用性原则。根据专项资金类型，财政管理的要求设置指标。二是可操作性原则。评价指标的设计力求简便易行，便于公众理解、接受，便于运用；同时又要具有可操作性。三是产出与效果相结合原则。既要考虑设计效果指标，反映专项资金绩效水平，又要设计效果指标，反映项目预算执行、管理的好坏。</w:t>
      </w:r>
    </w:p>
    <w:p>
      <w:pPr>
        <w:adjustRightInd w:val="0"/>
        <w:snapToGrid w:val="0"/>
        <w:spacing w:after="0" w:line="580" w:lineRule="exact"/>
        <w:ind w:firstLine="560" w:firstLineChars="200"/>
        <w:rPr>
          <w:rFonts w:ascii="仿宋_GB2312" w:eastAsia="仿宋_GB2312" w:cs="DengXian-Regular"/>
          <w:sz w:val="32"/>
          <w:szCs w:val="32"/>
        </w:rPr>
      </w:pPr>
      <w:r>
        <w:rPr>
          <w:rFonts w:hint="eastAsia" w:ascii="仿宋_GB2312" w:hAnsi="Arial" w:eastAsia="仿宋_GB2312" w:cs="Arial"/>
          <w:color w:val="000000"/>
          <w:sz w:val="28"/>
          <w:szCs w:val="28"/>
        </w:rPr>
        <w:t>（三）绩效评价结果的应用</w:t>
      </w:r>
    </w:p>
    <w:tbl>
      <w:tblPr>
        <w:tblStyle w:val="13"/>
        <w:tblW w:w="8825" w:type="dxa"/>
        <w:tblInd w:w="98" w:type="dxa"/>
        <w:tblLayout w:type="autofit"/>
        <w:tblCellMar>
          <w:top w:w="0" w:type="dxa"/>
          <w:left w:w="108" w:type="dxa"/>
          <w:bottom w:w="0" w:type="dxa"/>
          <w:right w:w="108" w:type="dxa"/>
        </w:tblCellMar>
      </w:tblPr>
      <w:tblGrid>
        <w:gridCol w:w="820"/>
        <w:gridCol w:w="820"/>
        <w:gridCol w:w="820"/>
        <w:gridCol w:w="820"/>
        <w:gridCol w:w="820"/>
        <w:gridCol w:w="820"/>
        <w:gridCol w:w="820"/>
        <w:gridCol w:w="820"/>
        <w:gridCol w:w="820"/>
        <w:gridCol w:w="1445"/>
      </w:tblGrid>
      <w:tr>
        <w:tblPrEx>
          <w:tblCellMar>
            <w:top w:w="0" w:type="dxa"/>
            <w:left w:w="108" w:type="dxa"/>
            <w:bottom w:w="0" w:type="dxa"/>
            <w:right w:w="108" w:type="dxa"/>
          </w:tblCellMar>
        </w:tblPrEx>
        <w:trPr>
          <w:trHeight w:val="420" w:hRule="atLeast"/>
        </w:trPr>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部门决算量化评价表</w:t>
            </w: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445"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r>
      <w:tr>
        <w:tblPrEx>
          <w:tblCellMar>
            <w:top w:w="0" w:type="dxa"/>
            <w:left w:w="108" w:type="dxa"/>
            <w:bottom w:w="0" w:type="dxa"/>
            <w:right w:w="108" w:type="dxa"/>
          </w:tblCellMar>
        </w:tblPrEx>
        <w:trPr>
          <w:trHeight w:val="420" w:hRule="atLeast"/>
        </w:trPr>
        <w:tc>
          <w:tcPr>
            <w:tcW w:w="3280" w:type="dxa"/>
            <w:gridSpan w:val="4"/>
            <w:tcBorders>
              <w:top w:val="nil"/>
              <w:left w:val="nil"/>
              <w:bottom w:val="nil"/>
              <w:right w:val="nil"/>
            </w:tcBorders>
            <w:noWrap/>
            <w:vAlign w:val="bottom"/>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单位名称：中共秦皇岛经济技术开发区工委政法委员会</w:t>
            </w: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820"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445"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r>
      <w:tr>
        <w:tblPrEx>
          <w:tblCellMar>
            <w:top w:w="0" w:type="dxa"/>
            <w:left w:w="108" w:type="dxa"/>
            <w:bottom w:w="0" w:type="dxa"/>
            <w:right w:w="108" w:type="dxa"/>
          </w:tblCellMar>
        </w:tblPrEx>
        <w:trPr>
          <w:trHeight w:val="420" w:hRule="atLeast"/>
        </w:trPr>
        <w:tc>
          <w:tcPr>
            <w:tcW w:w="4920" w:type="dxa"/>
            <w:gridSpan w:val="6"/>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评价指标</w:t>
            </w:r>
          </w:p>
        </w:tc>
        <w:tc>
          <w:tcPr>
            <w:tcW w:w="820"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计算值</w:t>
            </w:r>
          </w:p>
        </w:tc>
        <w:tc>
          <w:tcPr>
            <w:tcW w:w="820"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得分</w:t>
            </w:r>
          </w:p>
        </w:tc>
        <w:tc>
          <w:tcPr>
            <w:tcW w:w="820"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指标说明</w:t>
            </w:r>
          </w:p>
        </w:tc>
        <w:tc>
          <w:tcPr>
            <w:tcW w:w="1445"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评分标准</w:t>
            </w:r>
          </w:p>
        </w:tc>
      </w:tr>
      <w:tr>
        <w:tblPrEx>
          <w:tblCellMar>
            <w:top w:w="0" w:type="dxa"/>
            <w:left w:w="108" w:type="dxa"/>
            <w:bottom w:w="0" w:type="dxa"/>
            <w:right w:w="108" w:type="dxa"/>
          </w:tblCellMar>
        </w:tblPrEx>
        <w:trPr>
          <w:trHeight w:val="420" w:hRule="atLeast"/>
        </w:trPr>
        <w:tc>
          <w:tcPr>
            <w:tcW w:w="1640" w:type="dxa"/>
            <w:gridSpan w:val="2"/>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一级指标</w:t>
            </w:r>
          </w:p>
        </w:tc>
        <w:tc>
          <w:tcPr>
            <w:tcW w:w="1640" w:type="dxa"/>
            <w:gridSpan w:val="2"/>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二级指标</w:t>
            </w:r>
          </w:p>
        </w:tc>
        <w:tc>
          <w:tcPr>
            <w:tcW w:w="1640" w:type="dxa"/>
            <w:gridSpan w:val="2"/>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三级指标</w:t>
            </w: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1445"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r>
      <w:tr>
        <w:tblPrEx>
          <w:tblCellMar>
            <w:top w:w="0" w:type="dxa"/>
            <w:left w:w="108" w:type="dxa"/>
            <w:bottom w:w="0" w:type="dxa"/>
            <w:right w:w="108" w:type="dxa"/>
          </w:tblCellMar>
        </w:tblPrEx>
        <w:trPr>
          <w:trHeight w:val="420" w:hRule="atLeast"/>
        </w:trPr>
        <w:tc>
          <w:tcPr>
            <w:tcW w:w="820"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名称</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权重</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名称</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权重</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名称</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权重</w:t>
            </w: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1445"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r>
      <w:tr>
        <w:tblPrEx>
          <w:tblCellMar>
            <w:top w:w="0" w:type="dxa"/>
            <w:left w:w="108" w:type="dxa"/>
            <w:bottom w:w="0" w:type="dxa"/>
            <w:right w:w="108" w:type="dxa"/>
          </w:tblCellMar>
        </w:tblPrEx>
        <w:trPr>
          <w:trHeight w:val="420" w:hRule="atLeast"/>
        </w:trPr>
        <w:tc>
          <w:tcPr>
            <w:tcW w:w="82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预算编制及执行情况</w:t>
            </w: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80</w:t>
            </w: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预算编制的准确完整性</w:t>
            </w:r>
          </w:p>
        </w:tc>
        <w:tc>
          <w:tcPr>
            <w:tcW w:w="820"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财政拨款收入预决算差异率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-7.96</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4.0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财政拨款收入：（决算数－年初预算数）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非财政拨款收入预决算差异率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非财政拨款收入：（决算数－年初预算数）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年初结转和结余预决算差异率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年初结转和结余：（决算数－年初预算数）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hAnsi="宋体" w:cs="Arial"/>
                <w:color w:val="000000"/>
                <w:kern w:val="0"/>
                <w:sz w:val="12"/>
                <w:szCs w:val="12"/>
              </w:rPr>
              <w:t>100</w:t>
            </w:r>
            <w:r>
              <w:rPr>
                <w:rFonts w:hint="eastAsia" w:ascii="宋体" w:hAnsi="宋体" w:cs="Arial"/>
                <w:color w:val="000000"/>
                <w:kern w:val="0"/>
                <w:sz w:val="12"/>
                <w:szCs w:val="12"/>
              </w:rPr>
              <w:t>时，扣</w:t>
            </w:r>
            <w:r>
              <w:rPr>
                <w:rFonts w:ascii="宋体" w:hAnsi="宋体" w:cs="Arial"/>
                <w:color w:val="000000"/>
                <w:kern w:val="0"/>
                <w:sz w:val="12"/>
                <w:szCs w:val="12"/>
              </w:rPr>
              <w:t>1</w:t>
            </w:r>
            <w:r>
              <w:rPr>
                <w:rFonts w:hint="eastAsia" w:ascii="宋体" w:hAnsi="宋体" w:cs="Arial"/>
                <w:color w:val="000000"/>
                <w:kern w:val="0"/>
                <w:sz w:val="12"/>
                <w:szCs w:val="12"/>
              </w:rPr>
              <w:t>分，差异率（绝对值）﹥</w:t>
            </w:r>
            <w:r>
              <w:rPr>
                <w:rFonts w:ascii="宋体" w:hAnsi="宋体" w:cs="Arial"/>
                <w:color w:val="000000"/>
                <w:kern w:val="0"/>
                <w:sz w:val="12"/>
                <w:szCs w:val="12"/>
              </w:rPr>
              <w:t>100</w:t>
            </w:r>
            <w:r>
              <w:rPr>
                <w:rFonts w:hint="eastAsia" w:ascii="宋体" w:hAnsi="宋体" w:cs="Arial"/>
                <w:color w:val="000000"/>
                <w:kern w:val="0"/>
                <w:sz w:val="12"/>
                <w:szCs w:val="12"/>
              </w:rPr>
              <w:t>时，每增加</w:t>
            </w:r>
            <w:r>
              <w:rPr>
                <w:rFonts w:ascii="宋体" w:hAnsi="宋体" w:cs="Arial"/>
                <w:color w:val="000000"/>
                <w:kern w:val="0"/>
                <w:sz w:val="12"/>
                <w:szCs w:val="12"/>
              </w:rPr>
              <w:t>10%</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人员经费预决算差异率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5.94</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人员经费：（决算数－年初预算数）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公用经费预决算差异率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242.87</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公用经费：（决算数－年初预算数）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预算执行的有效性</w:t>
            </w:r>
          </w:p>
        </w:tc>
        <w:tc>
          <w:tcPr>
            <w:tcW w:w="820"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人员经费预算执行差异率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人员经费：（决算数－调整预算数）</w:t>
            </w:r>
            <w:r>
              <w:rPr>
                <w:rFonts w:ascii="宋体" w:hAnsi="宋体" w:cs="Arial"/>
                <w:color w:val="000000"/>
                <w:kern w:val="0"/>
                <w:sz w:val="12"/>
                <w:szCs w:val="12"/>
              </w:rPr>
              <w:t>/</w:t>
            </w:r>
            <w:r>
              <w:rPr>
                <w:rFonts w:hint="eastAsia" w:ascii="宋体" w:hAnsi="宋体" w:cs="Arial"/>
                <w:color w:val="000000"/>
                <w:kern w:val="0"/>
                <w:sz w:val="12"/>
                <w:szCs w:val="12"/>
              </w:rPr>
              <w:t>调整预算数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公用经费预算执行差异率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-0.24</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9.5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公用经费：（决算数－调整预算数）</w:t>
            </w:r>
            <w:r>
              <w:rPr>
                <w:rFonts w:ascii="宋体" w:hAnsi="宋体" w:cs="Arial"/>
                <w:color w:val="000000"/>
                <w:kern w:val="0"/>
                <w:sz w:val="12"/>
                <w:szCs w:val="12"/>
              </w:rPr>
              <w:t>/</w:t>
            </w:r>
            <w:r>
              <w:rPr>
                <w:rFonts w:hint="eastAsia" w:ascii="宋体" w:hAnsi="宋体" w:cs="Arial"/>
                <w:color w:val="000000"/>
                <w:kern w:val="0"/>
                <w:sz w:val="12"/>
                <w:szCs w:val="12"/>
              </w:rPr>
              <w:t>调整预算数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财政拨款结转和结余率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0.34</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9.5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财政拨款结转和结余：（本年年末数</w:t>
            </w:r>
            <w:r>
              <w:rPr>
                <w:rFonts w:ascii="宋体" w:hAnsi="宋体" w:cs="Arial"/>
                <w:color w:val="000000"/>
                <w:kern w:val="0"/>
                <w:sz w:val="12"/>
                <w:szCs w:val="12"/>
              </w:rPr>
              <w:t>/</w:t>
            </w:r>
            <w:r>
              <w:rPr>
                <w:rFonts w:hint="eastAsia" w:ascii="宋体" w:hAnsi="宋体" w:cs="Arial"/>
                <w:color w:val="000000"/>
                <w:kern w:val="0"/>
                <w:sz w:val="12"/>
                <w:szCs w:val="12"/>
              </w:rPr>
              <w:t>支出调整预算数总计）</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结转和结余率</w:t>
            </w:r>
            <w:r>
              <w:rPr>
                <w:rFonts w:ascii="宋体" w:hAnsi="宋体" w:cs="Arial"/>
                <w:color w:val="000000"/>
                <w:kern w:val="0"/>
                <w:sz w:val="12"/>
                <w:szCs w:val="12"/>
              </w:rPr>
              <w:t>=0</w:t>
            </w:r>
            <w:r>
              <w:rPr>
                <w:rFonts w:hint="eastAsia" w:ascii="宋体" w:hAnsi="宋体" w:cs="Arial"/>
                <w:color w:val="000000"/>
                <w:kern w:val="0"/>
                <w:sz w:val="12"/>
                <w:szCs w:val="12"/>
              </w:rPr>
              <w:t>，得满分；结转和结余率（绝对值）﹥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财政拨款结转和结余上下年变动率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4.5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财政拨款结转和结余：（本年年末数－上年年末数）</w:t>
            </w:r>
            <w:r>
              <w:rPr>
                <w:rFonts w:ascii="宋体" w:hAnsi="宋体" w:cs="Arial"/>
                <w:color w:val="000000"/>
                <w:kern w:val="0"/>
                <w:sz w:val="12"/>
                <w:szCs w:val="12"/>
              </w:rPr>
              <w:t>/</w:t>
            </w:r>
            <w:r>
              <w:rPr>
                <w:rFonts w:hint="eastAsia" w:ascii="宋体" w:hAnsi="宋体" w:cs="Arial"/>
                <w:color w:val="000000"/>
                <w:kern w:val="0"/>
                <w:sz w:val="12"/>
                <w:szCs w:val="12"/>
              </w:rPr>
              <w:t>上年年末数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变动率</w:t>
            </w:r>
            <w:r>
              <w:rPr>
                <w:rFonts w:ascii="宋体" w:hAnsi="宋体" w:cs="Arial"/>
                <w:color w:val="000000"/>
                <w:kern w:val="0"/>
                <w:sz w:val="12"/>
                <w:szCs w:val="12"/>
              </w:rPr>
              <w:t>&lt;0</w:t>
            </w:r>
            <w:r>
              <w:rPr>
                <w:rFonts w:hint="eastAsia" w:ascii="宋体" w:hAnsi="宋体" w:cs="Arial"/>
                <w:color w:val="000000"/>
                <w:kern w:val="0"/>
                <w:sz w:val="12"/>
                <w:szCs w:val="12"/>
              </w:rPr>
              <w:t>，得满分；变动率≥</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财政收回存量资金占上年财政拨款结转和结余比重</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-53.17</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财政收回存量资金：（财政收回存量资金数</w:t>
            </w:r>
            <w:r>
              <w:rPr>
                <w:rFonts w:ascii="宋体" w:hAnsi="宋体" w:cs="Arial"/>
                <w:color w:val="000000"/>
                <w:kern w:val="0"/>
                <w:sz w:val="12"/>
                <w:szCs w:val="12"/>
              </w:rPr>
              <w:t>/</w:t>
            </w:r>
            <w:r>
              <w:rPr>
                <w:rFonts w:hint="eastAsia" w:ascii="宋体" w:hAnsi="宋体" w:cs="Arial"/>
                <w:color w:val="000000"/>
                <w:kern w:val="0"/>
                <w:sz w:val="12"/>
                <w:szCs w:val="12"/>
              </w:rPr>
              <w:t>上年财政拨款结转和结余数）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比重＝</w:t>
            </w:r>
            <w:r>
              <w:rPr>
                <w:rFonts w:ascii="宋体" w:cs="Arial"/>
                <w:color w:val="000000"/>
                <w:kern w:val="0"/>
                <w:sz w:val="12"/>
                <w:szCs w:val="12"/>
              </w:rPr>
              <w:t>0</w:t>
            </w:r>
            <w:r>
              <w:rPr>
                <w:rFonts w:hint="eastAsia" w:ascii="宋体" w:hAnsi="宋体" w:cs="Arial"/>
                <w:color w:val="000000"/>
                <w:kern w:val="0"/>
                <w:sz w:val="12"/>
                <w:szCs w:val="12"/>
              </w:rPr>
              <w:t>，得满分；比重（绝对值）﹥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“三公”经费支出预决算差异率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-0.43</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5.0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“三公”经费：（决算数－年初预算数</w:t>
            </w:r>
            <w:r>
              <w:rPr>
                <w:rFonts w:ascii="宋体" w:hAnsi="宋体" w:cs="Arial"/>
                <w:color w:val="000000"/>
                <w:kern w:val="0"/>
                <w:sz w:val="12"/>
                <w:szCs w:val="12"/>
              </w:rPr>
              <w:t>/</w:t>
            </w:r>
            <w:r>
              <w:rPr>
                <w:rFonts w:hint="eastAsia" w:ascii="宋体" w:hAnsi="宋体" w:cs="Arial"/>
                <w:color w:val="000000"/>
                <w:kern w:val="0"/>
                <w:sz w:val="12"/>
                <w:szCs w:val="12"/>
              </w:rPr>
              <w:t>年初预算数）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差异率≤</w:t>
            </w:r>
            <w:r>
              <w:rPr>
                <w:rFonts w:ascii="宋体" w:cs="Arial"/>
                <w:color w:val="000000"/>
                <w:kern w:val="0"/>
                <w:sz w:val="12"/>
                <w:szCs w:val="12"/>
              </w:rPr>
              <w:t>0</w:t>
            </w:r>
            <w:r>
              <w:rPr>
                <w:rFonts w:hint="eastAsia" w:ascii="宋体" w:hAnsi="宋体" w:cs="Arial"/>
                <w:color w:val="000000"/>
                <w:kern w:val="0"/>
                <w:sz w:val="12"/>
                <w:szCs w:val="12"/>
              </w:rPr>
              <w:t>，得满分；差异率（绝对值）﹥</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1</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预算编制及执行的规范性</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项目支出中开支在职人员及离退休经费比重</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财政拨款项目支出：（工资福利支出</w:t>
            </w:r>
            <w:r>
              <w:rPr>
                <w:rFonts w:ascii="宋体" w:hAnsi="宋体" w:cs="Arial"/>
                <w:color w:val="000000"/>
                <w:kern w:val="0"/>
                <w:sz w:val="12"/>
                <w:szCs w:val="12"/>
              </w:rPr>
              <w:t>+</w:t>
            </w:r>
            <w:r>
              <w:rPr>
                <w:rFonts w:hint="eastAsia" w:ascii="宋体" w:hAnsi="宋体" w:cs="Arial"/>
                <w:color w:val="000000"/>
                <w:kern w:val="0"/>
                <w:sz w:val="12"/>
                <w:szCs w:val="12"/>
              </w:rPr>
              <w:t>离休费</w:t>
            </w:r>
            <w:r>
              <w:rPr>
                <w:rFonts w:ascii="宋体" w:hAnsi="宋体" w:cs="Arial"/>
                <w:color w:val="000000"/>
                <w:kern w:val="0"/>
                <w:sz w:val="12"/>
                <w:szCs w:val="12"/>
              </w:rPr>
              <w:t>+</w:t>
            </w:r>
            <w:r>
              <w:rPr>
                <w:rFonts w:hint="eastAsia" w:ascii="宋体" w:hAnsi="宋体" w:cs="Arial"/>
                <w:color w:val="000000"/>
                <w:kern w:val="0"/>
                <w:sz w:val="12"/>
                <w:szCs w:val="12"/>
              </w:rPr>
              <w:t>退休费）</w:t>
            </w:r>
            <w:r>
              <w:rPr>
                <w:rFonts w:ascii="宋体" w:hAnsi="宋体" w:cs="Arial"/>
                <w:color w:val="000000"/>
                <w:kern w:val="0"/>
                <w:sz w:val="12"/>
                <w:szCs w:val="12"/>
              </w:rPr>
              <w:t>/</w:t>
            </w:r>
            <w:r>
              <w:rPr>
                <w:rFonts w:hint="eastAsia" w:ascii="宋体" w:hAnsi="宋体" w:cs="Arial"/>
                <w:color w:val="000000"/>
                <w:kern w:val="0"/>
                <w:sz w:val="12"/>
                <w:szCs w:val="12"/>
              </w:rPr>
              <w:t>项目支出合计</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比重＝</w:t>
            </w:r>
            <w:r>
              <w:rPr>
                <w:rFonts w:ascii="宋体" w:cs="Arial"/>
                <w:color w:val="000000"/>
                <w:kern w:val="0"/>
                <w:sz w:val="12"/>
                <w:szCs w:val="12"/>
              </w:rPr>
              <w:t>0</w:t>
            </w:r>
            <w:r>
              <w:rPr>
                <w:rFonts w:hint="eastAsia" w:ascii="宋体" w:hAnsi="宋体" w:cs="Arial"/>
                <w:color w:val="000000"/>
                <w:kern w:val="0"/>
                <w:sz w:val="12"/>
                <w:szCs w:val="12"/>
              </w:rPr>
              <w:t>，得满分；比重﹥</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1%</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财务状况</w:t>
            </w: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资产状况</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7</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资产类往来款变动率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7</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7.0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应收账款</w:t>
            </w:r>
            <w:r>
              <w:rPr>
                <w:rFonts w:ascii="宋体" w:hAnsi="宋体" w:cs="Arial"/>
                <w:color w:val="000000"/>
                <w:kern w:val="0"/>
                <w:sz w:val="12"/>
                <w:szCs w:val="12"/>
              </w:rPr>
              <w:t>+</w:t>
            </w:r>
            <w:r>
              <w:rPr>
                <w:rFonts w:hint="eastAsia" w:ascii="宋体" w:hAnsi="宋体" w:cs="Arial"/>
                <w:color w:val="000000"/>
                <w:kern w:val="0"/>
                <w:sz w:val="12"/>
                <w:szCs w:val="12"/>
              </w:rPr>
              <w:t>预付账款</w:t>
            </w:r>
            <w:r>
              <w:rPr>
                <w:rFonts w:ascii="宋体" w:hAnsi="宋体" w:cs="Arial"/>
                <w:color w:val="000000"/>
                <w:kern w:val="0"/>
                <w:sz w:val="12"/>
                <w:szCs w:val="12"/>
              </w:rPr>
              <w:t>+</w:t>
            </w:r>
            <w:r>
              <w:rPr>
                <w:rFonts w:hint="eastAsia" w:ascii="宋体" w:hAnsi="宋体" w:cs="Arial"/>
                <w:color w:val="000000"/>
                <w:kern w:val="0"/>
                <w:sz w:val="12"/>
                <w:szCs w:val="12"/>
              </w:rPr>
              <w:t>其他应收款：（本年年末数－上年年末数）</w:t>
            </w:r>
            <w:r>
              <w:rPr>
                <w:rFonts w:ascii="宋体" w:hAnsi="宋体" w:cs="Arial"/>
                <w:color w:val="000000"/>
                <w:kern w:val="0"/>
                <w:sz w:val="12"/>
                <w:szCs w:val="12"/>
              </w:rPr>
              <w:t>/</w:t>
            </w:r>
            <w:r>
              <w:rPr>
                <w:rFonts w:hint="eastAsia" w:ascii="宋体" w:hAnsi="宋体" w:cs="Arial"/>
                <w:color w:val="000000"/>
                <w:kern w:val="0"/>
                <w:sz w:val="12"/>
                <w:szCs w:val="12"/>
              </w:rPr>
              <w:t>上年年末数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变动率≤</w:t>
            </w:r>
            <w:r>
              <w:rPr>
                <w:rFonts w:ascii="宋体" w:cs="Arial"/>
                <w:color w:val="000000"/>
                <w:kern w:val="0"/>
                <w:sz w:val="12"/>
                <w:szCs w:val="12"/>
              </w:rPr>
              <w:t>0</w:t>
            </w:r>
            <w:r>
              <w:rPr>
                <w:rFonts w:hint="eastAsia" w:ascii="宋体" w:hAnsi="宋体" w:cs="Arial"/>
                <w:color w:val="000000"/>
                <w:kern w:val="0"/>
                <w:sz w:val="12"/>
                <w:szCs w:val="12"/>
              </w:rPr>
              <w:t>，得满分；变动率﹥</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负债状况</w:t>
            </w:r>
          </w:p>
        </w:tc>
        <w:tc>
          <w:tcPr>
            <w:tcW w:w="820" w:type="dxa"/>
            <w:vMerge w:val="restart"/>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8</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负债类往来款变动率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6</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6.0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应付账款</w:t>
            </w:r>
            <w:r>
              <w:rPr>
                <w:rFonts w:ascii="宋体" w:hAnsi="宋体" w:cs="Arial"/>
                <w:color w:val="000000"/>
                <w:kern w:val="0"/>
                <w:sz w:val="12"/>
                <w:szCs w:val="12"/>
              </w:rPr>
              <w:t>+</w:t>
            </w:r>
            <w:r>
              <w:rPr>
                <w:rFonts w:hint="eastAsia" w:ascii="宋体" w:hAnsi="宋体" w:cs="Arial"/>
                <w:color w:val="000000"/>
                <w:kern w:val="0"/>
                <w:sz w:val="12"/>
                <w:szCs w:val="12"/>
              </w:rPr>
              <w:t>预收账款</w:t>
            </w:r>
            <w:r>
              <w:rPr>
                <w:rFonts w:ascii="宋体" w:hAnsi="宋体" w:cs="Arial"/>
                <w:color w:val="000000"/>
                <w:kern w:val="0"/>
                <w:sz w:val="12"/>
                <w:szCs w:val="12"/>
              </w:rPr>
              <w:t>+</w:t>
            </w:r>
            <w:r>
              <w:rPr>
                <w:rFonts w:hint="eastAsia" w:ascii="宋体" w:hAnsi="宋体" w:cs="Arial"/>
                <w:color w:val="000000"/>
                <w:kern w:val="0"/>
                <w:sz w:val="12"/>
                <w:szCs w:val="12"/>
              </w:rPr>
              <w:t>其他应付款</w:t>
            </w:r>
            <w:r>
              <w:rPr>
                <w:rFonts w:ascii="宋体" w:hAnsi="宋体" w:cs="Arial"/>
                <w:color w:val="000000"/>
                <w:kern w:val="0"/>
                <w:sz w:val="12"/>
                <w:szCs w:val="12"/>
              </w:rPr>
              <w:t>+</w:t>
            </w:r>
            <w:r>
              <w:rPr>
                <w:rFonts w:hint="eastAsia" w:ascii="宋体" w:hAnsi="宋体" w:cs="Arial"/>
                <w:color w:val="000000"/>
                <w:kern w:val="0"/>
                <w:sz w:val="12"/>
                <w:szCs w:val="12"/>
              </w:rPr>
              <w:t>长期应付款：（本年年末数－上年年末数）</w:t>
            </w:r>
            <w:r>
              <w:rPr>
                <w:rFonts w:ascii="宋体" w:hAnsi="宋体" w:cs="Arial"/>
                <w:color w:val="000000"/>
                <w:kern w:val="0"/>
                <w:sz w:val="12"/>
                <w:szCs w:val="12"/>
              </w:rPr>
              <w:t>/</w:t>
            </w:r>
            <w:r>
              <w:rPr>
                <w:rFonts w:hint="eastAsia" w:ascii="宋体" w:hAnsi="宋体" w:cs="Arial"/>
                <w:color w:val="000000"/>
                <w:kern w:val="0"/>
                <w:sz w:val="12"/>
                <w:szCs w:val="12"/>
              </w:rPr>
              <w:t>上年年末数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变动率≤</w:t>
            </w:r>
            <w:r>
              <w:rPr>
                <w:rFonts w:ascii="宋体" w:cs="Arial"/>
                <w:color w:val="000000"/>
                <w:kern w:val="0"/>
                <w:sz w:val="12"/>
                <w:szCs w:val="12"/>
              </w:rPr>
              <w:t>0</w:t>
            </w:r>
            <w:r>
              <w:rPr>
                <w:rFonts w:hint="eastAsia" w:ascii="宋体" w:hAnsi="宋体" w:cs="Arial"/>
                <w:color w:val="000000"/>
                <w:kern w:val="0"/>
                <w:sz w:val="12"/>
                <w:szCs w:val="12"/>
              </w:rPr>
              <w:t>，得满分；变动率﹥</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事业单位借款变动率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短期借款</w:t>
            </w:r>
            <w:r>
              <w:rPr>
                <w:rFonts w:ascii="宋体" w:hAnsi="宋体" w:cs="Arial"/>
                <w:color w:val="000000"/>
                <w:kern w:val="0"/>
                <w:sz w:val="12"/>
                <w:szCs w:val="12"/>
              </w:rPr>
              <w:t>+</w:t>
            </w:r>
            <w:r>
              <w:rPr>
                <w:rFonts w:hint="eastAsia" w:ascii="宋体" w:hAnsi="宋体" w:cs="Arial"/>
                <w:color w:val="000000"/>
                <w:kern w:val="0"/>
                <w:sz w:val="12"/>
                <w:szCs w:val="12"/>
              </w:rPr>
              <w:t>长期借款：（本年年末数－上年年末数）</w:t>
            </w:r>
            <w:r>
              <w:rPr>
                <w:rFonts w:ascii="宋体" w:hAnsi="宋体" w:cs="Arial"/>
                <w:color w:val="000000"/>
                <w:kern w:val="0"/>
                <w:sz w:val="12"/>
                <w:szCs w:val="12"/>
              </w:rPr>
              <w:t>/</w:t>
            </w:r>
            <w:r>
              <w:rPr>
                <w:rFonts w:hint="eastAsia" w:ascii="宋体" w:hAnsi="宋体" w:cs="Arial"/>
                <w:color w:val="000000"/>
                <w:kern w:val="0"/>
                <w:sz w:val="12"/>
                <w:szCs w:val="12"/>
              </w:rPr>
              <w:t>上年年末数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变动率≤</w:t>
            </w:r>
            <w:r>
              <w:rPr>
                <w:rFonts w:ascii="宋体" w:cs="Arial"/>
                <w:color w:val="000000"/>
                <w:kern w:val="0"/>
                <w:sz w:val="12"/>
                <w:szCs w:val="12"/>
              </w:rPr>
              <w:t>0</w:t>
            </w:r>
            <w:r>
              <w:rPr>
                <w:rFonts w:hint="eastAsia" w:ascii="宋体" w:hAnsi="宋体" w:cs="Arial"/>
                <w:color w:val="000000"/>
                <w:kern w:val="0"/>
                <w:sz w:val="12"/>
                <w:szCs w:val="12"/>
              </w:rPr>
              <w:t>，得满分；变动率﹥</w:t>
            </w:r>
            <w:r>
              <w:rPr>
                <w:rFonts w:ascii="宋体" w:cs="Arial"/>
                <w:color w:val="000000"/>
                <w:kern w:val="0"/>
                <w:sz w:val="12"/>
                <w:szCs w:val="12"/>
              </w:rPr>
              <w:t>0</w:t>
            </w:r>
            <w:r>
              <w:rPr>
                <w:rFonts w:hint="eastAsia" w:ascii="宋体" w:hAnsi="宋体" w:cs="Arial"/>
                <w:color w:val="000000"/>
                <w:kern w:val="0"/>
                <w:sz w:val="12"/>
                <w:szCs w:val="12"/>
              </w:rPr>
              <w:t>时，每增加</w:t>
            </w:r>
            <w:r>
              <w:rPr>
                <w:rFonts w:ascii="宋体" w:hAnsi="宋体" w:cs="Arial"/>
                <w:color w:val="000000"/>
                <w:kern w:val="0"/>
                <w:sz w:val="12"/>
                <w:szCs w:val="12"/>
              </w:rPr>
              <w:t>5%</w:t>
            </w:r>
            <w:r>
              <w:rPr>
                <w:rFonts w:hint="eastAsia" w:ascii="宋体" w:hAnsi="宋体" w:cs="Arial"/>
                <w:color w:val="000000"/>
                <w:kern w:val="0"/>
                <w:sz w:val="12"/>
                <w:szCs w:val="12"/>
              </w:rPr>
              <w:t>（含）扣减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restart"/>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人员情况</w:t>
            </w:r>
          </w:p>
        </w:tc>
        <w:tc>
          <w:tcPr>
            <w:tcW w:w="820" w:type="dxa"/>
            <w:vMerge w:val="restart"/>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在职人员控制</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在职人员控制率</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87.50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3.0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在职人员数：（在职人员数</w:t>
            </w:r>
            <w:r>
              <w:rPr>
                <w:rFonts w:ascii="宋体" w:hAnsi="宋体" w:cs="Arial"/>
                <w:color w:val="000000"/>
                <w:kern w:val="0"/>
                <w:sz w:val="12"/>
                <w:szCs w:val="12"/>
              </w:rPr>
              <w:t>/</w:t>
            </w:r>
            <w:r>
              <w:rPr>
                <w:rFonts w:hint="eastAsia" w:ascii="宋体" w:hAnsi="宋体" w:cs="Arial"/>
                <w:color w:val="000000"/>
                <w:kern w:val="0"/>
                <w:sz w:val="12"/>
                <w:szCs w:val="12"/>
              </w:rPr>
              <w:t>编制数）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控制率≤</w:t>
            </w:r>
            <w:r>
              <w:rPr>
                <w:rFonts w:ascii="宋体" w:hAnsi="宋体" w:cs="Arial"/>
                <w:color w:val="000000"/>
                <w:kern w:val="0"/>
                <w:sz w:val="12"/>
                <w:szCs w:val="12"/>
              </w:rPr>
              <w:t>100</w:t>
            </w:r>
            <w:r>
              <w:rPr>
                <w:rFonts w:hint="eastAsia" w:ascii="宋体" w:hAnsi="宋体" w:cs="Arial"/>
                <w:color w:val="000000"/>
                <w:kern w:val="0"/>
                <w:sz w:val="12"/>
                <w:szCs w:val="12"/>
              </w:rPr>
              <w:t>，得满分；控制率每超</w:t>
            </w:r>
            <w:r>
              <w:rPr>
                <w:rFonts w:ascii="宋体" w:hAnsi="宋体" w:cs="Arial"/>
                <w:color w:val="000000"/>
                <w:kern w:val="0"/>
                <w:sz w:val="12"/>
                <w:szCs w:val="12"/>
              </w:rPr>
              <w:t>1%</w:t>
            </w:r>
            <w:r>
              <w:rPr>
                <w:rFonts w:hint="eastAsia" w:ascii="宋体" w:hAnsi="宋体" w:cs="Arial"/>
                <w:color w:val="000000"/>
                <w:kern w:val="0"/>
                <w:sz w:val="12"/>
                <w:szCs w:val="12"/>
              </w:rPr>
              <w:t>扣减</w:t>
            </w:r>
            <w:r>
              <w:rPr>
                <w:rFonts w:ascii="宋体" w:hAnsi="宋体" w:cs="Arial"/>
                <w:color w:val="000000"/>
                <w:kern w:val="0"/>
                <w:sz w:val="12"/>
                <w:szCs w:val="12"/>
              </w:rPr>
              <w:t>0.5</w:t>
            </w:r>
            <w:r>
              <w:rPr>
                <w:rFonts w:hint="eastAsia" w:ascii="宋体" w:hAnsi="宋体" w:cs="Arial"/>
                <w:color w:val="000000"/>
                <w:kern w:val="0"/>
                <w:sz w:val="12"/>
                <w:szCs w:val="12"/>
              </w:rPr>
              <w:t>分，减至</w:t>
            </w:r>
            <w:r>
              <w:rPr>
                <w:rFonts w:ascii="宋体" w:cs="Arial"/>
                <w:color w:val="000000"/>
                <w:kern w:val="0"/>
                <w:sz w:val="12"/>
                <w:szCs w:val="12"/>
              </w:rPr>
              <w:t>0</w:t>
            </w:r>
            <w:r>
              <w:rPr>
                <w:rFonts w:hint="eastAsia" w:ascii="宋体" w:hAnsi="宋体" w:cs="Arial"/>
                <w:color w:val="000000"/>
                <w:kern w:val="0"/>
                <w:sz w:val="12"/>
                <w:szCs w:val="12"/>
              </w:rPr>
              <w:t>分为止。</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财政拨款（补助）人员控制</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一般公共预算财政拨款（补助）人员增减率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一般公共预算拨款（补助）开支在职人员数：（本年数－上年数）</w:t>
            </w:r>
            <w:r>
              <w:rPr>
                <w:rFonts w:ascii="宋体" w:hAnsi="宋体" w:cs="Arial"/>
                <w:color w:val="000000"/>
                <w:kern w:val="0"/>
                <w:sz w:val="12"/>
                <w:szCs w:val="12"/>
              </w:rPr>
              <w:t>/</w:t>
            </w:r>
            <w:r>
              <w:rPr>
                <w:rFonts w:hint="eastAsia" w:ascii="宋体" w:hAnsi="宋体" w:cs="Arial"/>
                <w:color w:val="000000"/>
                <w:kern w:val="0"/>
                <w:sz w:val="12"/>
                <w:szCs w:val="12"/>
              </w:rPr>
              <w:t>上年数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增减率≤</w:t>
            </w:r>
            <w:r>
              <w:rPr>
                <w:rFonts w:ascii="宋体" w:cs="Arial"/>
                <w:color w:val="000000"/>
                <w:kern w:val="0"/>
                <w:sz w:val="12"/>
                <w:szCs w:val="12"/>
              </w:rPr>
              <w:t>0</w:t>
            </w:r>
            <w:r>
              <w:rPr>
                <w:rFonts w:hint="eastAsia" w:ascii="宋体" w:hAnsi="宋体" w:cs="Arial"/>
                <w:color w:val="000000"/>
                <w:kern w:val="0"/>
                <w:sz w:val="12"/>
                <w:szCs w:val="12"/>
              </w:rPr>
              <w:t>，得满分；在职人员控制率﹥</w:t>
            </w:r>
            <w:r>
              <w:rPr>
                <w:rFonts w:ascii="宋体" w:hAnsi="宋体" w:cs="Arial"/>
                <w:color w:val="000000"/>
                <w:kern w:val="0"/>
                <w:sz w:val="12"/>
                <w:szCs w:val="12"/>
              </w:rPr>
              <w:t>100%</w:t>
            </w:r>
            <w:r>
              <w:rPr>
                <w:rFonts w:hint="eastAsia" w:ascii="宋体" w:hAnsi="宋体" w:cs="Arial"/>
                <w:color w:val="000000"/>
                <w:kern w:val="0"/>
                <w:sz w:val="12"/>
                <w:szCs w:val="12"/>
              </w:rPr>
              <w:t>时，增减率﹥</w:t>
            </w:r>
            <w:r>
              <w:rPr>
                <w:rFonts w:ascii="宋体" w:cs="Arial"/>
                <w:color w:val="000000"/>
                <w:kern w:val="0"/>
                <w:sz w:val="12"/>
                <w:szCs w:val="12"/>
              </w:rPr>
              <w:t>0,</w:t>
            </w:r>
            <w:r>
              <w:rPr>
                <w:rFonts w:hint="eastAsia" w:ascii="宋体" w:hAnsi="宋体" w:cs="Arial"/>
                <w:color w:val="000000"/>
                <w:kern w:val="0"/>
                <w:sz w:val="12"/>
                <w:szCs w:val="12"/>
              </w:rPr>
              <w:t>扣减</w:t>
            </w:r>
            <w:r>
              <w:rPr>
                <w:rFonts w:ascii="宋体" w:hAnsi="宋体" w:cs="Arial"/>
                <w:color w:val="000000"/>
                <w:kern w:val="0"/>
                <w:sz w:val="12"/>
                <w:szCs w:val="12"/>
              </w:rPr>
              <w:t>1</w:t>
            </w:r>
            <w:r>
              <w:rPr>
                <w:rFonts w:hint="eastAsia" w:ascii="宋体" w:hAnsi="宋体" w:cs="Arial"/>
                <w:color w:val="000000"/>
                <w:kern w:val="0"/>
                <w:sz w:val="12"/>
                <w:szCs w:val="12"/>
              </w:rPr>
              <w:t>分。</w:t>
            </w:r>
          </w:p>
        </w:tc>
      </w:tr>
      <w:tr>
        <w:tblPrEx>
          <w:tblCellMar>
            <w:top w:w="0" w:type="dxa"/>
            <w:left w:w="108" w:type="dxa"/>
            <w:bottom w:w="0" w:type="dxa"/>
            <w:right w:w="108" w:type="dxa"/>
          </w:tblCellMar>
        </w:tblPrEx>
        <w:trPr>
          <w:trHeight w:val="420" w:hRule="atLeast"/>
        </w:trPr>
        <w:tc>
          <w:tcPr>
            <w:tcW w:w="820" w:type="dxa"/>
            <w:vMerge w:val="continue"/>
            <w:tcBorders>
              <w:top w:val="nil"/>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其他人员控制</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其他人员增减率</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820"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其他人员数：（本年数－上年数）</w:t>
            </w:r>
            <w:r>
              <w:rPr>
                <w:rFonts w:ascii="宋体" w:hAnsi="宋体" w:cs="Arial"/>
                <w:color w:val="000000"/>
                <w:kern w:val="0"/>
                <w:sz w:val="12"/>
                <w:szCs w:val="12"/>
              </w:rPr>
              <w:t>/</w:t>
            </w:r>
            <w:r>
              <w:rPr>
                <w:rFonts w:hint="eastAsia" w:ascii="宋体" w:hAnsi="宋体" w:cs="Arial"/>
                <w:color w:val="000000"/>
                <w:kern w:val="0"/>
                <w:sz w:val="12"/>
                <w:szCs w:val="12"/>
              </w:rPr>
              <w:t>上年数</w:t>
            </w:r>
            <w:r>
              <w:rPr>
                <w:rFonts w:ascii="宋体" w:hAnsi="宋体" w:cs="Arial"/>
                <w:color w:val="000000"/>
                <w:kern w:val="0"/>
                <w:sz w:val="12"/>
                <w:szCs w:val="12"/>
              </w:rPr>
              <w:t>*100%</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增减率≤</w:t>
            </w:r>
            <w:r>
              <w:rPr>
                <w:rFonts w:ascii="宋体" w:cs="Arial"/>
                <w:color w:val="000000"/>
                <w:kern w:val="0"/>
                <w:sz w:val="12"/>
                <w:szCs w:val="12"/>
              </w:rPr>
              <w:t>0</w:t>
            </w:r>
            <w:r>
              <w:rPr>
                <w:rFonts w:hint="eastAsia" w:ascii="宋体" w:hAnsi="宋体" w:cs="Arial"/>
                <w:color w:val="000000"/>
                <w:kern w:val="0"/>
                <w:sz w:val="12"/>
                <w:szCs w:val="12"/>
              </w:rPr>
              <w:t>，得满分；增减率﹥</w:t>
            </w:r>
            <w:r>
              <w:rPr>
                <w:rFonts w:ascii="宋体" w:cs="Arial"/>
                <w:color w:val="000000"/>
                <w:kern w:val="0"/>
                <w:sz w:val="12"/>
                <w:szCs w:val="12"/>
              </w:rPr>
              <w:t>0,</w:t>
            </w:r>
            <w:r>
              <w:rPr>
                <w:rFonts w:hint="eastAsia" w:ascii="宋体" w:hAnsi="宋体" w:cs="Arial"/>
                <w:color w:val="000000"/>
                <w:kern w:val="0"/>
                <w:sz w:val="12"/>
                <w:szCs w:val="12"/>
              </w:rPr>
              <w:t>扣减</w:t>
            </w:r>
            <w:r>
              <w:rPr>
                <w:rFonts w:ascii="宋体" w:hAnsi="宋体" w:cs="Arial"/>
                <w:color w:val="000000"/>
                <w:kern w:val="0"/>
                <w:sz w:val="12"/>
                <w:szCs w:val="12"/>
              </w:rPr>
              <w:t>1</w:t>
            </w:r>
            <w:r>
              <w:rPr>
                <w:rFonts w:hint="eastAsia" w:ascii="宋体" w:hAnsi="宋体" w:cs="Arial"/>
                <w:color w:val="000000"/>
                <w:kern w:val="0"/>
                <w:sz w:val="12"/>
                <w:szCs w:val="12"/>
              </w:rPr>
              <w:t>分。</w:t>
            </w:r>
          </w:p>
        </w:tc>
      </w:tr>
      <w:tr>
        <w:tblPrEx>
          <w:tblCellMar>
            <w:top w:w="0" w:type="dxa"/>
            <w:left w:w="108" w:type="dxa"/>
            <w:bottom w:w="0" w:type="dxa"/>
            <w:right w:w="108" w:type="dxa"/>
          </w:tblCellMar>
        </w:tblPrEx>
        <w:trPr>
          <w:trHeight w:val="420" w:hRule="atLeast"/>
        </w:trPr>
        <w:tc>
          <w:tcPr>
            <w:tcW w:w="820" w:type="dxa"/>
            <w:tcBorders>
              <w:top w:val="nil"/>
              <w:left w:val="single" w:color="000000" w:sz="4" w:space="0"/>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合计</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100</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820"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100</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74.5</w:t>
            </w:r>
          </w:p>
        </w:tc>
        <w:tc>
          <w:tcPr>
            <w:tcW w:w="820"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1445" w:type="dxa"/>
            <w:tcBorders>
              <w:top w:val="nil"/>
              <w:left w:val="nil"/>
              <w:bottom w:val="single" w:color="000000" w:sz="4" w:space="0"/>
              <w:right w:val="single" w:color="000000" w:sz="4" w:space="0"/>
            </w:tcBorders>
            <w:shd w:val="clear" w:color="FFFFFF" w:fill="C0C0C0"/>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r>
      <w:tr>
        <w:tblPrEx>
          <w:tblCellMar>
            <w:top w:w="0" w:type="dxa"/>
            <w:left w:w="108" w:type="dxa"/>
            <w:bottom w:w="0" w:type="dxa"/>
            <w:right w:w="108" w:type="dxa"/>
          </w:tblCellMar>
        </w:tblPrEx>
        <w:trPr>
          <w:trHeight w:val="420" w:hRule="atLeast"/>
        </w:trPr>
        <w:tc>
          <w:tcPr>
            <w:tcW w:w="8825" w:type="dxa"/>
            <w:gridSpan w:val="10"/>
            <w:tcBorders>
              <w:top w:val="nil"/>
              <w:left w:val="nil"/>
              <w:bottom w:val="nil"/>
              <w:right w:val="nil"/>
            </w:tcBorders>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注：</w:t>
            </w:r>
            <w:r>
              <w:rPr>
                <w:rFonts w:ascii="宋体" w:hAnsi="宋体" w:cs="Arial"/>
                <w:color w:val="000000"/>
                <w:kern w:val="0"/>
                <w:sz w:val="12"/>
                <w:szCs w:val="12"/>
              </w:rPr>
              <w:t>1.</w:t>
            </w:r>
            <w:r>
              <w:rPr>
                <w:rFonts w:hint="eastAsia" w:ascii="宋体" w:hAnsi="宋体" w:cs="Arial"/>
                <w:color w:val="000000"/>
                <w:kern w:val="0"/>
                <w:sz w:val="12"/>
                <w:szCs w:val="12"/>
              </w:rPr>
              <w:t>财务状况不含企业化管理事业单位和民间非营利组织。</w:t>
            </w:r>
          </w:p>
        </w:tc>
      </w:tr>
      <w:tr>
        <w:tblPrEx>
          <w:tblCellMar>
            <w:top w:w="0" w:type="dxa"/>
            <w:left w:w="108" w:type="dxa"/>
            <w:bottom w:w="0" w:type="dxa"/>
            <w:right w:w="108" w:type="dxa"/>
          </w:tblCellMar>
        </w:tblPrEx>
        <w:trPr>
          <w:trHeight w:val="420" w:hRule="atLeast"/>
        </w:trPr>
        <w:tc>
          <w:tcPr>
            <w:tcW w:w="8825" w:type="dxa"/>
            <w:gridSpan w:val="10"/>
            <w:tcBorders>
              <w:top w:val="nil"/>
              <w:left w:val="nil"/>
              <w:bottom w:val="nil"/>
              <w:right w:val="nil"/>
            </w:tcBorders>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2.</w:t>
            </w:r>
            <w:r>
              <w:rPr>
                <w:rFonts w:hint="eastAsia" w:ascii="宋体" w:hAnsi="宋体" w:cs="Arial"/>
                <w:color w:val="000000"/>
                <w:kern w:val="0"/>
                <w:sz w:val="12"/>
                <w:szCs w:val="12"/>
              </w:rPr>
              <w:t>财政拨款结转和结余率、财政拨款结转和结余上下年变动率评价指标中，中央部门上年、本年年末结转和结余数均不含暂付款。</w:t>
            </w:r>
          </w:p>
        </w:tc>
      </w:tr>
      <w:tr>
        <w:tblPrEx>
          <w:tblCellMar>
            <w:top w:w="0" w:type="dxa"/>
            <w:left w:w="108" w:type="dxa"/>
            <w:bottom w:w="0" w:type="dxa"/>
            <w:right w:w="108" w:type="dxa"/>
          </w:tblCellMar>
        </w:tblPrEx>
        <w:trPr>
          <w:trHeight w:val="420" w:hRule="atLeast"/>
        </w:trPr>
        <w:tc>
          <w:tcPr>
            <w:tcW w:w="8825" w:type="dxa"/>
            <w:gridSpan w:val="10"/>
            <w:tcBorders>
              <w:top w:val="nil"/>
              <w:left w:val="nil"/>
              <w:bottom w:val="nil"/>
              <w:right w:val="nil"/>
            </w:tcBorders>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3.</w:t>
            </w:r>
            <w:r>
              <w:rPr>
                <w:rFonts w:hint="eastAsia" w:ascii="宋体" w:hAnsi="宋体" w:cs="Arial"/>
                <w:color w:val="000000"/>
                <w:kern w:val="0"/>
                <w:sz w:val="12"/>
                <w:szCs w:val="12"/>
              </w:rPr>
              <w:t>各项评分标准中，对于分子不为</w:t>
            </w:r>
            <w:r>
              <w:rPr>
                <w:rFonts w:ascii="宋体" w:cs="Arial"/>
                <w:color w:val="000000"/>
                <w:kern w:val="0"/>
                <w:sz w:val="12"/>
                <w:szCs w:val="12"/>
              </w:rPr>
              <w:t>0</w:t>
            </w:r>
            <w:r>
              <w:rPr>
                <w:rFonts w:hint="eastAsia" w:ascii="宋体" w:hAnsi="宋体" w:cs="Arial"/>
                <w:color w:val="000000"/>
                <w:kern w:val="0"/>
                <w:sz w:val="12"/>
                <w:szCs w:val="12"/>
              </w:rPr>
              <w:t>且分母为</w:t>
            </w:r>
            <w:r>
              <w:rPr>
                <w:rFonts w:ascii="宋体" w:cs="Arial"/>
                <w:color w:val="000000"/>
                <w:kern w:val="0"/>
                <w:sz w:val="12"/>
                <w:szCs w:val="12"/>
              </w:rPr>
              <w:t>0</w:t>
            </w:r>
            <w:r>
              <w:rPr>
                <w:rFonts w:hint="eastAsia" w:ascii="宋体" w:hAnsi="宋体" w:cs="Arial"/>
                <w:color w:val="000000"/>
                <w:kern w:val="0"/>
                <w:sz w:val="12"/>
                <w:szCs w:val="12"/>
              </w:rPr>
              <w:t>的情况，按</w:t>
            </w:r>
            <w:r>
              <w:rPr>
                <w:rFonts w:ascii="宋体" w:cs="Arial"/>
                <w:color w:val="000000"/>
                <w:kern w:val="0"/>
                <w:sz w:val="12"/>
                <w:szCs w:val="12"/>
              </w:rPr>
              <w:t>0</w:t>
            </w:r>
            <w:r>
              <w:rPr>
                <w:rFonts w:hint="eastAsia" w:ascii="宋体" w:hAnsi="宋体" w:cs="Arial"/>
                <w:color w:val="000000"/>
                <w:kern w:val="0"/>
                <w:sz w:val="12"/>
                <w:szCs w:val="12"/>
              </w:rPr>
              <w:t>分计算；分子、分母同为</w:t>
            </w:r>
            <w:r>
              <w:rPr>
                <w:rFonts w:ascii="宋体" w:cs="Arial"/>
                <w:color w:val="000000"/>
                <w:kern w:val="0"/>
                <w:sz w:val="12"/>
                <w:szCs w:val="12"/>
              </w:rPr>
              <w:t>0</w:t>
            </w:r>
            <w:r>
              <w:rPr>
                <w:rFonts w:hint="eastAsia" w:ascii="宋体" w:hAnsi="宋体" w:cs="Arial"/>
                <w:color w:val="000000"/>
                <w:kern w:val="0"/>
                <w:sz w:val="12"/>
                <w:szCs w:val="12"/>
              </w:rPr>
              <w:t>的情况，按满分计算。</w:t>
            </w:r>
          </w:p>
        </w:tc>
      </w:tr>
    </w:tbl>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3" w:firstLineChars="200"/>
        <w:rPr>
          <w:rFonts w:ascii="黑体" w:eastAsia="黑体"/>
          <w:b/>
          <w:bCs/>
          <w:sz w:val="32"/>
          <w:szCs w:val="40"/>
        </w:rPr>
      </w:pPr>
      <w:r>
        <w:rPr>
          <w:rFonts w:hint="eastAsia" w:ascii="黑体" w:eastAsia="黑体"/>
          <w:b/>
          <w:bCs/>
          <w:sz w:val="32"/>
          <w:szCs w:val="4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ascii="仿宋_GB2312" w:eastAsia="仿宋_GB2312" w:cs="DengXian-Regular"/>
          <w:sz w:val="32"/>
          <w:szCs w:val="32"/>
        </w:rPr>
        <w:t>99.19</w:t>
      </w:r>
      <w:r>
        <w:rPr>
          <w:rFonts w:hint="eastAsia" w:ascii="仿宋_GB2312" w:eastAsia="仿宋_GB2312" w:cs="DengXian-Regular"/>
          <w:sz w:val="32"/>
          <w:szCs w:val="32"/>
        </w:rPr>
        <w:t>万元，比年初预算数增加</w:t>
      </w:r>
      <w:r>
        <w:rPr>
          <w:rFonts w:ascii="仿宋_GB2312" w:eastAsia="仿宋_GB2312" w:cs="DengXian-Regular"/>
          <w:sz w:val="32"/>
          <w:szCs w:val="32"/>
        </w:rPr>
        <w:t>70.26</w:t>
      </w:r>
      <w:r>
        <w:rPr>
          <w:rFonts w:hint="eastAsia" w:ascii="仿宋_GB2312" w:eastAsia="仿宋_GB2312" w:cs="DengXian-Regular"/>
          <w:sz w:val="32"/>
          <w:szCs w:val="32"/>
        </w:rPr>
        <w:t>万元，增长</w:t>
      </w:r>
      <w:r>
        <w:rPr>
          <w:rFonts w:ascii="仿宋_GB2312" w:eastAsia="仿宋_GB2312" w:cs="DengXian-Regular"/>
          <w:sz w:val="32"/>
          <w:szCs w:val="32"/>
        </w:rPr>
        <w:t>242.9%</w:t>
      </w:r>
      <w:r>
        <w:rPr>
          <w:rFonts w:hint="eastAsia" w:ascii="仿宋_GB2312" w:eastAsia="仿宋_GB2312" w:cs="DengXian-Regular"/>
          <w:sz w:val="32"/>
          <w:szCs w:val="32"/>
        </w:rPr>
        <w:t>。主要原因是劳务费年初未做预算，年中做的追加。</w:t>
      </w:r>
    </w:p>
    <w:p>
      <w:pPr>
        <w:pStyle w:val="4"/>
        <w:spacing w:before="0" w:after="0" w:line="580" w:lineRule="exact"/>
        <w:ind w:firstLine="643" w:firstLineChars="200"/>
        <w:rPr>
          <w:rFonts w:ascii="楷体_GB2312" w:eastAsia="楷体_GB2312" w:cs="DengXian-Bold"/>
          <w:highlight w:val="yellow"/>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ascii="仿宋_GB2312" w:eastAsia="仿宋_GB2312" w:cs="DengXian-Regular"/>
          <w:sz w:val="32"/>
          <w:szCs w:val="32"/>
        </w:rPr>
        <w:t>43.56</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ascii="仿宋_GB2312" w:hAnsi="仿宋_GB2312" w:eastAsia="仿宋_GB2312" w:cs="仿宋_GB2312"/>
          <w:color w:val="000000"/>
          <w:kern w:val="0"/>
          <w:sz w:val="32"/>
          <w:szCs w:val="32"/>
        </w:rPr>
        <w:t>43.56</w:t>
      </w:r>
      <w:r>
        <w:rPr>
          <w:rFonts w:hint="eastAsia" w:ascii="仿宋_GB2312" w:hAnsi="仿宋_GB2312" w:eastAsia="仿宋_GB2312" w:cs="仿宋_GB2312"/>
          <w:color w:val="000000"/>
          <w:kern w:val="0"/>
          <w:sz w:val="32"/>
          <w:szCs w:val="32"/>
        </w:rPr>
        <w:t>万元、</w:t>
      </w:r>
      <w:r>
        <w:rPr>
          <w:rFonts w:hint="eastAsia" w:ascii="仿宋_GB2312" w:eastAsia="仿宋_GB2312" w:cs="DengXian-Regular"/>
          <w:sz w:val="32"/>
          <w:szCs w:val="32"/>
        </w:rPr>
        <w:t>政府采购工程支出</w:t>
      </w:r>
      <w:r>
        <w:rPr>
          <w:rFonts w:ascii="仿宋_GB2312" w:eastAsia="仿宋_GB2312" w:cs="DengXian-Regular"/>
          <w:sz w:val="32"/>
          <w:szCs w:val="32"/>
        </w:rPr>
        <w:t>0</w:t>
      </w:r>
      <w:r>
        <w:rPr>
          <w:rFonts w:hint="eastAsia" w:ascii="仿宋_GB2312" w:eastAsia="仿宋_GB2312" w:cs="DengXian-Regular"/>
          <w:sz w:val="32"/>
          <w:szCs w:val="32"/>
        </w:rPr>
        <w:t>万元、</w:t>
      </w:r>
      <w:r>
        <w:rPr>
          <w:rFonts w:hint="eastAsia" w:ascii="仿宋_GB2312" w:hAnsi="仿宋_GB2312" w:eastAsia="仿宋_GB2312" w:cs="仿宋_GB2312"/>
          <w:color w:val="000000"/>
          <w:kern w:val="0"/>
          <w:sz w:val="32"/>
          <w:szCs w:val="32"/>
        </w:rPr>
        <w:t>政府采购服务支出</w:t>
      </w:r>
      <w:r>
        <w:rPr>
          <w:rFonts w:ascii="仿宋_GB2312" w:hAnsi="仿宋_GB2312" w:eastAsia="仿宋_GB2312" w:cs="仿宋_GB2312"/>
          <w:color w:val="000000"/>
          <w:kern w:val="0"/>
          <w:sz w:val="32"/>
          <w:szCs w:val="32"/>
        </w:rPr>
        <w:t>0</w:t>
      </w:r>
      <w:r>
        <w:rPr>
          <w:rFonts w:hint="eastAsia" w:ascii="仿宋_GB2312" w:hAnsi="仿宋_GB2312" w:eastAsia="仿宋_GB2312" w:cs="仿宋_GB2312"/>
          <w:color w:val="000000"/>
          <w:kern w:val="0"/>
          <w:sz w:val="32"/>
          <w:szCs w:val="32"/>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ascii="仿宋_GB2312" w:eastAsia="仿宋_GB2312" w:cs="DengXian-Regular"/>
          <w:sz w:val="32"/>
          <w:szCs w:val="32"/>
        </w:rPr>
        <w:t>1</w:t>
      </w:r>
      <w:r>
        <w:rPr>
          <w:rFonts w:hint="eastAsia" w:ascii="仿宋_GB2312" w:eastAsia="仿宋_GB2312" w:cs="DengXian-Regular"/>
          <w:sz w:val="32"/>
          <w:szCs w:val="32"/>
        </w:rPr>
        <w:t>辆，比上年增加</w:t>
      </w:r>
      <w:r>
        <w:rPr>
          <w:rFonts w:ascii="仿宋_GB2312" w:eastAsia="仿宋_GB2312" w:cs="DengXian-Regular"/>
          <w:sz w:val="32"/>
          <w:szCs w:val="32"/>
        </w:rPr>
        <w:t>0</w:t>
      </w:r>
      <w:r>
        <w:rPr>
          <w:rFonts w:hint="eastAsia" w:ascii="仿宋_GB2312" w:eastAsia="仿宋_GB2312" w:cs="DengXian-Regular"/>
          <w:sz w:val="32"/>
          <w:szCs w:val="32"/>
        </w:rPr>
        <w:t>辆，与上年持平。副部（省）级及以上领导用车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0</w:t>
      </w:r>
      <w:r>
        <w:rPr>
          <w:rFonts w:hint="eastAsia" w:ascii="仿宋_GB2312" w:eastAsia="仿宋_GB2312" w:cs="DengXian-Regular"/>
          <w:sz w:val="32"/>
          <w:szCs w:val="32"/>
        </w:rPr>
        <w:t>辆，机要通信用车</w:t>
      </w:r>
      <w:r>
        <w:rPr>
          <w:rFonts w:ascii="仿宋_GB2312" w:eastAsia="仿宋_GB2312" w:cs="DengXian-Regular"/>
          <w:sz w:val="32"/>
          <w:szCs w:val="32"/>
        </w:rPr>
        <w:t>1</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0</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台（套），比上年增加</w:t>
      </w:r>
      <w:r>
        <w:rPr>
          <w:rFonts w:ascii="仿宋_GB2312" w:eastAsia="仿宋_GB2312" w:cs="DengXian-Regular"/>
          <w:sz w:val="32"/>
          <w:szCs w:val="32"/>
        </w:rPr>
        <w:t>0</w:t>
      </w:r>
      <w:r>
        <w:rPr>
          <w:rFonts w:hint="eastAsia" w:ascii="仿宋_GB2312" w:eastAsia="仿宋_GB2312" w:cs="DengXian-Regular"/>
          <w:sz w:val="32"/>
          <w:szCs w:val="32"/>
        </w:rPr>
        <w:t>套，与上年持平，单位价值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w:t>
      </w:r>
      <w:r>
        <w:rPr>
          <w:rFonts w:ascii="仿宋_GB2312" w:eastAsia="仿宋_GB2312" w:cs="DengXian-Regular"/>
          <w:sz w:val="32"/>
          <w:szCs w:val="32"/>
        </w:rPr>
        <w:t>0</w:t>
      </w:r>
      <w:r>
        <w:rPr>
          <w:rFonts w:hint="eastAsia" w:ascii="仿宋_GB2312" w:eastAsia="仿宋_GB2312" w:cs="DengXian-Regular"/>
          <w:sz w:val="32"/>
          <w:szCs w:val="32"/>
        </w:rPr>
        <w:t>套</w:t>
      </w:r>
      <w:r>
        <w:rPr>
          <w:rFonts w:ascii="仿宋_GB2312" w:eastAsia="仿宋_GB2312" w:cs="DengXian-Regular"/>
          <w:sz w:val="32"/>
          <w:szCs w:val="32"/>
        </w:rPr>
        <w:t xml:space="preserve">, </w:t>
      </w:r>
      <w:r>
        <w:rPr>
          <w:rFonts w:hint="eastAsia" w:ascii="仿宋_GB2312" w:eastAsia="仿宋_GB2312" w:cs="DengXian-Regular"/>
          <w:sz w:val="32"/>
          <w:szCs w:val="32"/>
        </w:rPr>
        <w:t>与上年持平。</w:t>
      </w:r>
    </w:p>
    <w:p>
      <w:pPr>
        <w:adjustRightInd w:val="0"/>
        <w:snapToGrid w:val="0"/>
        <w:spacing w:after="0" w:line="580" w:lineRule="exact"/>
        <w:ind w:firstLine="640" w:firstLineChars="200"/>
        <w:rPr>
          <w:rFonts w:ascii="仿宋_GB2312" w:eastAsia="仿宋_GB2312" w:cs="DengXian-Regular"/>
          <w:color w:val="FF0000"/>
          <w:sz w:val="32"/>
          <w:szCs w:val="32"/>
        </w:rPr>
      </w:pPr>
    </w:p>
    <w:tbl>
      <w:tblPr>
        <w:tblStyle w:val="13"/>
        <w:tblW w:w="8850" w:type="dxa"/>
        <w:tblInd w:w="98" w:type="dxa"/>
        <w:tblLayout w:type="autofit"/>
        <w:tblCellMar>
          <w:top w:w="0" w:type="dxa"/>
          <w:left w:w="108" w:type="dxa"/>
          <w:bottom w:w="0" w:type="dxa"/>
          <w:right w:w="108" w:type="dxa"/>
        </w:tblCellMar>
      </w:tblPr>
      <w:tblGrid>
        <w:gridCol w:w="2544"/>
        <w:gridCol w:w="336"/>
        <w:gridCol w:w="522"/>
        <w:gridCol w:w="554"/>
        <w:gridCol w:w="936"/>
        <w:gridCol w:w="936"/>
        <w:gridCol w:w="1962"/>
        <w:gridCol w:w="457"/>
        <w:gridCol w:w="603"/>
      </w:tblGrid>
      <w:tr>
        <w:tblPrEx>
          <w:tblCellMar>
            <w:top w:w="0" w:type="dxa"/>
            <w:left w:w="108" w:type="dxa"/>
            <w:bottom w:w="0" w:type="dxa"/>
            <w:right w:w="108" w:type="dxa"/>
          </w:tblCellMar>
        </w:tblPrEx>
        <w:trPr>
          <w:trHeight w:val="180" w:hRule="atLeast"/>
        </w:trPr>
        <w:tc>
          <w:tcPr>
            <w:tcW w:w="2544"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3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522"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554"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936" w:type="dxa"/>
            <w:tcBorders>
              <w:top w:val="nil"/>
              <w:left w:val="nil"/>
              <w:bottom w:val="nil"/>
              <w:right w:val="nil"/>
            </w:tcBorders>
            <w:noWrap/>
            <w:vAlign w:val="bottom"/>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资产情况表</w:t>
            </w:r>
          </w:p>
        </w:tc>
        <w:tc>
          <w:tcPr>
            <w:tcW w:w="9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962"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457"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603"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r>
      <w:tr>
        <w:tblPrEx>
          <w:tblCellMar>
            <w:top w:w="0" w:type="dxa"/>
            <w:left w:w="108" w:type="dxa"/>
            <w:bottom w:w="0" w:type="dxa"/>
            <w:right w:w="108" w:type="dxa"/>
          </w:tblCellMar>
        </w:tblPrEx>
        <w:trPr>
          <w:trHeight w:val="180" w:hRule="atLeast"/>
        </w:trPr>
        <w:tc>
          <w:tcPr>
            <w:tcW w:w="2544"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3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522"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554"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9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9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962"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060" w:type="dxa"/>
            <w:gridSpan w:val="2"/>
            <w:tcBorders>
              <w:top w:val="nil"/>
              <w:left w:val="nil"/>
              <w:bottom w:val="nil"/>
              <w:right w:val="nil"/>
            </w:tcBorders>
            <w:noWrap/>
            <w:vAlign w:val="bottom"/>
          </w:tcPr>
          <w:p>
            <w:pPr>
              <w:widowControl/>
              <w:spacing w:after="0" w:line="240" w:lineRule="auto"/>
              <w:jc w:val="right"/>
              <w:rPr>
                <w:rFonts w:ascii="宋体" w:cs="Arial"/>
                <w:color w:val="000000"/>
                <w:kern w:val="0"/>
                <w:sz w:val="12"/>
                <w:szCs w:val="12"/>
              </w:rPr>
            </w:pPr>
            <w:r>
              <w:rPr>
                <w:rFonts w:hint="eastAsia" w:ascii="宋体" w:hAnsi="宋体" w:cs="Arial"/>
                <w:color w:val="000000"/>
                <w:kern w:val="0"/>
                <w:sz w:val="12"/>
                <w:szCs w:val="12"/>
              </w:rPr>
              <w:t>财决附</w:t>
            </w:r>
            <w:r>
              <w:rPr>
                <w:rFonts w:ascii="宋体" w:hAnsi="宋体" w:cs="Arial"/>
                <w:color w:val="000000"/>
                <w:kern w:val="0"/>
                <w:sz w:val="12"/>
                <w:szCs w:val="12"/>
              </w:rPr>
              <w:t>01</w:t>
            </w:r>
            <w:r>
              <w:rPr>
                <w:rFonts w:hint="eastAsia" w:ascii="宋体" w:hAnsi="宋体" w:cs="Arial"/>
                <w:color w:val="000000"/>
                <w:kern w:val="0"/>
                <w:sz w:val="12"/>
                <w:szCs w:val="12"/>
              </w:rPr>
              <w:t>表</w:t>
            </w:r>
          </w:p>
        </w:tc>
      </w:tr>
      <w:tr>
        <w:tblPrEx>
          <w:tblCellMar>
            <w:top w:w="0" w:type="dxa"/>
            <w:left w:w="108" w:type="dxa"/>
            <w:bottom w:w="0" w:type="dxa"/>
            <w:right w:w="108" w:type="dxa"/>
          </w:tblCellMar>
        </w:tblPrEx>
        <w:trPr>
          <w:trHeight w:val="180" w:hRule="atLeast"/>
        </w:trPr>
        <w:tc>
          <w:tcPr>
            <w:tcW w:w="3956" w:type="dxa"/>
            <w:gridSpan w:val="4"/>
            <w:tcBorders>
              <w:top w:val="nil"/>
              <w:left w:val="nil"/>
              <w:bottom w:val="nil"/>
              <w:right w:val="nil"/>
            </w:tcBorders>
            <w:noWrap/>
            <w:vAlign w:val="bottom"/>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编制单位：中共秦皇岛经济技术开发区工委政法委员会</w:t>
            </w:r>
          </w:p>
        </w:tc>
        <w:tc>
          <w:tcPr>
            <w:tcW w:w="936" w:type="dxa"/>
            <w:tcBorders>
              <w:top w:val="nil"/>
              <w:left w:val="nil"/>
              <w:bottom w:val="nil"/>
              <w:right w:val="nil"/>
            </w:tcBorders>
            <w:noWrap/>
            <w:vAlign w:val="bottom"/>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2018</w:t>
            </w:r>
            <w:r>
              <w:rPr>
                <w:rFonts w:hint="eastAsia" w:ascii="宋体" w:hAnsi="宋体" w:cs="Arial"/>
                <w:color w:val="000000"/>
                <w:kern w:val="0"/>
                <w:sz w:val="12"/>
                <w:szCs w:val="12"/>
              </w:rPr>
              <w:t>年度</w:t>
            </w:r>
          </w:p>
        </w:tc>
        <w:tc>
          <w:tcPr>
            <w:tcW w:w="936"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962" w:type="dxa"/>
            <w:tcBorders>
              <w:top w:val="nil"/>
              <w:left w:val="nil"/>
              <w:bottom w:val="nil"/>
              <w:right w:val="nil"/>
            </w:tcBorders>
            <w:noWrap/>
            <w:vAlign w:val="bottom"/>
          </w:tcPr>
          <w:p>
            <w:pPr>
              <w:widowControl/>
              <w:spacing w:after="0" w:line="240" w:lineRule="auto"/>
              <w:jc w:val="left"/>
              <w:rPr>
                <w:rFonts w:ascii="Arial" w:hAnsi="Arial" w:cs="Arial"/>
                <w:color w:val="000000"/>
                <w:kern w:val="0"/>
                <w:sz w:val="12"/>
                <w:szCs w:val="12"/>
              </w:rPr>
            </w:pPr>
          </w:p>
        </w:tc>
        <w:tc>
          <w:tcPr>
            <w:tcW w:w="1060" w:type="dxa"/>
            <w:gridSpan w:val="2"/>
            <w:tcBorders>
              <w:top w:val="nil"/>
              <w:left w:val="nil"/>
              <w:bottom w:val="nil"/>
              <w:right w:val="nil"/>
            </w:tcBorders>
            <w:noWrap/>
            <w:vAlign w:val="bottom"/>
          </w:tcPr>
          <w:p>
            <w:pPr>
              <w:widowControl/>
              <w:spacing w:after="0" w:line="240" w:lineRule="auto"/>
              <w:jc w:val="right"/>
              <w:rPr>
                <w:rFonts w:ascii="宋体" w:cs="Arial"/>
                <w:color w:val="000000"/>
                <w:kern w:val="0"/>
                <w:sz w:val="12"/>
                <w:szCs w:val="12"/>
              </w:rPr>
            </w:pPr>
            <w:r>
              <w:rPr>
                <w:rFonts w:hint="eastAsia" w:ascii="宋体" w:hAnsi="宋体" w:cs="Arial"/>
                <w:color w:val="000000"/>
                <w:kern w:val="0"/>
                <w:sz w:val="12"/>
                <w:szCs w:val="12"/>
              </w:rPr>
              <w:t>金额单位：元</w:t>
            </w:r>
          </w:p>
        </w:tc>
      </w:tr>
      <w:tr>
        <w:tblPrEx>
          <w:tblCellMar>
            <w:top w:w="0" w:type="dxa"/>
            <w:left w:w="108" w:type="dxa"/>
            <w:bottom w:w="0" w:type="dxa"/>
            <w:right w:w="108" w:type="dxa"/>
          </w:tblCellMar>
        </w:tblPrEx>
        <w:trPr>
          <w:trHeight w:val="402" w:hRule="atLeast"/>
        </w:trPr>
        <w:tc>
          <w:tcPr>
            <w:tcW w:w="2544" w:type="dxa"/>
            <w:vMerge w:val="restart"/>
            <w:tcBorders>
              <w:top w:val="single" w:color="000000" w:sz="4" w:space="0"/>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项　　目</w:t>
            </w:r>
          </w:p>
        </w:tc>
        <w:tc>
          <w:tcPr>
            <w:tcW w:w="336" w:type="dxa"/>
            <w:vMerge w:val="restart"/>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行次</w:t>
            </w:r>
          </w:p>
        </w:tc>
        <w:tc>
          <w:tcPr>
            <w:tcW w:w="1076" w:type="dxa"/>
            <w:gridSpan w:val="2"/>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数量</w:t>
            </w:r>
          </w:p>
        </w:tc>
        <w:tc>
          <w:tcPr>
            <w:tcW w:w="1872" w:type="dxa"/>
            <w:gridSpan w:val="2"/>
            <w:tcBorders>
              <w:top w:val="single" w:color="000000" w:sz="4" w:space="0"/>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价值</w:t>
            </w:r>
          </w:p>
        </w:tc>
        <w:tc>
          <w:tcPr>
            <w:tcW w:w="3022" w:type="dxa"/>
            <w:gridSpan w:val="3"/>
            <w:vMerge w:val="restart"/>
            <w:tcBorders>
              <w:top w:val="single" w:color="000000" w:sz="4" w:space="0"/>
              <w:left w:val="nil"/>
              <w:bottom w:val="single" w:color="000000" w:sz="4" w:space="0"/>
              <w:right w:val="single" w:color="000000" w:sz="8"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补充资料</w:t>
            </w:r>
            <w:r>
              <w:rPr>
                <w:rFonts w:ascii="宋体" w:hAnsi="宋体" w:cs="Arial"/>
                <w:color w:val="000000"/>
                <w:kern w:val="0"/>
                <w:sz w:val="12"/>
                <w:szCs w:val="12"/>
              </w:rPr>
              <w:t xml:space="preserve"> </w:t>
            </w:r>
          </w:p>
        </w:tc>
      </w:tr>
      <w:tr>
        <w:tblPrEx>
          <w:tblCellMar>
            <w:top w:w="0" w:type="dxa"/>
            <w:left w:w="108" w:type="dxa"/>
            <w:bottom w:w="0" w:type="dxa"/>
            <w:right w:w="108" w:type="dxa"/>
          </w:tblCellMar>
        </w:tblPrEx>
        <w:trPr>
          <w:trHeight w:val="308" w:hRule="atLeast"/>
        </w:trPr>
        <w:tc>
          <w:tcPr>
            <w:tcW w:w="2544" w:type="dxa"/>
            <w:vMerge w:val="continue"/>
            <w:tcBorders>
              <w:top w:val="single" w:color="000000" w:sz="4" w:space="0"/>
              <w:left w:val="single" w:color="000000" w:sz="4" w:space="0"/>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336" w:type="dxa"/>
            <w:vMerge w:val="continue"/>
            <w:tcBorders>
              <w:top w:val="single" w:color="000000" w:sz="4" w:space="0"/>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c>
          <w:tcPr>
            <w:tcW w:w="52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年初数</w:t>
            </w:r>
          </w:p>
        </w:tc>
        <w:tc>
          <w:tcPr>
            <w:tcW w:w="554"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年末数</w:t>
            </w:r>
          </w:p>
        </w:tc>
        <w:tc>
          <w:tcPr>
            <w:tcW w:w="9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年初数</w:t>
            </w:r>
          </w:p>
        </w:tc>
        <w:tc>
          <w:tcPr>
            <w:tcW w:w="9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年末数</w:t>
            </w:r>
          </w:p>
        </w:tc>
        <w:tc>
          <w:tcPr>
            <w:tcW w:w="3022" w:type="dxa"/>
            <w:gridSpan w:val="3"/>
            <w:vMerge w:val="continue"/>
            <w:tcBorders>
              <w:top w:val="nil"/>
              <w:left w:val="nil"/>
              <w:bottom w:val="single" w:color="000000" w:sz="4" w:space="0"/>
              <w:right w:val="single" w:color="000000" w:sz="4" w:space="0"/>
            </w:tcBorders>
            <w:vAlign w:val="center"/>
          </w:tcPr>
          <w:p>
            <w:pPr>
              <w:widowControl/>
              <w:spacing w:after="0" w:line="240" w:lineRule="auto"/>
              <w:jc w:val="left"/>
              <w:rPr>
                <w:rFonts w:ascii="宋体" w:cs="Arial"/>
                <w:color w:val="000000"/>
                <w:kern w:val="0"/>
                <w:sz w:val="12"/>
                <w:szCs w:val="12"/>
              </w:rPr>
            </w:pP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栏　　次</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　</w:t>
            </w:r>
          </w:p>
        </w:tc>
        <w:tc>
          <w:tcPr>
            <w:tcW w:w="52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554"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w:t>
            </w:r>
          </w:p>
        </w:tc>
        <w:tc>
          <w:tcPr>
            <w:tcW w:w="9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w:t>
            </w:r>
          </w:p>
        </w:tc>
        <w:tc>
          <w:tcPr>
            <w:tcW w:w="9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栏　　次</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行次</w:t>
            </w:r>
          </w:p>
        </w:tc>
        <w:tc>
          <w:tcPr>
            <w:tcW w:w="603" w:type="dxa"/>
            <w:tcBorders>
              <w:top w:val="nil"/>
              <w:left w:val="nil"/>
              <w:bottom w:val="single" w:color="000000" w:sz="4" w:space="0"/>
              <w:right w:val="single" w:color="000000" w:sz="8"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hint="eastAsia" w:ascii="宋体" w:hAnsi="宋体" w:cs="Arial"/>
                <w:color w:val="000000"/>
                <w:kern w:val="0"/>
                <w:sz w:val="12"/>
                <w:szCs w:val="12"/>
              </w:rPr>
              <w:t>资产总额</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1,403,273.33</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2,918,690.13</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一、本年坏账损失金额</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23</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一、流动资产</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20,687.33</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58,628.53</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二、危房面积（平方米）</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24</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二、固定资产</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1,382,586.00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2,860,061.60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（一）上年年末数</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25</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（一）房屋（平方米）</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45.00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111,522.00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（二）本年增加数</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26</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1.</w:t>
            </w:r>
            <w:r>
              <w:rPr>
                <w:rFonts w:hint="eastAsia" w:ascii="宋体" w:hAnsi="宋体" w:cs="Arial"/>
                <w:color w:val="000000"/>
                <w:kern w:val="0"/>
                <w:sz w:val="12"/>
                <w:szCs w:val="12"/>
              </w:rPr>
              <w:t>办公用房</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5</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（三）本年减少数</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27</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　　</w:t>
            </w:r>
            <w:r>
              <w:rPr>
                <w:rFonts w:ascii="宋体" w:hAnsi="宋体" w:cs="Arial"/>
                <w:color w:val="000000"/>
                <w:kern w:val="0"/>
                <w:sz w:val="12"/>
                <w:szCs w:val="12"/>
              </w:rPr>
              <w:t xml:space="preserve">    2.</w:t>
            </w:r>
            <w:r>
              <w:rPr>
                <w:rFonts w:hint="eastAsia" w:ascii="宋体" w:hAnsi="宋体" w:cs="Arial"/>
                <w:color w:val="000000"/>
                <w:kern w:val="0"/>
                <w:sz w:val="12"/>
                <w:szCs w:val="12"/>
              </w:rPr>
              <w:t>业务用房</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6</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其中：本年修复数</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28</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　</w:t>
            </w:r>
            <w:r>
              <w:rPr>
                <w:rFonts w:ascii="宋体" w:hAnsi="宋体" w:cs="Arial"/>
                <w:color w:val="000000"/>
                <w:kern w:val="0"/>
                <w:sz w:val="12"/>
                <w:szCs w:val="12"/>
              </w:rPr>
              <w:t xml:space="preserve"> </w:t>
            </w:r>
            <w:r>
              <w:rPr>
                <w:rFonts w:hint="eastAsia" w:ascii="宋体" w:hAnsi="宋体" w:cs="Arial"/>
                <w:color w:val="000000"/>
                <w:kern w:val="0"/>
                <w:sz w:val="12"/>
                <w:szCs w:val="12"/>
              </w:rPr>
              <w:t>　</w:t>
            </w:r>
            <w:r>
              <w:rPr>
                <w:rFonts w:ascii="宋体" w:hAnsi="宋体" w:cs="Arial"/>
                <w:color w:val="000000"/>
                <w:kern w:val="0"/>
                <w:sz w:val="12"/>
                <w:szCs w:val="12"/>
              </w:rPr>
              <w:t xml:space="preserve">   3.</w:t>
            </w:r>
            <w:r>
              <w:rPr>
                <w:rFonts w:hint="eastAsia" w:ascii="宋体" w:hAnsi="宋体" w:cs="Arial"/>
                <w:color w:val="000000"/>
                <w:kern w:val="0"/>
                <w:sz w:val="12"/>
                <w:szCs w:val="12"/>
              </w:rPr>
              <w:t>其他（不含构筑物）</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7</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45.00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111,522.00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（四）年末数</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29</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（二）车辆（台、辆）</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8</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250,635.00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250,635.00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三、年末单位负担费用的供暖面积（平方米）</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30</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1.</w:t>
            </w:r>
            <w:r>
              <w:rPr>
                <w:rFonts w:hint="eastAsia" w:ascii="宋体" w:hAnsi="宋体" w:cs="Arial"/>
                <w:color w:val="000000"/>
                <w:kern w:val="0"/>
                <w:sz w:val="12"/>
                <w:szCs w:val="12"/>
              </w:rPr>
              <w:t>轿车</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9</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250,635.00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250,635.00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四、年末单位出租出借房屋面积（平方米）</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31</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2.</w:t>
            </w:r>
            <w:r>
              <w:rPr>
                <w:rFonts w:hint="eastAsia" w:ascii="宋体" w:hAnsi="宋体" w:cs="Arial"/>
                <w:color w:val="000000"/>
                <w:kern w:val="0"/>
                <w:sz w:val="12"/>
                <w:szCs w:val="12"/>
              </w:rPr>
              <w:t>越野车</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10</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五、年末单位土地证证载面积（平方米）</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32</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3.</w:t>
            </w:r>
            <w:r>
              <w:rPr>
                <w:rFonts w:hint="eastAsia" w:ascii="宋体" w:hAnsi="宋体" w:cs="Arial"/>
                <w:color w:val="000000"/>
                <w:kern w:val="0"/>
                <w:sz w:val="12"/>
                <w:szCs w:val="12"/>
              </w:rPr>
              <w:t>小型载客汽车</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11</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六、年末单位车辆工作用途情况（台、辆）</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33</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4.</w:t>
            </w:r>
            <w:r>
              <w:rPr>
                <w:rFonts w:hint="eastAsia" w:ascii="宋体" w:hAnsi="宋体" w:cs="Arial"/>
                <w:color w:val="000000"/>
                <w:kern w:val="0"/>
                <w:sz w:val="12"/>
                <w:szCs w:val="12"/>
              </w:rPr>
              <w:t>大中型载客汽车</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12</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1.</w:t>
            </w:r>
            <w:r>
              <w:rPr>
                <w:rFonts w:hint="eastAsia" w:ascii="宋体" w:hAnsi="宋体" w:cs="Arial"/>
                <w:color w:val="000000"/>
                <w:kern w:val="0"/>
                <w:sz w:val="12"/>
                <w:szCs w:val="12"/>
              </w:rPr>
              <w:t>副部（省）级及以上领导用车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34</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5.</w:t>
            </w:r>
            <w:r>
              <w:rPr>
                <w:rFonts w:hint="eastAsia" w:ascii="宋体" w:hAnsi="宋体" w:cs="Arial"/>
                <w:color w:val="000000"/>
                <w:kern w:val="0"/>
                <w:sz w:val="12"/>
                <w:szCs w:val="12"/>
              </w:rPr>
              <w:t>其他车型</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13</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2.</w:t>
            </w:r>
            <w:r>
              <w:rPr>
                <w:rFonts w:hint="eastAsia" w:ascii="宋体" w:hAnsi="宋体" w:cs="Arial"/>
                <w:color w:val="000000"/>
                <w:kern w:val="0"/>
                <w:sz w:val="12"/>
                <w:szCs w:val="12"/>
              </w:rPr>
              <w:t>主要领导干部用车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35</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（三）单价</w:t>
            </w:r>
            <w:r>
              <w:rPr>
                <w:rFonts w:ascii="宋体" w:hAnsi="宋体" w:cs="Arial"/>
                <w:color w:val="000000"/>
                <w:kern w:val="0"/>
                <w:sz w:val="12"/>
                <w:szCs w:val="12"/>
              </w:rPr>
              <w:t>50</w:t>
            </w:r>
            <w:r>
              <w:rPr>
                <w:rFonts w:hint="eastAsia" w:ascii="宋体" w:hAnsi="宋体" w:cs="Arial"/>
                <w:color w:val="000000"/>
                <w:kern w:val="0"/>
                <w:sz w:val="12"/>
                <w:szCs w:val="12"/>
              </w:rPr>
              <w:t>万元（含）以上的通用设备（台、套…）</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14</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3.</w:t>
            </w:r>
            <w:r>
              <w:rPr>
                <w:rFonts w:hint="eastAsia" w:ascii="宋体" w:hAnsi="宋体" w:cs="Arial"/>
                <w:color w:val="000000"/>
                <w:kern w:val="0"/>
                <w:sz w:val="12"/>
                <w:szCs w:val="12"/>
              </w:rPr>
              <w:t>机要通信用车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36</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（四）单价</w:t>
            </w:r>
            <w:r>
              <w:rPr>
                <w:rFonts w:ascii="宋体" w:hAnsi="宋体" w:cs="Arial"/>
                <w:color w:val="000000"/>
                <w:kern w:val="0"/>
                <w:sz w:val="12"/>
                <w:szCs w:val="12"/>
              </w:rPr>
              <w:t>100</w:t>
            </w:r>
            <w:r>
              <w:rPr>
                <w:rFonts w:hint="eastAsia" w:ascii="宋体" w:hAnsi="宋体" w:cs="Arial"/>
                <w:color w:val="000000"/>
                <w:kern w:val="0"/>
                <w:sz w:val="12"/>
                <w:szCs w:val="12"/>
              </w:rPr>
              <w:t>万元（含）以上的专用设备（台、套…）</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15</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4.</w:t>
            </w:r>
            <w:r>
              <w:rPr>
                <w:rFonts w:hint="eastAsia" w:ascii="宋体" w:hAnsi="宋体" w:cs="Arial"/>
                <w:color w:val="000000"/>
                <w:kern w:val="0"/>
                <w:sz w:val="12"/>
                <w:szCs w:val="12"/>
              </w:rPr>
              <w:t>应急保障用车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37</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w:t>
            </w:r>
            <w:r>
              <w:rPr>
                <w:rFonts w:hint="eastAsia" w:ascii="宋体" w:hAnsi="宋体" w:cs="Arial"/>
                <w:color w:val="000000"/>
                <w:kern w:val="0"/>
                <w:sz w:val="12"/>
                <w:szCs w:val="12"/>
              </w:rPr>
              <w:t>（五）其他固定资产</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16</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1,131,951.00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hAnsi="宋体" w:cs="Arial"/>
                <w:color w:val="000000"/>
                <w:kern w:val="0"/>
                <w:sz w:val="12"/>
                <w:szCs w:val="12"/>
              </w:rPr>
              <w:t>2,497,904.60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5.</w:t>
            </w:r>
            <w:r>
              <w:rPr>
                <w:rFonts w:hint="eastAsia" w:ascii="宋体" w:hAnsi="宋体" w:cs="Arial"/>
                <w:color w:val="000000"/>
                <w:kern w:val="0"/>
                <w:sz w:val="12"/>
                <w:szCs w:val="12"/>
              </w:rPr>
              <w:t>执法执勤用车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38</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减：累计折旧及减值准备</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17</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6.</w:t>
            </w:r>
            <w:r>
              <w:rPr>
                <w:rFonts w:hint="eastAsia" w:ascii="宋体" w:hAnsi="宋体" w:cs="Arial"/>
                <w:color w:val="000000"/>
                <w:kern w:val="0"/>
                <w:sz w:val="12"/>
                <w:szCs w:val="12"/>
              </w:rPr>
              <w:t>特种专业技术用车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39</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三、长期投资</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18</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7.</w:t>
            </w:r>
            <w:r>
              <w:rPr>
                <w:rFonts w:hint="eastAsia" w:ascii="宋体" w:hAnsi="宋体" w:cs="Arial"/>
                <w:color w:val="000000"/>
                <w:kern w:val="0"/>
                <w:sz w:val="12"/>
                <w:szCs w:val="12"/>
              </w:rPr>
              <w:t>离退休干部用车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40</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四、在建工程</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19</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ascii="宋体" w:hAnsi="宋体" w:cs="Arial"/>
                <w:color w:val="000000"/>
                <w:kern w:val="0"/>
                <w:sz w:val="12"/>
                <w:szCs w:val="12"/>
              </w:rPr>
              <w:t xml:space="preserve">    8.</w:t>
            </w:r>
            <w:r>
              <w:rPr>
                <w:rFonts w:hint="eastAsia" w:ascii="宋体" w:hAnsi="宋体" w:cs="Arial"/>
                <w:color w:val="000000"/>
                <w:kern w:val="0"/>
                <w:sz w:val="12"/>
                <w:szCs w:val="12"/>
              </w:rPr>
              <w:t>其他用车</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41</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五、无形资产</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20</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　</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42</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hint="eastAsia" w:ascii="宋体" w:hAnsi="宋体" w:cs="Arial"/>
                <w:color w:val="000000"/>
                <w:kern w:val="0"/>
                <w:sz w:val="12"/>
                <w:szCs w:val="12"/>
              </w:rPr>
              <w:t>　</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减：累计摊销</w:t>
            </w:r>
          </w:p>
        </w:tc>
        <w:tc>
          <w:tcPr>
            <w:tcW w:w="336"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21</w:t>
            </w:r>
          </w:p>
        </w:tc>
        <w:tc>
          <w:tcPr>
            <w:tcW w:w="522"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4"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4"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　</w:t>
            </w:r>
          </w:p>
        </w:tc>
        <w:tc>
          <w:tcPr>
            <w:tcW w:w="457" w:type="dxa"/>
            <w:tcBorders>
              <w:top w:val="nil"/>
              <w:left w:val="nil"/>
              <w:bottom w:val="single" w:color="000000" w:sz="4"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43</w:t>
            </w:r>
          </w:p>
        </w:tc>
        <w:tc>
          <w:tcPr>
            <w:tcW w:w="603" w:type="dxa"/>
            <w:tcBorders>
              <w:top w:val="nil"/>
              <w:left w:val="nil"/>
              <w:bottom w:val="single" w:color="000000" w:sz="4"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hint="eastAsia" w:ascii="宋体" w:hAnsi="宋体" w:cs="Arial"/>
                <w:color w:val="000000"/>
                <w:kern w:val="0"/>
                <w:sz w:val="12"/>
                <w:szCs w:val="12"/>
              </w:rPr>
              <w:t>　</w:t>
            </w:r>
          </w:p>
        </w:tc>
      </w:tr>
      <w:tr>
        <w:tblPrEx>
          <w:tblCellMar>
            <w:top w:w="0" w:type="dxa"/>
            <w:left w:w="108" w:type="dxa"/>
            <w:bottom w:w="0" w:type="dxa"/>
            <w:right w:w="108" w:type="dxa"/>
          </w:tblCellMar>
        </w:tblPrEx>
        <w:trPr>
          <w:trHeight w:val="308" w:hRule="atLeast"/>
        </w:trPr>
        <w:tc>
          <w:tcPr>
            <w:tcW w:w="2544" w:type="dxa"/>
            <w:tcBorders>
              <w:top w:val="nil"/>
              <w:left w:val="single" w:color="000000" w:sz="4" w:space="0"/>
              <w:bottom w:val="single" w:color="000000" w:sz="8"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六、其他资产</w:t>
            </w:r>
          </w:p>
        </w:tc>
        <w:tc>
          <w:tcPr>
            <w:tcW w:w="336" w:type="dxa"/>
            <w:tcBorders>
              <w:top w:val="nil"/>
              <w:left w:val="nil"/>
              <w:bottom w:val="single" w:color="000000" w:sz="8"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22</w:t>
            </w:r>
          </w:p>
        </w:tc>
        <w:tc>
          <w:tcPr>
            <w:tcW w:w="522" w:type="dxa"/>
            <w:tcBorders>
              <w:top w:val="nil"/>
              <w:left w:val="nil"/>
              <w:bottom w:val="single" w:color="000000" w:sz="8"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554" w:type="dxa"/>
            <w:tcBorders>
              <w:top w:val="nil"/>
              <w:left w:val="nil"/>
              <w:bottom w:val="single" w:color="000000" w:sz="8" w:space="0"/>
              <w:right w:val="single" w:color="000000" w:sz="4" w:space="0"/>
            </w:tcBorders>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w:t>
            </w:r>
          </w:p>
        </w:tc>
        <w:tc>
          <w:tcPr>
            <w:tcW w:w="936" w:type="dxa"/>
            <w:tcBorders>
              <w:top w:val="nil"/>
              <w:left w:val="nil"/>
              <w:bottom w:val="single" w:color="000000" w:sz="8"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936" w:type="dxa"/>
            <w:tcBorders>
              <w:top w:val="nil"/>
              <w:left w:val="nil"/>
              <w:bottom w:val="single" w:color="000000" w:sz="8" w:space="0"/>
              <w:right w:val="single" w:color="000000" w:sz="4" w:space="0"/>
            </w:tcBorders>
            <w:noWrap/>
            <w:vAlign w:val="center"/>
          </w:tcPr>
          <w:p>
            <w:pPr>
              <w:widowControl/>
              <w:spacing w:after="0" w:line="240" w:lineRule="auto"/>
              <w:jc w:val="right"/>
              <w:rPr>
                <w:rFonts w:ascii="宋体" w:cs="Arial"/>
                <w:color w:val="000000"/>
                <w:kern w:val="0"/>
                <w:sz w:val="12"/>
                <w:szCs w:val="12"/>
              </w:rPr>
            </w:pPr>
            <w:r>
              <w:rPr>
                <w:rFonts w:ascii="宋体" w:cs="Arial"/>
                <w:color w:val="000000"/>
                <w:kern w:val="0"/>
                <w:sz w:val="12"/>
                <w:szCs w:val="12"/>
              </w:rPr>
              <w:t>0.00</w:t>
            </w:r>
          </w:p>
        </w:tc>
        <w:tc>
          <w:tcPr>
            <w:tcW w:w="1962" w:type="dxa"/>
            <w:tcBorders>
              <w:top w:val="nil"/>
              <w:left w:val="nil"/>
              <w:bottom w:val="single" w:color="000000" w:sz="8" w:space="0"/>
              <w:right w:val="single" w:color="000000" w:sz="4" w:space="0"/>
            </w:tcBorders>
            <w:shd w:val="clear" w:color="FFFFFF" w:fill="C0C0C0"/>
            <w:noWrap/>
            <w:vAlign w:val="center"/>
          </w:tcPr>
          <w:p>
            <w:pPr>
              <w:widowControl/>
              <w:spacing w:after="0" w:line="240" w:lineRule="auto"/>
              <w:jc w:val="left"/>
              <w:rPr>
                <w:rFonts w:ascii="宋体" w:cs="Arial"/>
                <w:color w:val="000000"/>
                <w:kern w:val="0"/>
                <w:sz w:val="12"/>
                <w:szCs w:val="12"/>
              </w:rPr>
            </w:pPr>
            <w:r>
              <w:rPr>
                <w:rFonts w:hint="eastAsia" w:ascii="宋体" w:hAnsi="宋体" w:cs="Arial"/>
                <w:color w:val="000000"/>
                <w:kern w:val="0"/>
                <w:sz w:val="12"/>
                <w:szCs w:val="12"/>
              </w:rPr>
              <w:t>　</w:t>
            </w:r>
          </w:p>
        </w:tc>
        <w:tc>
          <w:tcPr>
            <w:tcW w:w="457" w:type="dxa"/>
            <w:tcBorders>
              <w:top w:val="nil"/>
              <w:left w:val="nil"/>
              <w:bottom w:val="single" w:color="000000" w:sz="8" w:space="0"/>
              <w:right w:val="single" w:color="000000" w:sz="4" w:space="0"/>
            </w:tcBorders>
            <w:shd w:val="clear" w:color="FFFFFF" w:fill="C0C0C0"/>
            <w:noWrap/>
            <w:vAlign w:val="center"/>
          </w:tcPr>
          <w:p>
            <w:pPr>
              <w:widowControl/>
              <w:spacing w:after="0" w:line="240" w:lineRule="auto"/>
              <w:jc w:val="center"/>
              <w:rPr>
                <w:rFonts w:ascii="宋体" w:cs="Arial"/>
                <w:color w:val="000000"/>
                <w:kern w:val="0"/>
                <w:sz w:val="12"/>
                <w:szCs w:val="12"/>
              </w:rPr>
            </w:pPr>
            <w:r>
              <w:rPr>
                <w:rFonts w:ascii="宋体" w:hAnsi="宋体" w:cs="Arial"/>
                <w:color w:val="000000"/>
                <w:kern w:val="0"/>
                <w:sz w:val="12"/>
                <w:szCs w:val="12"/>
              </w:rPr>
              <w:t>44</w:t>
            </w:r>
          </w:p>
        </w:tc>
        <w:tc>
          <w:tcPr>
            <w:tcW w:w="603" w:type="dxa"/>
            <w:tcBorders>
              <w:top w:val="nil"/>
              <w:left w:val="nil"/>
              <w:bottom w:val="single" w:color="000000" w:sz="8" w:space="0"/>
              <w:right w:val="single" w:color="000000" w:sz="8" w:space="0"/>
            </w:tcBorders>
            <w:noWrap/>
            <w:vAlign w:val="center"/>
          </w:tcPr>
          <w:p>
            <w:pPr>
              <w:widowControl/>
              <w:spacing w:after="0" w:line="240" w:lineRule="auto"/>
              <w:jc w:val="right"/>
              <w:rPr>
                <w:rFonts w:ascii="宋体" w:cs="Arial"/>
                <w:color w:val="000000"/>
                <w:kern w:val="0"/>
                <w:sz w:val="12"/>
                <w:szCs w:val="12"/>
              </w:rPr>
            </w:pPr>
            <w:r>
              <w:rPr>
                <w:rFonts w:hint="eastAsia" w:ascii="宋体" w:hAnsi="宋体" w:cs="Arial"/>
                <w:color w:val="000000"/>
                <w:kern w:val="0"/>
                <w:sz w:val="12"/>
                <w:szCs w:val="12"/>
              </w:rPr>
              <w:t>　</w:t>
            </w:r>
          </w:p>
        </w:tc>
      </w:tr>
    </w:tbl>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年度政府性基金预算财政拨款、国有资本经营预算财政拨款无收支及结转结余情况，故政府性基金预算财政拨款收入支出决算表及国有资本经营预算财政拨款支出决算表以空表列示。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064" o:spid="_x0000_s1064" o:spt="203" style="position:absolute;left:0pt;margin-left:-0.55pt;margin-top:29.3pt;height:43.95pt;width:301.85pt;mso-position-horizontal-relative:page;mso-position-vertical-relative:page;z-index:251678720;mso-width-relative:page;mso-height-relative:page;" coordorigin="4551,52615" coordsize="8546,1398">
            <o:lock v:ext="edit"/>
            <v:rect id="矩形 13" o:spid="_x0000_s1065" o:spt="1" style="position:absolute;left:4551;top:52615;height:1175;width:8546;v-text-anchor:middle;" fillcolor="#D9D9D9" filled="t" stroked="f" coordsize="21600,21600">
              <v:path/>
              <v:fill on="t" focussize="0,0"/>
              <v:stroke on="f" weight="2pt"/>
              <v:imagedata o:title=""/>
              <o:lock v:ext="edit"/>
            </v:rect>
            <v:rect id="矩形 14" o:spid="_x0000_s1066"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067"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13" o:title=""/>
            <o:lock v:ext="edit" aspectratio="t"/>
          </v:shape>
        </w:pict>
      </w:r>
      <w:r>
        <w:pict>
          <v:shape id="_x0000_s1068" o:spid="_x0000_s1068"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_x0000_s1069" o:spid="_x0000_s1069" o:spt="203" style="position:absolute;left:0pt;margin-left:-81.05pt;margin-top:39.65pt;height:43.95pt;width:264.85pt;mso-position-vertical-relative:page;z-index:251671552;mso-width-relative:page;mso-height-relative:page;" coordorigin="4551,52615" coordsize="8546,1398">
            <o:lock v:ext="edit"/>
            <v:rect id="矩形 13" o:spid="_x0000_s1070" o:spt="1" style="position:absolute;left:4551;top:52615;height:1175;width:8546;v-text-anchor:middle;" fillcolor="#D9D9D9" filled="t" stroked="f" coordsize="21600,21600">
              <v:path/>
              <v:fill on="t" focussize="0,0"/>
              <v:stroke on="f" weight="2pt"/>
              <v:imagedata o:title=""/>
              <o:lock v:ext="edit"/>
            </v:rect>
            <v:rect id="矩形 14" o:spid="_x0000_s1071"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_x0000_s1072" o:spid="_x0000_s1072" o:spt="203" style="position:absolute;left:0pt;margin-left:-81.05pt;margin-top:39.65pt;height:43.95pt;width:264.85pt;mso-position-vertical-relative:page;z-index:251679744;mso-width-relative:page;mso-height-relative:page;" coordorigin="4551,52615" coordsize="8546,1398">
            <o:lock v:ext="edit"/>
            <v:rect id="矩形 13" o:spid="_x0000_s1073" o:spt="1" style="position:absolute;left:4551;top:52615;height:1175;width:8546;v-text-anchor:middle;" fillcolor="#D9D9D9" filled="t" stroked="f" coordsize="21600,21600">
              <v:path/>
              <v:fill on="t" focussize="0,0"/>
              <v:stroke on="f" weight="2pt"/>
              <v:imagedata o:title=""/>
              <o:lock v:ext="edit"/>
            </v:rect>
            <v:rect id="矩形 14" o:spid="_x0000_s1074"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_x0000_s1075" o:spid="_x0000_s1075" o:spt="203" style="position:absolute;left:0pt;margin-left:-81.05pt;margin-top:39.65pt;height:43.95pt;width:264.85pt;mso-position-vertical-relative:page;z-index:251680768;mso-width-relative:page;mso-height-relative:page;" coordorigin="4551,52615" coordsize="8546,1398">
            <o:lock v:ext="edit"/>
            <v:rect id="矩形 13" o:spid="_x0000_s1076" o:spt="1" style="position:absolute;left:4551;top:52615;height:1175;width:8546;v-text-anchor:middle;" fillcolor="#D9D9D9" filled="t" stroked="f" coordsize="21600,21600">
              <v:path/>
              <v:fill on="t" focussize="0,0"/>
              <v:stroke on="f" weight="2pt"/>
              <v:imagedata o:title=""/>
              <o:lock v:ext="edit"/>
            </v:rect>
            <v:rect id="矩形 14" o:spid="_x0000_s1077" o:spt="1" style="position:absolute;left:4577;top:52890;height:1123;width:8324;v-text-anchor:middle;" fillcolor="#AD002D" filled="t" stroked="t" coordsize="21600,2160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078"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14"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9CBF103-F4CC-4BE0-875F-1E366726F70A}"/>
  </w:font>
  <w:font w:name="Arial">
    <w:panose1 w:val="020B0604020202020204"/>
    <w:charset w:val="01"/>
    <w:family w:val="swiss"/>
    <w:pitch w:val="default"/>
    <w:sig w:usb0="E0002AFF" w:usb1="C0007843" w:usb2="00000009" w:usb3="00000000" w:csb0="400001FF" w:csb1="FFFF0000"/>
    <w:embedRegular r:id="rId2" w:fontKey="{44B7916B-0F1A-4D4F-A9FB-02B1021EB885}"/>
  </w:font>
  <w:font w:name="黑体">
    <w:panose1 w:val="02010609060101010101"/>
    <w:charset w:val="86"/>
    <w:family w:val="auto"/>
    <w:pitch w:val="default"/>
    <w:sig w:usb0="800002BF" w:usb1="38CF7CFA" w:usb2="00000016" w:usb3="00000000" w:csb0="00040001" w:csb1="00000000"/>
    <w:embedRegular r:id="rId3" w:fontKey="{F9E8C3B0-6D96-485E-A552-D7790498663B}"/>
  </w:font>
  <w:font w:name="Courier New">
    <w:panose1 w:val="02070309020205020404"/>
    <w:charset w:val="01"/>
    <w:family w:val="modern"/>
    <w:pitch w:val="default"/>
    <w:sig w:usb0="E0002AFF" w:usb1="C0007843" w:usb2="00000009" w:usb3="00000000" w:csb0="400001FF" w:csb1="FFFF0000"/>
    <w:embedRegular r:id="rId4" w:fontKey="{79CE79FC-5A66-43E5-BB29-AF3BE14F572A}"/>
  </w:font>
  <w:font w:name="Symbol">
    <w:panose1 w:val="05050102010706020507"/>
    <w:charset w:val="02"/>
    <w:family w:val="roman"/>
    <w:pitch w:val="default"/>
    <w:sig w:usb0="00000000" w:usb1="00000000" w:usb2="00000000" w:usb3="00000000" w:csb0="80000000" w:csb1="00000000"/>
    <w:embedRegular r:id="rId5" w:fontKey="{1A3A200F-DB32-4159-987E-C09FDC1C9683}"/>
  </w:font>
  <w:font w:name="Calibri">
    <w:panose1 w:val="020F0502020204030204"/>
    <w:charset w:val="00"/>
    <w:family w:val="swiss"/>
    <w:pitch w:val="default"/>
    <w:sig w:usb0="E10002FF" w:usb1="4000ACFF" w:usb2="00000009" w:usb3="00000000" w:csb0="2000019F" w:csb1="00000000"/>
    <w:embedRegular r:id="rId6" w:fontKey="{5556E58C-1194-4BFD-A171-7A817B42273A}"/>
  </w:font>
  <w:font w:name="Cambria">
    <w:panose1 w:val="02040503050406030204"/>
    <w:charset w:val="00"/>
    <w:family w:val="roman"/>
    <w:pitch w:val="default"/>
    <w:sig w:usb0="E00002FF" w:usb1="400004FF" w:usb2="00000000" w:usb3="00000000" w:csb0="2000019F" w:csb1="00000000"/>
    <w:embedRegular r:id="rId7" w:fontKey="{301F4E88-BB14-4598-BE96-39798AF27D22}"/>
  </w:font>
  <w:font w:name="仿宋_GB2312">
    <w:panose1 w:val="02010609030101010101"/>
    <w:charset w:val="86"/>
    <w:family w:val="modern"/>
    <w:pitch w:val="default"/>
    <w:sig w:usb0="00000001" w:usb1="080E0000" w:usb2="00000000" w:usb3="00000000" w:csb0="00040000" w:csb1="00000000"/>
    <w:embedRegular r:id="rId8" w:fontKey="{FEF2A8BD-8A24-4542-B91E-6C6EB1569550}"/>
  </w:font>
  <w:font w:name="楷体">
    <w:panose1 w:val="02010609060101010101"/>
    <w:charset w:val="86"/>
    <w:family w:val="modern"/>
    <w:pitch w:val="default"/>
    <w:sig w:usb0="800002BF" w:usb1="38CF7CFA" w:usb2="00000016" w:usb3="00000000" w:csb0="00040001" w:csb1="00000000"/>
    <w:embedRegular r:id="rId9" w:fontKey="{FD87EB86-D52A-499D-90E9-F4209AB14AD3}"/>
  </w:font>
  <w:font w:name="MS Gothic">
    <w:panose1 w:val="020B0609070205080204"/>
    <w:charset w:val="80"/>
    <w:family w:val="modern"/>
    <w:pitch w:val="default"/>
    <w:sig w:usb0="E00002FF" w:usb1="6AC7FDFB" w:usb2="00000012" w:usb3="00000000" w:csb0="4002009F" w:csb1="DFD70000"/>
    <w:embedRegular r:id="rId10" w:fontKey="{36FADEEE-5974-42F8-82A0-C840ABA3E772}"/>
  </w:font>
  <w:font w:name="ArialUnicodeMS">
    <w:altName w:val="Malgun Gothic"/>
    <w:panose1 w:val="00000000000000000000"/>
    <w:charset w:val="81"/>
    <w:family w:val="auto"/>
    <w:pitch w:val="default"/>
    <w:sig w:usb0="00000000" w:usb1="00000000" w:usb2="00000010" w:usb3="00000000" w:csb0="00080000" w:csb1="00000000"/>
    <w:embedRegular r:id="rId11" w:fontKey="{4ED1007E-3E89-4017-8A6F-6AEF620DDD88}"/>
  </w:font>
  <w:font w:name="MS-UIGothic,Bold">
    <w:altName w:val="Malgun Gothic"/>
    <w:panose1 w:val="00000000000000000000"/>
    <w:charset w:val="81"/>
    <w:family w:val="auto"/>
    <w:pitch w:val="default"/>
    <w:sig w:usb0="00000000" w:usb1="00000000" w:usb2="00000010" w:usb3="00000000" w:csb0="00080000" w:csb1="00000000"/>
    <w:embedRegular r:id="rId12" w:fontKey="{C93EED12-9E27-484F-A6D7-1A90D28854A3}"/>
  </w:font>
  <w:font w:name="DengXian-Regular">
    <w:altName w:val="宋体"/>
    <w:panose1 w:val="00000000000000000000"/>
    <w:charset w:val="86"/>
    <w:family w:val="auto"/>
    <w:pitch w:val="default"/>
    <w:sig w:usb0="00000000" w:usb1="00000000" w:usb2="00000010" w:usb3="00000000" w:csb0="00040000" w:csb1="00000000"/>
    <w:embedRegular r:id="rId13" w:fontKey="{A4FFC595-D512-472A-8C83-516C127FD389}"/>
  </w:font>
  <w:font w:name="仿宋">
    <w:panose1 w:val="02010609060101010101"/>
    <w:charset w:val="86"/>
    <w:family w:val="modern"/>
    <w:pitch w:val="default"/>
    <w:sig w:usb0="800002BF" w:usb1="38CF7CFA" w:usb2="00000016" w:usb3="00000000" w:csb0="00040001" w:csb1="00000000"/>
    <w:embedRegular r:id="rId14" w:fontKey="{67959C17-29B4-4D67-9AD1-C847ED075F40}"/>
  </w:font>
  <w:font w:name="楷体_GB2312">
    <w:panose1 w:val="02010609030101010101"/>
    <w:charset w:val="86"/>
    <w:family w:val="modern"/>
    <w:pitch w:val="default"/>
    <w:sig w:usb0="00000001" w:usb1="080E0000" w:usb2="00000000" w:usb3="00000000" w:csb0="00040000" w:csb1="00000000"/>
    <w:embedRegular r:id="rId15" w:fontKey="{BD6F1211-CCE2-48C8-9694-8F0316EB5F5A}"/>
  </w:font>
  <w:font w:name="DengXian-Bold">
    <w:altName w:val="宋体"/>
    <w:panose1 w:val="00000000000000000000"/>
    <w:charset w:val="86"/>
    <w:family w:val="auto"/>
    <w:pitch w:val="default"/>
    <w:sig w:usb0="00000000" w:usb1="00000000" w:usb2="00000010" w:usb3="00000000" w:csb0="00040000" w:csb1="00000000"/>
    <w:embedRegular r:id="rId16" w:fontKey="{A5F3AF0E-BDCC-4B15-BB56-2A5BA002B371}"/>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670EE1"/>
    <w:multiLevelType w:val="multilevel"/>
    <w:tmpl w:val="3F670EE1"/>
    <w:lvl w:ilvl="0" w:tentative="0">
      <w:start w:val="1"/>
      <w:numFmt w:val="japaneseCounting"/>
      <w:lvlText w:val="%1、"/>
      <w:lvlJc w:val="left"/>
      <w:pPr>
        <w:tabs>
          <w:tab w:val="left" w:pos="1270"/>
        </w:tabs>
        <w:ind w:left="1270" w:hanging="630"/>
      </w:pPr>
      <w:rPr>
        <w:rFonts w:hint="default" w:cs="Times New Roman"/>
      </w:rPr>
    </w:lvl>
    <w:lvl w:ilvl="1" w:tentative="0">
      <w:start w:val="1"/>
      <w:numFmt w:val="lowerLetter"/>
      <w:lvlText w:val="%2)"/>
      <w:lvlJc w:val="left"/>
      <w:pPr>
        <w:tabs>
          <w:tab w:val="left" w:pos="1480"/>
        </w:tabs>
        <w:ind w:left="1480" w:hanging="420"/>
      </w:pPr>
      <w:rPr>
        <w:rFonts w:cs="Times New Roman"/>
      </w:rPr>
    </w:lvl>
    <w:lvl w:ilvl="2" w:tentative="0">
      <w:start w:val="1"/>
      <w:numFmt w:val="lowerRoman"/>
      <w:lvlText w:val="%3."/>
      <w:lvlJc w:val="right"/>
      <w:pPr>
        <w:tabs>
          <w:tab w:val="left" w:pos="1900"/>
        </w:tabs>
        <w:ind w:left="1900" w:hanging="420"/>
      </w:pPr>
      <w:rPr>
        <w:rFonts w:cs="Times New Roman"/>
      </w:rPr>
    </w:lvl>
    <w:lvl w:ilvl="3" w:tentative="0">
      <w:start w:val="1"/>
      <w:numFmt w:val="decimal"/>
      <w:lvlText w:val="%4."/>
      <w:lvlJc w:val="left"/>
      <w:pPr>
        <w:tabs>
          <w:tab w:val="left" w:pos="2320"/>
        </w:tabs>
        <w:ind w:left="2320" w:hanging="420"/>
      </w:pPr>
      <w:rPr>
        <w:rFonts w:cs="Times New Roman"/>
      </w:rPr>
    </w:lvl>
    <w:lvl w:ilvl="4" w:tentative="0">
      <w:start w:val="1"/>
      <w:numFmt w:val="lowerLetter"/>
      <w:lvlText w:val="%5)"/>
      <w:lvlJc w:val="left"/>
      <w:pPr>
        <w:tabs>
          <w:tab w:val="left" w:pos="2740"/>
        </w:tabs>
        <w:ind w:left="2740" w:hanging="420"/>
      </w:pPr>
      <w:rPr>
        <w:rFonts w:cs="Times New Roman"/>
      </w:rPr>
    </w:lvl>
    <w:lvl w:ilvl="5" w:tentative="0">
      <w:start w:val="1"/>
      <w:numFmt w:val="lowerRoman"/>
      <w:lvlText w:val="%6."/>
      <w:lvlJc w:val="right"/>
      <w:pPr>
        <w:tabs>
          <w:tab w:val="left" w:pos="3160"/>
        </w:tabs>
        <w:ind w:left="3160" w:hanging="420"/>
      </w:pPr>
      <w:rPr>
        <w:rFonts w:cs="Times New Roman"/>
      </w:rPr>
    </w:lvl>
    <w:lvl w:ilvl="6" w:tentative="0">
      <w:start w:val="1"/>
      <w:numFmt w:val="decimal"/>
      <w:lvlText w:val="%7."/>
      <w:lvlJc w:val="left"/>
      <w:pPr>
        <w:tabs>
          <w:tab w:val="left" w:pos="3580"/>
        </w:tabs>
        <w:ind w:left="3580" w:hanging="420"/>
      </w:pPr>
      <w:rPr>
        <w:rFonts w:cs="Times New Roman"/>
      </w:rPr>
    </w:lvl>
    <w:lvl w:ilvl="7" w:tentative="0">
      <w:start w:val="1"/>
      <w:numFmt w:val="lowerLetter"/>
      <w:lvlText w:val="%8)"/>
      <w:lvlJc w:val="left"/>
      <w:pPr>
        <w:tabs>
          <w:tab w:val="left" w:pos="4000"/>
        </w:tabs>
        <w:ind w:left="4000" w:hanging="420"/>
      </w:pPr>
      <w:rPr>
        <w:rFonts w:cs="Times New Roman"/>
      </w:rPr>
    </w:lvl>
    <w:lvl w:ilvl="8" w:tentative="0">
      <w:start w:val="1"/>
      <w:numFmt w:val="lowerRoman"/>
      <w:lvlText w:val="%9."/>
      <w:lvlJc w:val="right"/>
      <w:pPr>
        <w:tabs>
          <w:tab w:val="left" w:pos="4420"/>
        </w:tabs>
        <w:ind w:left="4420" w:hanging="420"/>
      </w:pPr>
      <w:rPr>
        <w:rFonts w:cs="Times New Roman"/>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5AAB28F0"/>
    <w:multiLevelType w:val="singleLevel"/>
    <w:tmpl w:val="5AAB28F0"/>
    <w:lvl w:ilvl="0" w:tentative="0">
      <w:start w:val="9"/>
      <w:numFmt w:val="decimal"/>
      <w:suff w:val="nothing"/>
      <w:lvlText w:val="%1．"/>
      <w:lvlJc w:val="left"/>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WMyZGEwMThhNTM3YTY0N2U2NmY3MzkzODM5YWI5MmIifQ=="/>
  </w:docVars>
  <w:rsids>
    <w:rsidRoot w:val="003C1413"/>
    <w:rsid w:val="00010F00"/>
    <w:rsid w:val="000207E3"/>
    <w:rsid w:val="00024E7F"/>
    <w:rsid w:val="000475A0"/>
    <w:rsid w:val="000737E8"/>
    <w:rsid w:val="000838C3"/>
    <w:rsid w:val="00085C19"/>
    <w:rsid w:val="000A3C4D"/>
    <w:rsid w:val="000A43E3"/>
    <w:rsid w:val="000B2446"/>
    <w:rsid w:val="000D7C65"/>
    <w:rsid w:val="000E2F81"/>
    <w:rsid w:val="00117946"/>
    <w:rsid w:val="00117E2C"/>
    <w:rsid w:val="00146C47"/>
    <w:rsid w:val="00152FB8"/>
    <w:rsid w:val="00176658"/>
    <w:rsid w:val="0018239E"/>
    <w:rsid w:val="001B3410"/>
    <w:rsid w:val="001C030D"/>
    <w:rsid w:val="001C4A84"/>
    <w:rsid w:val="001D68A0"/>
    <w:rsid w:val="001E5902"/>
    <w:rsid w:val="00233705"/>
    <w:rsid w:val="00256455"/>
    <w:rsid w:val="00275CA2"/>
    <w:rsid w:val="002931AF"/>
    <w:rsid w:val="002A65A5"/>
    <w:rsid w:val="002B1A65"/>
    <w:rsid w:val="002C04C4"/>
    <w:rsid w:val="002D08B0"/>
    <w:rsid w:val="002D1AE3"/>
    <w:rsid w:val="002F2ECE"/>
    <w:rsid w:val="00340932"/>
    <w:rsid w:val="00341C8F"/>
    <w:rsid w:val="00351BCF"/>
    <w:rsid w:val="0035463A"/>
    <w:rsid w:val="00391D9D"/>
    <w:rsid w:val="003B1ADD"/>
    <w:rsid w:val="003B46DD"/>
    <w:rsid w:val="003B6C51"/>
    <w:rsid w:val="003C1413"/>
    <w:rsid w:val="003C549F"/>
    <w:rsid w:val="003D5A16"/>
    <w:rsid w:val="003E7DB3"/>
    <w:rsid w:val="00431175"/>
    <w:rsid w:val="004B6B61"/>
    <w:rsid w:val="004B6E37"/>
    <w:rsid w:val="004C32BA"/>
    <w:rsid w:val="00521940"/>
    <w:rsid w:val="00575922"/>
    <w:rsid w:val="005A6C90"/>
    <w:rsid w:val="005D777E"/>
    <w:rsid w:val="005E3FB0"/>
    <w:rsid w:val="005F4B66"/>
    <w:rsid w:val="005F5208"/>
    <w:rsid w:val="00610FD2"/>
    <w:rsid w:val="00641318"/>
    <w:rsid w:val="0064405D"/>
    <w:rsid w:val="00695557"/>
    <w:rsid w:val="006A4FA8"/>
    <w:rsid w:val="006A7303"/>
    <w:rsid w:val="006D4EA7"/>
    <w:rsid w:val="006E7B81"/>
    <w:rsid w:val="0070012A"/>
    <w:rsid w:val="00701788"/>
    <w:rsid w:val="0070664B"/>
    <w:rsid w:val="007071B8"/>
    <w:rsid w:val="00721ADB"/>
    <w:rsid w:val="00724449"/>
    <w:rsid w:val="007414DE"/>
    <w:rsid w:val="00741A15"/>
    <w:rsid w:val="007461CE"/>
    <w:rsid w:val="00784B81"/>
    <w:rsid w:val="007905A9"/>
    <w:rsid w:val="007C6C15"/>
    <w:rsid w:val="007E5500"/>
    <w:rsid w:val="007F055B"/>
    <w:rsid w:val="00810DA0"/>
    <w:rsid w:val="00811C2F"/>
    <w:rsid w:val="00822BDA"/>
    <w:rsid w:val="00833D46"/>
    <w:rsid w:val="00840A97"/>
    <w:rsid w:val="008C0149"/>
    <w:rsid w:val="008D5DED"/>
    <w:rsid w:val="008E25CA"/>
    <w:rsid w:val="008F34FC"/>
    <w:rsid w:val="00930E50"/>
    <w:rsid w:val="00944CD7"/>
    <w:rsid w:val="00953E62"/>
    <w:rsid w:val="00964250"/>
    <w:rsid w:val="009831B2"/>
    <w:rsid w:val="009A1ABE"/>
    <w:rsid w:val="009C3274"/>
    <w:rsid w:val="009D5890"/>
    <w:rsid w:val="009E21A4"/>
    <w:rsid w:val="009F22C6"/>
    <w:rsid w:val="009F44FF"/>
    <w:rsid w:val="00A07E50"/>
    <w:rsid w:val="00A15397"/>
    <w:rsid w:val="00A167DF"/>
    <w:rsid w:val="00A32DB0"/>
    <w:rsid w:val="00A35CE0"/>
    <w:rsid w:val="00A4462E"/>
    <w:rsid w:val="00A44AA4"/>
    <w:rsid w:val="00A61623"/>
    <w:rsid w:val="00A84687"/>
    <w:rsid w:val="00A95748"/>
    <w:rsid w:val="00AB0A0E"/>
    <w:rsid w:val="00AD3B6E"/>
    <w:rsid w:val="00B1751F"/>
    <w:rsid w:val="00B421A6"/>
    <w:rsid w:val="00B56722"/>
    <w:rsid w:val="00B74D39"/>
    <w:rsid w:val="00B8701D"/>
    <w:rsid w:val="00B91DA4"/>
    <w:rsid w:val="00BC3EF6"/>
    <w:rsid w:val="00BE684A"/>
    <w:rsid w:val="00C12630"/>
    <w:rsid w:val="00C34562"/>
    <w:rsid w:val="00C3774E"/>
    <w:rsid w:val="00C57456"/>
    <w:rsid w:val="00C63E09"/>
    <w:rsid w:val="00C65387"/>
    <w:rsid w:val="00C87FAB"/>
    <w:rsid w:val="00C91FF7"/>
    <w:rsid w:val="00C94E53"/>
    <w:rsid w:val="00CB5E39"/>
    <w:rsid w:val="00CC74F8"/>
    <w:rsid w:val="00CE7CBF"/>
    <w:rsid w:val="00D0048E"/>
    <w:rsid w:val="00D06294"/>
    <w:rsid w:val="00D23E7A"/>
    <w:rsid w:val="00D27A2D"/>
    <w:rsid w:val="00D61063"/>
    <w:rsid w:val="00DB35AF"/>
    <w:rsid w:val="00DD72D7"/>
    <w:rsid w:val="00DF5B88"/>
    <w:rsid w:val="00E0589E"/>
    <w:rsid w:val="00E241FA"/>
    <w:rsid w:val="00E2595E"/>
    <w:rsid w:val="00E35374"/>
    <w:rsid w:val="00E50C19"/>
    <w:rsid w:val="00E64655"/>
    <w:rsid w:val="00E73081"/>
    <w:rsid w:val="00E856C9"/>
    <w:rsid w:val="00EB1DEF"/>
    <w:rsid w:val="00EB2A73"/>
    <w:rsid w:val="00EB6A8B"/>
    <w:rsid w:val="00EF38C6"/>
    <w:rsid w:val="00EF59DC"/>
    <w:rsid w:val="00F679C7"/>
    <w:rsid w:val="00F72FB4"/>
    <w:rsid w:val="00F7711A"/>
    <w:rsid w:val="00F80157"/>
    <w:rsid w:val="00FA0D58"/>
    <w:rsid w:val="00FA56F4"/>
    <w:rsid w:val="00FB4EDA"/>
    <w:rsid w:val="00FD3BD5"/>
    <w:rsid w:val="00FE3DC8"/>
    <w:rsid w:val="00FF418E"/>
    <w:rsid w:val="03E65493"/>
    <w:rsid w:val="04073F84"/>
    <w:rsid w:val="0B60750A"/>
    <w:rsid w:val="10686488"/>
    <w:rsid w:val="10DF728A"/>
    <w:rsid w:val="1264200E"/>
    <w:rsid w:val="141C5B77"/>
    <w:rsid w:val="18D8339D"/>
    <w:rsid w:val="1A21388F"/>
    <w:rsid w:val="1A570D2F"/>
    <w:rsid w:val="28FB0B8D"/>
    <w:rsid w:val="2A9870FC"/>
    <w:rsid w:val="2D2B7942"/>
    <w:rsid w:val="2D46481D"/>
    <w:rsid w:val="2DFB6DB3"/>
    <w:rsid w:val="2E733B28"/>
    <w:rsid w:val="31852B5A"/>
    <w:rsid w:val="32D01238"/>
    <w:rsid w:val="388F2DE0"/>
    <w:rsid w:val="3DFC59A8"/>
    <w:rsid w:val="3ECF245E"/>
    <w:rsid w:val="3FB96314"/>
    <w:rsid w:val="49AA406A"/>
    <w:rsid w:val="53A44FAF"/>
    <w:rsid w:val="594329EC"/>
    <w:rsid w:val="5BEE1540"/>
    <w:rsid w:val="5DE61A5D"/>
    <w:rsid w:val="63C04243"/>
    <w:rsid w:val="649C01C7"/>
    <w:rsid w:val="66F04109"/>
    <w:rsid w:val="699A3F60"/>
    <w:rsid w:val="72902E62"/>
    <w:rsid w:val="73C61104"/>
    <w:rsid w:val="776452EA"/>
    <w:rsid w:val="77E359F6"/>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黑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Indent"/>
    <w:basedOn w:val="1"/>
    <w:link w:val="36"/>
    <w:qFormat/>
    <w:uiPriority w:val="99"/>
    <w:pPr>
      <w:spacing w:after="0" w:line="240" w:lineRule="auto"/>
      <w:ind w:firstLine="640" w:firstLineChars="200"/>
    </w:pPr>
    <w:rPr>
      <w:rFonts w:ascii="Cambria" w:hAnsi="Cambria" w:eastAsia="仿宋_GB2312"/>
      <w:sz w:val="24"/>
    </w:rPr>
  </w:style>
  <w:style w:type="paragraph" w:styleId="7">
    <w:name w:val="Date"/>
    <w:basedOn w:val="1"/>
    <w:next w:val="1"/>
    <w:link w:val="20"/>
    <w:semiHidden/>
    <w:qFormat/>
    <w:uiPriority w:val="99"/>
    <w:pPr>
      <w:ind w:left="100" w:leftChars="2500"/>
    </w:pPr>
  </w:style>
  <w:style w:type="paragraph" w:styleId="8">
    <w:name w:val="Balloon Text"/>
    <w:basedOn w:val="1"/>
    <w:link w:val="21"/>
    <w:semiHidden/>
    <w:qFormat/>
    <w:uiPriority w:val="99"/>
    <w:rPr>
      <w:sz w:val="18"/>
      <w:szCs w:val="18"/>
    </w:rPr>
  </w:style>
  <w:style w:type="paragraph" w:styleId="9">
    <w:name w:val="footer"/>
    <w:basedOn w:val="1"/>
    <w:link w:val="22"/>
    <w:qFormat/>
    <w:uiPriority w:val="99"/>
    <w:pPr>
      <w:tabs>
        <w:tab w:val="center" w:pos="4153"/>
        <w:tab w:val="right" w:pos="8306"/>
      </w:tabs>
      <w:snapToGrid w:val="0"/>
      <w:jc w:val="left"/>
    </w:pPr>
    <w:rPr>
      <w:rFonts w:ascii="Cambria" w:hAnsi="Cambria" w:eastAsia="黑体"/>
      <w:sz w:val="18"/>
      <w:szCs w:val="18"/>
    </w:rPr>
  </w:style>
  <w:style w:type="paragraph" w:styleId="10">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1">
    <w:name w:val="Subtitle"/>
    <w:basedOn w:val="1"/>
    <w:next w:val="1"/>
    <w:link w:val="24"/>
    <w:qFormat/>
    <w:uiPriority w:val="99"/>
    <w:pPr>
      <w:widowControl/>
      <w:spacing w:after="200" w:line="276" w:lineRule="auto"/>
      <w:jc w:val="left"/>
    </w:pPr>
    <w:rPr>
      <w:rFonts w:ascii="Calibri" w:hAnsi="Calibri"/>
      <w:i/>
      <w:iCs/>
      <w:color w:val="F0A22E"/>
      <w:spacing w:val="15"/>
      <w:kern w:val="0"/>
      <w:sz w:val="24"/>
    </w:rPr>
  </w:style>
  <w:style w:type="paragraph" w:styleId="12">
    <w:name w:val="Title"/>
    <w:basedOn w:val="1"/>
    <w:next w:val="1"/>
    <w:link w:val="25"/>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Times New Roman"/>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Times New Roman"/>
      <w:b/>
      <w:bCs/>
      <w:sz w:val="28"/>
      <w:szCs w:val="28"/>
    </w:rPr>
  </w:style>
  <w:style w:type="character" w:customStyle="1" w:styleId="20">
    <w:name w:val="Date Char"/>
    <w:basedOn w:val="15"/>
    <w:link w:val="7"/>
    <w:semiHidden/>
    <w:qFormat/>
    <w:locked/>
    <w:uiPriority w:val="99"/>
    <w:rPr>
      <w:rFonts w:ascii="Times New Roman" w:hAnsi="Times New Roman" w:eastAsia="宋体" w:cs="Times New Roman"/>
      <w:sz w:val="24"/>
      <w:szCs w:val="24"/>
    </w:rPr>
  </w:style>
  <w:style w:type="character" w:customStyle="1" w:styleId="21">
    <w:name w:val="Balloon Text Char"/>
    <w:basedOn w:val="15"/>
    <w:link w:val="8"/>
    <w:semiHidden/>
    <w:qFormat/>
    <w:locked/>
    <w:uiPriority w:val="99"/>
    <w:rPr>
      <w:rFonts w:ascii="Times New Roman" w:hAnsi="Times New Roman" w:eastAsia="宋体" w:cs="Times New Roman"/>
      <w:sz w:val="18"/>
      <w:szCs w:val="18"/>
    </w:rPr>
  </w:style>
  <w:style w:type="character" w:customStyle="1" w:styleId="22">
    <w:name w:val="Footer Char"/>
    <w:basedOn w:val="15"/>
    <w:link w:val="9"/>
    <w:qFormat/>
    <w:locked/>
    <w:uiPriority w:val="99"/>
    <w:rPr>
      <w:rFonts w:cs="Times New Roman"/>
      <w:sz w:val="18"/>
      <w:szCs w:val="18"/>
    </w:rPr>
  </w:style>
  <w:style w:type="character" w:customStyle="1" w:styleId="23">
    <w:name w:val="Header Char"/>
    <w:basedOn w:val="15"/>
    <w:link w:val="10"/>
    <w:qFormat/>
    <w:locked/>
    <w:uiPriority w:val="99"/>
    <w:rPr>
      <w:rFonts w:cs="Times New Roman"/>
      <w:sz w:val="18"/>
      <w:szCs w:val="18"/>
    </w:rPr>
  </w:style>
  <w:style w:type="character" w:customStyle="1" w:styleId="24">
    <w:name w:val="Subtitle Char"/>
    <w:basedOn w:val="15"/>
    <w:link w:val="11"/>
    <w:qFormat/>
    <w:locked/>
    <w:uiPriority w:val="99"/>
    <w:rPr>
      <w:rFonts w:ascii="Calibri" w:hAnsi="Calibri" w:eastAsia="宋体" w:cs="Times New Roman"/>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Times New Roman"/>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7">
    <w:name w:val="No Spacing Char"/>
    <w:basedOn w:val="15"/>
    <w:link w:val="26"/>
    <w:qFormat/>
    <w:locked/>
    <w:uiPriority w:val="99"/>
    <w:rPr>
      <w:rFonts w:cs="Times New Roman"/>
      <w:sz w:val="22"/>
      <w:szCs w:val="22"/>
      <w:lang w:val="en-US" w:eastAsia="zh-CN" w:bidi="ar-SA"/>
    </w:rPr>
  </w:style>
  <w:style w:type="character" w:customStyle="1" w:styleId="28">
    <w:name w:val="Style1"/>
    <w:basedOn w:val="15"/>
    <w:qFormat/>
    <w:uiPriority w:val="99"/>
    <w:rPr>
      <w:rFonts w:ascii="Cambria" w:hAnsi="黑体" w:eastAsia="黑体" w:cs="Times New Roman"/>
      <w:sz w:val="22"/>
      <w:szCs w:val="22"/>
      <w:lang w:eastAsia="zh-CN"/>
    </w:rPr>
  </w:style>
  <w:style w:type="character" w:customStyle="1" w:styleId="29">
    <w:name w:val="Style2"/>
    <w:basedOn w:val="15"/>
    <w:qFormat/>
    <w:uiPriority w:val="99"/>
    <w:rPr>
      <w:rFonts w:ascii="Cambria" w:hAnsi="黑体" w:eastAsia="黑体" w:cs="Times New Roman"/>
      <w:sz w:val="22"/>
      <w:szCs w:val="22"/>
      <w:lang w:eastAsia="zh-CN"/>
    </w:rPr>
  </w:style>
  <w:style w:type="character" w:customStyle="1" w:styleId="30">
    <w:name w:val="Style3"/>
    <w:basedOn w:val="15"/>
    <w:qFormat/>
    <w:uiPriority w:val="99"/>
    <w:rPr>
      <w:rFonts w:ascii="Cambria" w:hAnsi="黑体" w:eastAsia="黑体" w:cs="Times New Roman"/>
      <w:sz w:val="22"/>
      <w:szCs w:val="22"/>
      <w:lang w:eastAsia="zh-CN"/>
    </w:rPr>
  </w:style>
  <w:style w:type="character" w:customStyle="1" w:styleId="31">
    <w:name w:val="Style4"/>
    <w:basedOn w:val="15"/>
    <w:qFormat/>
    <w:uiPriority w:val="99"/>
    <w:rPr>
      <w:rFonts w:ascii="Cambria" w:hAnsi="黑体" w:eastAsia="黑体" w:cs="Times New Roman"/>
      <w:sz w:val="22"/>
      <w:szCs w:val="22"/>
      <w:lang w:eastAsia="zh-CN"/>
    </w:rPr>
  </w:style>
  <w:style w:type="character" w:customStyle="1" w:styleId="32">
    <w:name w:val="Style5"/>
    <w:basedOn w:val="15"/>
    <w:qFormat/>
    <w:uiPriority w:val="99"/>
    <w:rPr>
      <w:rFonts w:ascii="Cambria" w:hAnsi="黑体" w:eastAsia="黑体" w:cs="Times New Roman"/>
      <w:sz w:val="22"/>
      <w:szCs w:val="22"/>
      <w:lang w:eastAsia="zh-CN"/>
    </w:rPr>
  </w:style>
  <w:style w:type="paragraph" w:styleId="33">
    <w:name w:val="List Paragraph"/>
    <w:basedOn w:val="1"/>
    <w:qFormat/>
    <w:uiPriority w:val="99"/>
    <w:pPr>
      <w:ind w:firstLine="420" w:firstLineChars="200"/>
    </w:pPr>
  </w:style>
  <w:style w:type="character" w:customStyle="1" w:styleId="34">
    <w:name w:val="Body Text Indent Char1"/>
    <w:qFormat/>
    <w:locked/>
    <w:uiPriority w:val="99"/>
    <w:rPr>
      <w:rFonts w:eastAsia="仿宋_GB2312"/>
      <w:kern w:val="2"/>
      <w:sz w:val="24"/>
    </w:rPr>
  </w:style>
  <w:style w:type="character" w:customStyle="1" w:styleId="35">
    <w:name w:val="apple-converted-space"/>
    <w:basedOn w:val="15"/>
    <w:qFormat/>
    <w:uiPriority w:val="99"/>
    <w:rPr>
      <w:rFonts w:cs="Times New Roman"/>
    </w:rPr>
  </w:style>
  <w:style w:type="character" w:customStyle="1" w:styleId="36">
    <w:name w:val="Body Text Indent Char"/>
    <w:basedOn w:val="15"/>
    <w:link w:val="6"/>
    <w:semiHidden/>
    <w:qFormat/>
    <w:locked/>
    <w:uiPriority w:val="99"/>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1"/>
    <customShpInfo spid="_x0000_s1042"/>
    <customShpInfo spid="_x0000_s1044"/>
    <customShpInfo spid="_x0000_s1045"/>
    <customShpInfo spid="_x0000_s1043"/>
    <customShpInfo spid="_x0000_s1047"/>
    <customShpInfo spid="_x0000_s1048"/>
    <customShpInfo spid="_x0000_s1046"/>
    <customShpInfo spid="_x0000_s1050"/>
    <customShpInfo spid="_x0000_s1051"/>
    <customShpInfo spid="_x0000_s1049"/>
    <customShpInfo spid="_x0000_s1053"/>
    <customShpInfo spid="_x0000_s1054"/>
    <customShpInfo spid="_x0000_s1052"/>
    <customShpInfo spid="_x0000_s1056"/>
    <customShpInfo spid="_x0000_s1057"/>
    <customShpInfo spid="_x0000_s1055"/>
    <customShpInfo spid="_x0000_s1059"/>
    <customShpInfo spid="_x0000_s1060"/>
    <customShpInfo spid="_x0000_s1058"/>
    <customShpInfo spid="_x0000_s1062"/>
    <customShpInfo spid="_x0000_s1063"/>
    <customShpInfo spid="_x0000_s1061"/>
    <customShpInfo spid="_x0000_s1065"/>
    <customShpInfo spid="_x0000_s1066"/>
    <customShpInfo spid="_x0000_s1064"/>
    <customShpInfo spid="_x0000_s1067"/>
    <customShpInfo spid="_x0000_s1068"/>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24</Pages>
  <Words>6951</Words>
  <Characters>7857</Characters>
  <Lines>0</Lines>
  <Paragraphs>0</Paragraphs>
  <TotalTime>14</TotalTime>
  <ScaleCrop>false</ScaleCrop>
  <LinksUpToDate>false</LinksUpToDate>
  <CharactersWithSpaces>8039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褚旭</cp:lastModifiedBy>
  <cp:lastPrinted>2019-08-02T01:01:00Z</cp:lastPrinted>
  <dcterms:modified xsi:type="dcterms:W3CDTF">2023-12-06T07:45:24Z</dcterms:modified>
  <dc:subject>石家庄市xxx部门</dc:subject>
  <dc:title>2017年度部门决算</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BA16E00F008A46E0A922D05D5224E1C1</vt:lpwstr>
  </property>
</Properties>
</file>